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spacing w:after="0"/>
        <w:tabs>
          <w:tab w:leader="none" w:pos="34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tabs>
          <w:tab w:leader="none" w:pos="36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 Definitive Proxy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0-11(set forth the amount on which the filing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340" w:hanging="332"/>
        <w:spacing w:after="0" w:line="277" w:lineRule="auto"/>
        <w:tabs>
          <w:tab w:leader="none" w:pos="16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448945</wp:posOffset>
            </wp:positionV>
            <wp:extent cx="2280920" cy="1097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0360"/>
        <w:spacing w:after="0"/>
        <w:tabs>
          <w:tab w:leader="none" w:pos="10960" w:val="left"/>
        </w:tabs>
        <w:rPr>
          <w:sz w:val="20"/>
          <w:szCs w:val="20"/>
          <w:color w:val="auto"/>
        </w:rPr>
      </w:pPr>
      <w:r>
        <w:rPr>
          <w:rFonts w:ascii="Arial" w:cs="Arial" w:eastAsia="Arial" w:hAnsi="Arial"/>
          <w:sz w:val="18"/>
          <w:szCs w:val="18"/>
          <w:color w:val="auto"/>
        </w:rPr>
        <w:t>April</w:t>
        <w:tab/>
        <w:t>,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2018 Annual Meeting of Stockholders of Imprimis Pharmaceuticals, Inc., which will be held at the Rancho Santa Fe Inn, 5951 Linea Del Cielo, Rancho Santa Fe, California 92067, on June 28, 2018, at 9:00 a.m. local time. We hope you will be able to attend the meeting in person.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Imprimis Pharmaceuticals,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431800</wp:posOffset>
            </wp:positionV>
            <wp:extent cx="2280920" cy="1097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28,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NOTICE IS HEREBY GIVEN that the Annual Meeting of Stockholders of Imprimis Pharmaceuticals, Inc. (the “Company”) will be held on June 28, 2018 at 9:00 a.m., at the Rancho Santa Fe Inn, 5951 Linea Del Cielo, Rancho Santa Fe, California 92067, for the following purposes:</w:t>
      </w:r>
    </w:p>
    <w:p>
      <w:pPr>
        <w:spacing w:after="0" w:line="147"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 to serve until the 2019 annual meeting of stockholders and until their successors are duly elected and qualified.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2018.</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Amended and Restated Certificate of Incorporation to decrease the number of authorized shares of common stock from 90,000,000 to 55,000,000.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30, 2018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6"/>
          <w:szCs w:val="16"/>
          <w:color w:val="auto"/>
        </w:rPr>
        <w:t>,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431800</wp:posOffset>
            </wp:positionV>
            <wp:extent cx="2280920" cy="109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28,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or “Board of Directors”) for use at the Annual Meeting of Stockholders (the “Annual Meeting”) of Imprimis Pharmaceuticals, Inc. to be held on June 28, 2018, at 9:00 a.m. local time at the Rancho Santa Fe Inn, 5951 Linea Del Cielo, Rancho Santa Fe, California 92067,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2017 (the “Annual Report”), the Notice and a proxy card, to our stockholders on or about April ,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2018 ANNUAL MEETING OF STOCKHOLDERS TO BE HELD ON JUNE 28,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www.iproxydirect.com/IMMY.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30, 2018, will be entitled to notice of and to vote at the Annual Meeting and any postponement or adjournment thereof. At the close of business on April 11, 2018, the Company had 20,848,905 shares of common stock outstanding and entitled to vote, held by 165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Broker</w:t>
            </w:r>
          </w:p>
        </w:tc>
        <w:tc>
          <w:tcPr>
            <w:tcW w:w="48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0"/>
              </w:rPr>
              <w:t>Discretionary Voting</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b w:val="1"/>
                <w:bCs w:val="1"/>
                <w:color w:val="auto"/>
                <w:w w:val="85"/>
              </w:rPr>
              <w:t>Proposal</w:t>
            </w:r>
          </w:p>
        </w:tc>
        <w:tc>
          <w:tcPr>
            <w:tcW w:w="1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Vote Required</w:t>
            </w:r>
          </w:p>
        </w:tc>
        <w:tc>
          <w:tcPr>
            <w:tcW w:w="520" w:type="dxa"/>
            <w:vAlign w:val="bottom"/>
          </w:tcPr>
          <w:p>
            <w:pPr>
              <w:spacing w:after="0"/>
              <w:rPr>
                <w:sz w:val="17"/>
                <w:szCs w:val="17"/>
                <w:color w:val="auto"/>
              </w:rPr>
            </w:pPr>
          </w:p>
        </w:tc>
        <w:tc>
          <w:tcPr>
            <w:tcW w:w="1080" w:type="dxa"/>
            <w:vAlign w:val="bottom"/>
            <w:gridSpan w:val="2"/>
          </w:tcPr>
          <w:p>
            <w:pPr>
              <w:jc w:val="center"/>
              <w:ind w:right="480"/>
              <w:spacing w:after="0" w:line="196" w:lineRule="exact"/>
              <w:rPr>
                <w:sz w:val="20"/>
                <w:szCs w:val="20"/>
                <w:color w:val="auto"/>
              </w:rPr>
            </w:pPr>
            <w:r>
              <w:rPr>
                <w:rFonts w:ascii="Arial" w:cs="Arial" w:eastAsia="Arial" w:hAnsi="Arial"/>
                <w:sz w:val="18"/>
                <w:szCs w:val="18"/>
                <w:b w:val="1"/>
                <w:bCs w:val="1"/>
                <w:color w:val="auto"/>
                <w:w w:val="86"/>
              </w:rPr>
              <w:t>Allowed</w:t>
            </w:r>
          </w:p>
        </w:tc>
      </w:tr>
      <w:tr>
        <w:trPr>
          <w:trHeight w:val="20"/>
        </w:trPr>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780" w:type="dxa"/>
            <w:vAlign w:val="bottom"/>
            <w:gridSpan w:val="2"/>
          </w:tcPr>
          <w:p>
            <w:pPr>
              <w:spacing w:after="0"/>
              <w:rPr>
                <w:sz w:val="20"/>
                <w:szCs w:val="20"/>
                <w:color w:val="auto"/>
              </w:rPr>
            </w:pPr>
            <w:r>
              <w:rPr>
                <w:rFonts w:ascii="Arial" w:cs="Arial" w:eastAsia="Arial" w:hAnsi="Arial"/>
                <w:sz w:val="18"/>
                <w:szCs w:val="18"/>
                <w:color w:val="auto"/>
                <w:w w:val="88"/>
              </w:rPr>
              <w:t>Proposal 1</w:t>
            </w:r>
          </w:p>
        </w:tc>
        <w:tc>
          <w:tcPr>
            <w:tcW w:w="4780" w:type="dxa"/>
            <w:vAlign w:val="bottom"/>
          </w:tcPr>
          <w:p>
            <w:pPr>
              <w:ind w:left="20"/>
              <w:spacing w:after="0"/>
              <w:rPr>
                <w:sz w:val="20"/>
                <w:szCs w:val="20"/>
                <w:color w:val="auto"/>
              </w:rPr>
            </w:pPr>
            <w:r>
              <w:rPr>
                <w:rFonts w:ascii="Arial" w:cs="Arial" w:eastAsia="Arial" w:hAnsi="Arial"/>
                <w:sz w:val="18"/>
                <w:szCs w:val="18"/>
                <w:color w:val="auto"/>
              </w:rPr>
              <w:t>– Election of five directors</w:t>
            </w: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Plurality of Votes Cast</w:t>
            </w:r>
          </w:p>
        </w:tc>
        <w:tc>
          <w:tcPr>
            <w:tcW w:w="52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No</w:t>
            </w: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w w:val="88"/>
              </w:rPr>
              <w:t>Proposal 2</w:t>
            </w:r>
          </w:p>
        </w:tc>
        <w:tc>
          <w:tcPr>
            <w:tcW w:w="4780" w:type="dxa"/>
            <w:vAlign w:val="bottom"/>
          </w:tcPr>
          <w:p>
            <w:pPr>
              <w:ind w:left="20"/>
              <w:spacing w:after="0"/>
              <w:rPr>
                <w:sz w:val="20"/>
                <w:szCs w:val="20"/>
                <w:color w:val="auto"/>
              </w:rPr>
            </w:pPr>
            <w:r>
              <w:rPr>
                <w:rFonts w:ascii="Arial" w:cs="Arial" w:eastAsia="Arial" w:hAnsi="Arial"/>
                <w:sz w:val="18"/>
                <w:szCs w:val="18"/>
                <w:color w:val="auto"/>
              </w:rPr>
              <w:t>– Ratification of auditors for the 2018 fiscal year</w:t>
            </w: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Majority of Votes Cast</w:t>
            </w:r>
          </w:p>
        </w:tc>
        <w:tc>
          <w:tcPr>
            <w:tcW w:w="52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Yes</w:t>
            </w: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color w:val="auto"/>
                <w:w w:val="88"/>
              </w:rPr>
              <w:t>Proposal 3</w:t>
            </w:r>
          </w:p>
        </w:tc>
        <w:tc>
          <w:tcPr>
            <w:tcW w:w="4780" w:type="dxa"/>
            <w:vAlign w:val="bottom"/>
          </w:tcPr>
          <w:p>
            <w:pPr>
              <w:ind w:left="20"/>
              <w:spacing w:after="0"/>
              <w:rPr>
                <w:sz w:val="20"/>
                <w:szCs w:val="20"/>
                <w:color w:val="auto"/>
              </w:rPr>
            </w:pPr>
            <w:r>
              <w:rPr>
                <w:rFonts w:ascii="Arial" w:cs="Arial" w:eastAsia="Arial" w:hAnsi="Arial"/>
                <w:sz w:val="18"/>
                <w:szCs w:val="18"/>
                <w:color w:val="auto"/>
                <w:w w:val="99"/>
              </w:rPr>
              <w:t>– Amendment of Certificate of Incorporation to decrease the</w:t>
            </w:r>
          </w:p>
        </w:tc>
        <w:tc>
          <w:tcPr>
            <w:tcW w:w="3080" w:type="dxa"/>
            <w:vAlign w:val="bottom"/>
            <w:gridSpan w:val="3"/>
          </w:tcPr>
          <w:p>
            <w:pPr>
              <w:ind w:left="400"/>
              <w:spacing w:after="0"/>
              <w:rPr>
                <w:sz w:val="20"/>
                <w:szCs w:val="20"/>
                <w:color w:val="auto"/>
              </w:rPr>
            </w:pPr>
            <w:r>
              <w:rPr>
                <w:rFonts w:ascii="Arial" w:cs="Arial" w:eastAsia="Arial" w:hAnsi="Arial"/>
                <w:sz w:val="18"/>
                <w:szCs w:val="18"/>
                <w:color w:val="auto"/>
              </w:rPr>
              <w:t>Majority of Shares Outstanding</w:t>
            </w:r>
          </w:p>
        </w:tc>
        <w:tc>
          <w:tcPr>
            <w:tcW w:w="52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83"/>
              </w:rPr>
              <w:t>Yes</w:t>
            </w:r>
          </w:p>
        </w:tc>
      </w:tr>
    </w:tbl>
    <w:p>
      <w:pPr>
        <w:ind w:left="660"/>
        <w:spacing w:after="0"/>
        <w:rPr>
          <w:sz w:val="20"/>
          <w:szCs w:val="20"/>
          <w:color w:val="auto"/>
        </w:rPr>
      </w:pPr>
      <w:r>
        <w:rPr>
          <w:rFonts w:ascii="Arial" w:cs="Arial" w:eastAsia="Arial" w:hAnsi="Arial"/>
          <w:sz w:val="18"/>
          <w:szCs w:val="18"/>
          <w:color w:val="auto"/>
        </w:rPr>
        <w:t>number of authorized shares of common stock from 90,000,000 to 55,000,000</w:t>
      </w:r>
    </w:p>
    <w:p>
      <w:pPr>
        <w:spacing w:after="0" w:line="211" w:lineRule="exact"/>
        <w:rPr>
          <w:sz w:val="20"/>
          <w:szCs w:val="20"/>
          <w:color w:val="auto"/>
        </w:rPr>
      </w:pPr>
    </w:p>
    <w:p>
      <w:pPr>
        <w:jc w:val="both"/>
        <w:ind w:firstLine="661"/>
        <w:spacing w:after="0" w:line="312" w:lineRule="auto"/>
        <w:rPr>
          <w:sz w:val="20"/>
          <w:szCs w:val="20"/>
          <w:color w:val="auto"/>
        </w:rPr>
      </w:pPr>
      <w:r>
        <w:rPr>
          <w:rFonts w:ascii="Arial" w:cs="Arial" w:eastAsia="Arial" w:hAnsi="Arial"/>
          <w:sz w:val="16"/>
          <w:szCs w:val="16"/>
          <w:color w:val="auto"/>
        </w:rPr>
        <w:t>With respect to Proposal 1, you may vote FOR or ABSTAIN. Abstentions and broker non-votes, if any, will have no effect on the outcome of Proposal 1. With respect to Proposals 2 and 3, you may vote FOR, AGAINST or ABSTAIN. Abstentions, if any, will have the same effect as an AGAINST vote for Proposals 2 and 3. Broker non-votes are not expected to result from Proposal 2 and will have the same effect as a vote AGAINST Proposal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delivering a written notice to our Corporate Secretary at 12264 El Camino Real, Suite 350, San Diego, California 92130 before the proxy is used;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2017 annual meeting of stockholders. At the Annual Meeting, stockholders will elect five directors to serve until the 2019 annual meeting of stockholders and until the directors’ respective successors are elected and qualified or their earlier death, resignation or removal.</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 Set forth below are the names, ages and certain other information of each director nominee as of April 11,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760" w:type="dxa"/>
            <w:vAlign w:val="bottom"/>
          </w:tcPr>
          <w:p>
            <w:pPr>
              <w:ind w:left="3000"/>
              <w:spacing w:after="0"/>
              <w:rPr>
                <w:sz w:val="20"/>
                <w:szCs w:val="20"/>
                <w:color w:val="auto"/>
              </w:rPr>
            </w:pPr>
            <w:r>
              <w:rPr>
                <w:rFonts w:ascii="Arial" w:cs="Arial" w:eastAsia="Arial" w:hAnsi="Arial"/>
                <w:sz w:val="18"/>
                <w:szCs w:val="18"/>
                <w:b w:val="1"/>
                <w:bCs w:val="1"/>
                <w:color w:val="auto"/>
              </w:rPr>
              <w:t>Position &amp; Committees</w:t>
            </w: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17"/>
                <w:szCs w:val="17"/>
                <w:color w:val="auto"/>
              </w:rPr>
            </w:pPr>
          </w:p>
        </w:tc>
        <w:tc>
          <w:tcPr>
            <w:tcW w:w="7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 Chief Executive Officer</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Robert J. Kammer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Chairman of the Board; Audit Committee; Compensation Committee*; Nomination and Corporate</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Governance Committee</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Stephen G. Austin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Director; Audit Committee*, Nomination and Corporate Governance Committee, Compensation</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Committee</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Anthony J. Principi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9"/>
              </w:rPr>
              <w:t>Director; Compensation Committee, Audit Committee and Nomination and Corporate Governance</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Committee*</w:t>
            </w: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member of the board of directors and Chief Executive Officer of Imprimis Pharmaceuticals, Inc. In 2011, Mr.</w:t>
      </w:r>
      <w:r>
        <w:rPr>
          <w:rFonts w:ascii="Arial" w:cs="Arial" w:eastAsia="Arial" w:hAnsi="Arial"/>
          <w:sz w:val="17"/>
          <w:szCs w:val="17"/>
          <w:b w:val="1"/>
          <w:bCs w:val="1"/>
          <w:color w:val="auto"/>
        </w:rPr>
        <w:t xml:space="preserve"> </w:t>
      </w:r>
      <w:r>
        <w:rPr>
          <w:rFonts w:ascii="Arial" w:cs="Arial" w:eastAsia="Arial" w:hAnsi="Arial"/>
          <w:sz w:val="17"/>
          <w:szCs w:val="17"/>
          <w:color w:val="auto"/>
        </w:rPr>
        <w:t>Baum led the restructuring and reorganization of Imprimis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the chairman of the board of privately held Eton Pharmaceuticals, Inc., and a senior advisor to Curology, Inc., a privately held dermatology focused business. From November 2012 until December 2017, Mr. Baum served on the board of directors for Ideal Power, Inc., where he was also chair of its audit committee. Mr. Baum brings to the Imprimis Board years of public company executive and board experience, including knowledge of securities laws, reporting requirements and public company finance-related issues. Mr. Baum is an active participant in the national drug pricing and accessibility discussion, contributing through interviews for television, radio and print and advocating for policy changes to help ease the burden to patients and payors resulting from current drug pricing policies.</w:t>
      </w:r>
    </w:p>
    <w:p>
      <w:pPr>
        <w:spacing w:after="0" w:line="17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Trustee of the University of Minnesota Foundation.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Anthony G. Principi, J.D. </w:t>
      </w:r>
      <w:r>
        <w:rPr>
          <w:rFonts w:ascii="Arial" w:cs="Arial" w:eastAsia="Arial" w:hAnsi="Arial"/>
          <w:sz w:val="16"/>
          <w:szCs w:val="16"/>
          <w:color w:val="auto"/>
        </w:rPr>
        <w:t>has been a director since September 2015. Mr. Principi has served as the Chairman of the Principi Group, LLC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2016. He was Chairman of the Spectrum Group (2012-2016)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Genesis Supply Holdings, LLC and GetWellNetwork®, Inc. Mr. Principi previously served as Executive Chairman of QTC Management, the largest provider of medical and disability evaluations to the federal government, and also served on the board of directors of Perot Systems, Inc. and Engility Holdings, Inc. Mr. Principi received a Bachelor of Science from the U.S. Naval Academy and a Juris Doctor from Seton Hall University School of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2018,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2017 and 2016,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Audit-Related Fees</w:t>
            </w:r>
          </w:p>
        </w:tc>
        <w:tc>
          <w:tcPr>
            <w:tcW w:w="2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25,300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12,575</w:t>
            </w:r>
          </w:p>
        </w:tc>
      </w:tr>
      <w:tr>
        <w:trPr>
          <w:trHeight w:val="25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3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164,574</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There were no fees billed by or paid to our principal accountant during the years ended December 31, 2017 and 2016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2017 and 2016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AN AMENDMENT TO OUR CERTIFICATE OF INCORPORATION TO DECREASE THE NUMBER OF SHARES OF COMMON STOCK AUTHORIZED FOR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due consideration, our Board has determined that it is in the best interests of the Company and its stockholders to amend the Company’s Amended and Restated Certificate of Incorporation to decrease the authorized number of shares of common stock from 90,000,000 shares to 55,000,000 shares (the “Certificate Amendment”), and is submitting the Certificate Amendment to the Company’s stockholders.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2017, the Company had 20,623,129 shares of common stock issued and outstanding, 2,259,979 shares of common stock issuable upon exercise of outstanding options, 1,436,013 shares of common stock issuable upon the vesting (or otherwise vested and shares not yet delivered) of outstanding restricted stock units, 1,997,500 shares of common stock reserved for issuance and available for future grant under our equity incentive plans and 6,264,215 shares of common stock issuable upon exercise of outstanding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Certificate Amendment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authorized to issue 90,000,000 shares of common stock and 5,000,000 shares of preferred stock (which are designated as “blank check” preferred stock). Because the Board is mindful about the potential dilutive effect on existing stockholders, and because the current 90,000,000 authorized shares provides significantly more available shares than the Board believes are necessary for reasonably foreseeable future needs, the Board of Directors has approved and recommended to the stockholders an amendment to our Certificate of Incorporation to decrease the number of authorized shares of our common stock from 90,000,000 to 55,000,000. Our Board of Directors believes this number of authorized shares of common stock will provide us with sufficient shares of authorized capital stock available to be issued for any proper corporate purpose without further stockholder action. In addition, this reduction in authorized common shares will have the short-term effect of significantly reducing our Delaware franchise tax obligations. We estimate that it could reduce our Delaware franchise tax obligation by $25,000 annually.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Amendment and Additional Anti-takeover Considerations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and this proposal is not being presented with the intent that it be used in connection with any such acquisition attempt.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does not propose to make, and the Certificate Amendment would not make, any adjustments to the number of authorized shares of “blank check” preferred stock. As of the date of this proxy statement, 10 shares of preferred stock have been designated as Series A Preferred Stock, none of which are issued and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the Certificate Amendment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stockholders approve the Certificate Amendment, we propose to file with the Secretary of State of the State of Delaware a restatement of our Certificate of Incorporation that effects the reduction to our authorized shares of common stock and incorporates prior amendments to our Certificate of Incorporation, a copy of which is attached to this proxy statement as Annex A. Such reduction will become effective at the time and on the date of the filing of, or at such later time as is specified in, the restated Certificate of Incorporation. Subject to the discretion of the Board, which could elect to abandon the Certificate of Amendment at any time before or after stockholder approval, we expect to file the proposed restated Certificate of Incorporation with the Secretary of State of the State of Delaware as soon as practicable following stockholder approval.</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Delaware law, the Company’s Certificate of Incorporation, nor the Company’s Bylaws provides for appraisal or other similar rights for dissenting stockholders in connection with this proposal. Accordingly, the Company’s stockholders will have no right to dissent and obtain payment for their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our outstanding shares of common stock will be required to approve the Certificate Amendment. Broker non-votes and abstentions will have the effect of a vote against this proposal.</w:t>
      </w:r>
    </w:p>
    <w:p>
      <w:pPr>
        <w:spacing w:after="0" w:line="166" w:lineRule="exact"/>
        <w:rPr>
          <w:sz w:val="20"/>
          <w:szCs w:val="20"/>
          <w:color w:val="auto"/>
        </w:rPr>
      </w:pPr>
    </w:p>
    <w:p>
      <w:pPr>
        <w:jc w:val="both"/>
        <w:ind w:left="20" w:right="20" w:firstLine="129"/>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OUR CERTIFICATE OF INCORPORATION TO DECREASE THE NUMBER OF SHARES OF COMMON STOCK AUTHORIZED FOR ISSUANCE.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Anthony G. Principi, and Mark L. Baum. The Board has determined that (i) Mr. Austin, Mr. Principi and Dr. Kammer, comprising a majority of our current Board, are “independent” directors, as that term is defined by Nasdaq Marketplace Rule 5605(a)(2). Mr. Baum is not independent because he currently serves as our Chief Executive Officer.</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2017, Dr. Lindstrom entered into a license agreement with the Company related to certain ophthalmology products and patents. Our Board of Directors has reviewed the license agreement and financials terms, and has continued to review independence related requirements in regard to Dr. Lindstrom and the Company.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expected to be paid in May 2018, he will no longer be an independent director. In April 2018, Dr. Lindstrom was replaced by Dr. Kammer as a member of our Nomination and Corporate Governance Committee and as chair of the Compensation Committee of our board of directors. Dr. Lindstrom no longer serves on any committees of the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Securities Exchange Act of 1934, as amended (the “Exchange Act”). Stockholders may obtain a copy of our Bylaws by writing to our Corporate Secretary at Imprimis Pharmaceuticals, Inc., c/o Corporate Secretary, 12264 El Camino Real, Suite 350, San Diego, California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Imprimis Pharmaceuticals,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2017, the Board held six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2017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is currently composed of Messrs. Stephen Austin (Chairman), Anthony Principi and Robert Kammer. Our Board has affirmatively determined that each member of the Audit Committee in 2017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qualifies as an “audit committee financial expert” as such term is defined in Regulation S-K under the Securities Act of 1933. The Audit Committee held eight meetings in 2017.</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Compensation Committee is currently composed of Messrs. Robert Kammer (Chairman), Anthony Principi and Stephen Austin. Our Board has affirmatively determined that each member of the Compensation Committee during 2017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six meetings in 2017.</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http://imprimispharma.investorroom.com.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Nomination and Corporate Governance Committee is currently composed of Messrs. Anthony Principi (Chairman), Stephen Austin and Robert Kammer. Our Board has affirmatively determined that each member of the Nomination and Corporate Governance Committee during 2017 was independent under Nasdaq Marketplace Rule 5605(a)(2), and that each current member of the Nomination and Corporate Governance Committee is independent under Nasdaq Marketplace Rule 5605(a)(2). The Nomination and Corporate Governance Committee held four meetings in 2017.</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and Corporate Governance Committee acts pursuant to a written charter that has been adopted by the Board, which is available for review on our website at http://imprimispharma.investorroom.com.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Board/Committee</w:t>
            </w:r>
          </w:p>
        </w:tc>
        <w:tc>
          <w:tcPr>
            <w:tcW w:w="798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40" w:type="dxa"/>
            <w:vAlign w:val="bottom"/>
          </w:tcPr>
          <w:p>
            <w:pPr>
              <w:spacing w:after="0"/>
              <w:rPr>
                <w:sz w:val="17"/>
                <w:szCs w:val="17"/>
                <w:color w:val="auto"/>
              </w:rPr>
            </w:pPr>
          </w:p>
        </w:tc>
        <w:tc>
          <w:tcPr>
            <w:tcW w:w="7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Risks and exposures associated with our business strategy and other current matters that may present material</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risk to our financial performance, operations, prospects or reputation.</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7980" w:type="dxa"/>
            <w:vAlign w:val="bottom"/>
          </w:tcPr>
          <w:p>
            <w:pPr>
              <w:spacing w:after="0"/>
              <w:rPr>
                <w:sz w:val="20"/>
                <w:szCs w:val="20"/>
                <w:color w:val="auto"/>
              </w:rPr>
            </w:pPr>
            <w:r>
              <w:rPr>
                <w:rFonts w:ascii="Arial" w:cs="Arial" w:eastAsia="Arial" w:hAnsi="Arial"/>
                <w:sz w:val="18"/>
                <w:szCs w:val="18"/>
                <w:color w:val="auto"/>
                <w:w w:val="94"/>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8"/>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transactions, as well as other risks and exposures that may have a material impact on our financial statements.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7980" w:type="dxa"/>
            <w:vAlign w:val="bottom"/>
          </w:tcPr>
          <w:p>
            <w:pPr>
              <w:spacing w:after="0"/>
              <w:rPr>
                <w:sz w:val="20"/>
                <w:szCs w:val="20"/>
                <w:color w:val="auto"/>
              </w:rPr>
            </w:pPr>
            <w:r>
              <w:rPr>
                <w:rFonts w:ascii="Arial" w:cs="Arial" w:eastAsia="Arial" w:hAnsi="Arial"/>
                <w:sz w:val="18"/>
                <w:szCs w:val="18"/>
                <w:color w:val="auto"/>
                <w:w w:val="89"/>
              </w:rPr>
              <w:t>Risks and exposures associated with management succession planning and executive compensation programs</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and arrangements, including incentive plans.</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Nomination and Corporate Governance</w:t>
            </w:r>
          </w:p>
        </w:tc>
        <w:tc>
          <w:tcPr>
            <w:tcW w:w="7980" w:type="dxa"/>
            <w:vAlign w:val="bottom"/>
          </w:tcPr>
          <w:p>
            <w:pPr>
              <w:spacing w:after="0"/>
              <w:rPr>
                <w:sz w:val="20"/>
                <w:szCs w:val="20"/>
                <w:color w:val="auto"/>
              </w:rPr>
            </w:pPr>
            <w:r>
              <w:rPr>
                <w:rFonts w:ascii="Arial" w:cs="Arial" w:eastAsia="Arial" w:hAnsi="Arial"/>
                <w:sz w:val="18"/>
                <w:szCs w:val="18"/>
                <w:color w:val="auto"/>
                <w:w w:val="92"/>
              </w:rPr>
              <w:t>Risks and exposures associated with director succession planning, corporate governance, and overall board</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Committee</w:t>
            </w:r>
          </w:p>
        </w:tc>
        <w:tc>
          <w:tcPr>
            <w:tcW w:w="798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798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 2017, we entered into a license agreement (the “Klarity License Agreement”) with Dr. Lindstrom.,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expected to be paid in May 2018, he will no longer be an independent director. In April 2018, Dr. Lindstrom was replaced by Dr. Kammer as a member of our Nomination and Corporate Governance Committee and as chair of the Compensation Committee of our board of directors. Dr. Lindstrom no longer serves on any committees of the Board.</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the beginning of 2017, there have been no other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2017, all executive officers, directors and greater than 10% beneficial owners of our common stock complied with the reporting requirements of Section 16(a) of the Exchange Act.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Executive officers are appointed by our Board and serve at its discretion. Set forth below is information regarding our executive officers as of April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00" w:type="dxa"/>
            <w:vAlign w:val="bottom"/>
          </w:tcPr>
          <w:p>
            <w:pPr>
              <w:spacing w:after="0"/>
              <w:rPr>
                <w:sz w:val="17"/>
                <w:szCs w:val="17"/>
                <w:color w:val="auto"/>
              </w:rPr>
            </w:pPr>
          </w:p>
        </w:tc>
        <w:tc>
          <w:tcPr>
            <w:tcW w:w="6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45</w:t>
            </w:r>
          </w:p>
        </w:tc>
      </w:tr>
      <w:tr>
        <w:trPr>
          <w:trHeight w:val="216"/>
        </w:trPr>
        <w:tc>
          <w:tcPr>
            <w:tcW w:w="2280" w:type="dxa"/>
            <w:vAlign w:val="bottom"/>
            <w:gridSpan w:val="3"/>
          </w:tcPr>
          <w:p>
            <w:pPr>
              <w:spacing w:after="0"/>
              <w:rPr>
                <w:sz w:val="20"/>
                <w:szCs w:val="20"/>
                <w:color w:val="auto"/>
              </w:rPr>
            </w:pPr>
            <w:r>
              <w:rPr>
                <w:rFonts w:ascii="Arial" w:cs="Arial" w:eastAsia="Arial" w:hAnsi="Arial"/>
                <w:sz w:val="18"/>
                <w:szCs w:val="18"/>
                <w:color w:val="auto"/>
              </w:rPr>
              <w:t>Andrew R. Boll</w:t>
            </w:r>
          </w:p>
        </w:tc>
        <w:tc>
          <w:tcPr>
            <w:tcW w:w="6960" w:type="dxa"/>
            <w:vAlign w:val="bottom"/>
            <w:gridSpan w:val="2"/>
          </w:tcPr>
          <w:p>
            <w:pPr>
              <w:spacing w:after="0"/>
              <w:rPr>
                <w:sz w:val="20"/>
                <w:szCs w:val="20"/>
                <w:color w:val="auto"/>
              </w:rPr>
            </w:pPr>
            <w:r>
              <w:rPr>
                <w:rFonts w:ascii="Arial" w:cs="Arial" w:eastAsia="Arial" w:hAnsi="Arial"/>
                <w:sz w:val="18"/>
                <w:szCs w:val="18"/>
                <w:color w:val="auto"/>
              </w:rPr>
              <w:t>Chief Financial Officer and Corporate Secretary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30"/>
        </w:trPr>
        <w:tc>
          <w:tcPr>
            <w:tcW w:w="2280" w:type="dxa"/>
            <w:vAlign w:val="bottom"/>
            <w:gridSpan w:val="3"/>
          </w:tcPr>
          <w:p>
            <w:pPr>
              <w:spacing w:after="0"/>
              <w:rPr>
                <w:sz w:val="20"/>
                <w:szCs w:val="20"/>
                <w:color w:val="auto"/>
              </w:rPr>
            </w:pPr>
            <w:r>
              <w:rPr>
                <w:rFonts w:ascii="Arial" w:cs="Arial" w:eastAsia="Arial" w:hAnsi="Arial"/>
                <w:sz w:val="18"/>
                <w:szCs w:val="18"/>
                <w:color w:val="auto"/>
              </w:rPr>
              <w:t>John P. Saharek</w:t>
            </w:r>
          </w:p>
        </w:tc>
        <w:tc>
          <w:tcPr>
            <w:tcW w:w="696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started with Imprimis in December 2011, and has served as our Chief Financial Officer since his promotion to that role</w:t>
      </w:r>
      <w:r>
        <w:rPr>
          <w:rFonts w:ascii="Arial" w:cs="Arial" w:eastAsia="Arial" w:hAnsi="Arial"/>
          <w:sz w:val="16"/>
          <w:szCs w:val="16"/>
          <w:b w:val="1"/>
          <w:bCs w:val="1"/>
          <w:color w:val="auto"/>
        </w:rPr>
        <w:t xml:space="preserve"> </w:t>
      </w:r>
      <w:r>
        <w:rPr>
          <w:rFonts w:ascii="Arial" w:cs="Arial" w:eastAsia="Arial" w:hAnsi="Arial"/>
          <w:sz w:val="16"/>
          <w:szCs w:val="16"/>
          <w:color w:val="auto"/>
        </w:rPr>
        <w:t>in February 2015. He oversees the Company’s general and administrative functions and departments including its accounting and financial reporting, investor relations, human resources, legal and other operational departments. Prior to his start at Imprimis, from November 2007 to November 2011, Mr. Boll worked for BCGU, LLC, a privately held fund manager specializing in micro-cap, small-cap and venture type investment opportunities. There he performed fund accounting and financial analyses, and provided financial and accounting consulting services to public and private company accounts. From 2004 to 2007, Mr. Boll held various accounting roles at Welsh Companies, LLC, a privately held commercial real estate company, its fund and its other subsidiaries. Mr. Boll is a CFA charterholder, Certified Management Accountant and earned his Bachelor of Science degree in Corporate and Public Finance. He is a member of the Institute of Management Accountants, the CFA Institute, and the CFA Society of San Diego.</w:t>
      </w:r>
    </w:p>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John P. Saharek </w:t>
      </w:r>
      <w:r>
        <w:rPr>
          <w:rFonts w:ascii="Arial" w:cs="Arial" w:eastAsia="Arial" w:hAnsi="Arial"/>
          <w:sz w:val="16"/>
          <w:szCs w:val="16"/>
          <w:color w:val="auto"/>
        </w:rPr>
        <w:t>started with Imprimis as our Vice President of Commercialization, Ophthalmology in November 2013 until his promotion to Chief</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Officer in February 2015. Mr. Saharek oversees all of the Company’s commercial activities, including marketing, sales and customer care departments. He is a senior healthcare industry executive with over 30 years of experience developing and commercializing pharmaceutical, biotech, surgical device and diagnostic product portfolios. Before joining the Company, he was the Head of U.S. Marketing and Strategy (April 2013 to October 2013) and National Director, Sales and Reimbursement (July 2011 to April 2013) for ThromboGenics Inc., a biotherapeutics company. Prior to that he was Vice President, Business Development at SurModics Inc., a provider of medical device coatings and in vitro diagnostic products, from March 2006 to July 2011. Earlier in his career, he held positions in marketing and sales at a number of companies, including his tenure with Bausch &amp; Lomb. Mr. Saharek has a Master’s degree in Business Administration from the University of Hartford and a Bachelor’s degree from Central Connecticut State University.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Year Ending December 31, 2017</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non-employee director compensation arrangements for 2017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Retainer and</w:t>
            </w:r>
          </w:p>
        </w:tc>
      </w:tr>
      <w:tr>
        <w:trPr>
          <w:trHeight w:val="237"/>
        </w:trPr>
        <w:tc>
          <w:tcPr>
            <w:tcW w:w="5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Meeting Fees</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1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2017, the Company granted an aggregate of 62,892 restricted stock unit awards (“RSUs”) (15,723 RSUs per director) to its non-employee directors, with an aggregate value of approximately $250,000.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compensation earned by or awarded or paid in 2017 to the individuals who served as our non-employee directors during such period. All compensation received by Mr. Baum, is disclosed in the Summary Compensation Table below. Mr. Baum did not receive any additional compensation for his services as a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Fees Earned</w:t>
            </w:r>
          </w:p>
        </w:tc>
        <w:tc>
          <w:tcPr>
            <w:tcW w:w="2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or Paid in</w:t>
            </w:r>
          </w:p>
        </w:tc>
        <w:tc>
          <w:tcPr>
            <w:tcW w:w="2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Cash ($)</w:t>
            </w:r>
          </w:p>
        </w:tc>
        <w:tc>
          <w:tcPr>
            <w:tcW w:w="24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Awards($)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3"/>
              </w:rPr>
              <w:t>60,625</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Stephen Austin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59,000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49,999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108,999</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52,875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49,999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102,874</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58,375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49,999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108,374</w:t>
            </w:r>
          </w:p>
        </w:tc>
      </w:tr>
    </w:tbl>
    <w:p>
      <w:pPr>
        <w:spacing w:after="0" w:line="187" w:lineRule="exact"/>
        <w:rPr>
          <w:sz w:val="20"/>
          <w:szCs w:val="20"/>
          <w:color w:val="auto"/>
        </w:rPr>
      </w:pPr>
    </w:p>
    <w:p>
      <w:pPr>
        <w:jc w:val="both"/>
        <w:ind w:left="340" w:hanging="332"/>
        <w:spacing w:after="0" w:line="31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in 2017, measured in accordance with FASB Accounting Standards Codification (“ASC”) Topic 718 (“Topic 718”) and without adjustment for estimated forfeitures. For a discussion of the assumptions used to calculate the value of equity awards, refer to Note 13 to our consolidated financial statements for the fiscal year ended December 31, 2017 included in the Annual Report.</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2017 by each non-employee director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Underlying</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Restricted</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Stock</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Stock Unit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41"/>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r>
      <w:tr>
        <w:trPr>
          <w:trHeight w:val="21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48,182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48,182</w:t>
            </w:r>
          </w:p>
        </w:tc>
        <w:tc>
          <w:tcPr>
            <w:tcW w:w="228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39,163</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39,163</w:t>
            </w:r>
          </w:p>
        </w:tc>
        <w:tc>
          <w:tcPr>
            <w:tcW w:w="228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18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32,986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32,986</w:t>
            </w:r>
          </w:p>
        </w:tc>
        <w:tc>
          <w:tcPr>
            <w:tcW w:w="2280" w:type="dxa"/>
            <w:vAlign w:val="bottom"/>
          </w:tcPr>
          <w:p>
            <w:pPr>
              <w:spacing w:after="0"/>
              <w:rPr>
                <w:sz w:val="20"/>
                <w:szCs w:val="20"/>
                <w:color w:val="auto"/>
              </w:rPr>
            </w:pPr>
          </w:p>
        </w:tc>
      </w:tr>
      <w:tr>
        <w:trPr>
          <w:trHeight w:val="425"/>
        </w:trPr>
        <w:tc>
          <w:tcPr>
            <w:tcW w:w="4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778"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and currently does not operate at a profit,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its charter, the Compensation Committee is responsible for, among other things, reviewing and evaluating our executive officer compensation program, including, among other things: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other executive officers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decision to engage Radford was not made or recommended by the Company’s management. The Compensation Committee, after a review of the factors set forth in Section 10C-1of the Securities Exchange Act of 1934 and NASDAQ requirements, has determined that the work performed by Radford in 2015 and in 2016 does not present any conflicts of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3560" w:type="dxa"/>
            <w:vAlign w:val="bottom"/>
          </w:tcPr>
          <w:p>
            <w:pPr>
              <w:ind w:left="1040"/>
              <w:spacing w:after="0"/>
              <w:rPr>
                <w:sz w:val="20"/>
                <w:szCs w:val="20"/>
                <w:color w:val="auto"/>
              </w:rPr>
            </w:pPr>
            <w:r>
              <w:rPr>
                <w:rFonts w:ascii="Arial" w:cs="Arial" w:eastAsia="Arial" w:hAnsi="Arial"/>
                <w:sz w:val="18"/>
                <w:szCs w:val="18"/>
                <w:color w:val="auto"/>
              </w:rPr>
              <w:t>Biodel</w:t>
            </w:r>
          </w:p>
        </w:tc>
        <w:tc>
          <w:tcPr>
            <w:tcW w:w="2640" w:type="dxa"/>
            <w:vAlign w:val="bottom"/>
          </w:tcPr>
          <w:p>
            <w:pPr>
              <w:ind w:left="560"/>
              <w:spacing w:after="0"/>
              <w:rPr>
                <w:sz w:val="20"/>
                <w:szCs w:val="20"/>
                <w:color w:val="auto"/>
              </w:rPr>
            </w:pPr>
            <w:r>
              <w:rPr>
                <w:rFonts w:ascii="Arial" w:cs="Arial" w:eastAsia="Arial" w:hAnsi="Arial"/>
                <w:sz w:val="18"/>
                <w:szCs w:val="18"/>
                <w:color w:val="auto"/>
              </w:rPr>
              <w:t>Omeros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ADMA Biologics</w:t>
            </w:r>
          </w:p>
        </w:tc>
        <w:tc>
          <w:tcPr>
            <w:tcW w:w="3560" w:type="dxa"/>
            <w:vAlign w:val="bottom"/>
          </w:tcPr>
          <w:p>
            <w:pPr>
              <w:ind w:left="1040"/>
              <w:spacing w:after="0"/>
              <w:rPr>
                <w:sz w:val="20"/>
                <w:szCs w:val="20"/>
                <w:color w:val="auto"/>
              </w:rPr>
            </w:pPr>
            <w:r>
              <w:rPr>
                <w:rFonts w:ascii="Arial" w:cs="Arial" w:eastAsia="Arial" w:hAnsi="Arial"/>
                <w:sz w:val="18"/>
                <w:szCs w:val="18"/>
                <w:color w:val="auto"/>
              </w:rPr>
              <w:t>Biota Pharmaceuticals, Inc.</w:t>
            </w:r>
          </w:p>
        </w:tc>
        <w:tc>
          <w:tcPr>
            <w:tcW w:w="2640" w:type="dxa"/>
            <w:vAlign w:val="bottom"/>
          </w:tcPr>
          <w:p>
            <w:pPr>
              <w:ind w:left="560"/>
              <w:spacing w:after="0"/>
              <w:rPr>
                <w:sz w:val="20"/>
                <w:szCs w:val="20"/>
                <w:color w:val="auto"/>
              </w:rPr>
            </w:pPr>
            <w:r>
              <w:rPr>
                <w:rFonts w:ascii="Arial" w:cs="Arial" w:eastAsia="Arial" w:hAnsi="Arial"/>
                <w:sz w:val="18"/>
                <w:szCs w:val="18"/>
                <w:color w:val="auto"/>
                <w:w w:val="87"/>
              </w:rPr>
              <w:t>OncoGenex Pharmaceuticals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Alderyra Therapeutics</w:t>
            </w:r>
          </w:p>
        </w:tc>
        <w:tc>
          <w:tcPr>
            <w:tcW w:w="3560" w:type="dxa"/>
            <w:vAlign w:val="bottom"/>
          </w:tcPr>
          <w:p>
            <w:pPr>
              <w:ind w:left="1040"/>
              <w:spacing w:after="0"/>
              <w:rPr>
                <w:sz w:val="20"/>
                <w:szCs w:val="20"/>
                <w:color w:val="auto"/>
              </w:rPr>
            </w:pPr>
            <w:r>
              <w:rPr>
                <w:rFonts w:ascii="Arial" w:cs="Arial" w:eastAsia="Arial" w:hAnsi="Arial"/>
                <w:sz w:val="18"/>
                <w:szCs w:val="18"/>
                <w:color w:val="auto"/>
              </w:rPr>
              <w:t>Caladrius Biosciences</w:t>
            </w:r>
          </w:p>
        </w:tc>
        <w:tc>
          <w:tcPr>
            <w:tcW w:w="2640" w:type="dxa"/>
            <w:vAlign w:val="bottom"/>
          </w:tcPr>
          <w:p>
            <w:pPr>
              <w:ind w:left="560"/>
              <w:spacing w:after="0"/>
              <w:rPr>
                <w:sz w:val="20"/>
                <w:szCs w:val="20"/>
                <w:color w:val="auto"/>
              </w:rPr>
            </w:pPr>
            <w:r>
              <w:rPr>
                <w:rFonts w:ascii="Arial" w:cs="Arial" w:eastAsia="Arial" w:hAnsi="Arial"/>
                <w:sz w:val="18"/>
                <w:szCs w:val="18"/>
                <w:color w:val="auto"/>
                <w:w w:val="95"/>
              </w:rPr>
              <w:t>Peregrine Pharmaceuticals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Alimera Sciences</w:t>
            </w:r>
          </w:p>
        </w:tc>
        <w:tc>
          <w:tcPr>
            <w:tcW w:w="3560" w:type="dxa"/>
            <w:vAlign w:val="bottom"/>
          </w:tcPr>
          <w:p>
            <w:pPr>
              <w:ind w:left="1040"/>
              <w:spacing w:after="0"/>
              <w:rPr>
                <w:sz w:val="20"/>
                <w:szCs w:val="20"/>
                <w:color w:val="auto"/>
              </w:rPr>
            </w:pPr>
            <w:r>
              <w:rPr>
                <w:rFonts w:ascii="Arial" w:cs="Arial" w:eastAsia="Arial" w:hAnsi="Arial"/>
                <w:sz w:val="18"/>
                <w:szCs w:val="18"/>
                <w:color w:val="auto"/>
              </w:rPr>
              <w:t>Cytori Therapeutics</w:t>
            </w:r>
          </w:p>
        </w:tc>
        <w:tc>
          <w:tcPr>
            <w:tcW w:w="2640" w:type="dxa"/>
            <w:vAlign w:val="bottom"/>
          </w:tcPr>
          <w:p>
            <w:pPr>
              <w:ind w:left="560"/>
              <w:spacing w:after="0"/>
              <w:rPr>
                <w:sz w:val="20"/>
                <w:szCs w:val="20"/>
                <w:color w:val="auto"/>
              </w:rPr>
            </w:pPr>
            <w:r>
              <w:rPr>
                <w:rFonts w:ascii="Arial" w:cs="Arial" w:eastAsia="Arial" w:hAnsi="Arial"/>
                <w:sz w:val="18"/>
                <w:szCs w:val="18"/>
                <w:color w:val="auto"/>
              </w:rPr>
              <w:t>Repros Therapeutics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Apricus Biosciences</w:t>
            </w:r>
          </w:p>
        </w:tc>
        <w:tc>
          <w:tcPr>
            <w:tcW w:w="3560" w:type="dxa"/>
            <w:vAlign w:val="bottom"/>
          </w:tcPr>
          <w:p>
            <w:pPr>
              <w:ind w:left="1040"/>
              <w:spacing w:after="0"/>
              <w:rPr>
                <w:sz w:val="20"/>
                <w:szCs w:val="20"/>
                <w:color w:val="auto"/>
              </w:rPr>
            </w:pPr>
            <w:r>
              <w:rPr>
                <w:rFonts w:ascii="Arial" w:cs="Arial" w:eastAsia="Arial" w:hAnsi="Arial"/>
                <w:sz w:val="18"/>
                <w:szCs w:val="18"/>
                <w:color w:val="auto"/>
              </w:rPr>
              <w:t>Histogenics</w:t>
            </w:r>
          </w:p>
        </w:tc>
        <w:tc>
          <w:tcPr>
            <w:tcW w:w="2640" w:type="dxa"/>
            <w:vAlign w:val="bottom"/>
          </w:tcPr>
          <w:p>
            <w:pPr>
              <w:ind w:left="560"/>
              <w:spacing w:after="0"/>
              <w:rPr>
                <w:sz w:val="20"/>
                <w:szCs w:val="20"/>
                <w:color w:val="auto"/>
              </w:rPr>
            </w:pPr>
            <w:r>
              <w:rPr>
                <w:rFonts w:ascii="Arial" w:cs="Arial" w:eastAsia="Arial" w:hAnsi="Arial"/>
                <w:sz w:val="18"/>
                <w:szCs w:val="18"/>
                <w:color w:val="auto"/>
              </w:rPr>
              <w:t>Vital Therapies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Aradigm</w:t>
            </w:r>
          </w:p>
        </w:tc>
        <w:tc>
          <w:tcPr>
            <w:tcW w:w="3560" w:type="dxa"/>
            <w:vAlign w:val="bottom"/>
          </w:tcPr>
          <w:p>
            <w:pPr>
              <w:ind w:left="1040"/>
              <w:spacing w:after="0"/>
              <w:rPr>
                <w:sz w:val="20"/>
                <w:szCs w:val="20"/>
                <w:color w:val="auto"/>
              </w:rPr>
            </w:pPr>
            <w:r>
              <w:rPr>
                <w:rFonts w:ascii="Arial" w:cs="Arial" w:eastAsia="Arial" w:hAnsi="Arial"/>
                <w:sz w:val="18"/>
                <w:szCs w:val="18"/>
                <w:color w:val="auto"/>
              </w:rPr>
              <w:t>InSite Vision</w:t>
            </w:r>
          </w:p>
        </w:tc>
        <w:tc>
          <w:tcPr>
            <w:tcW w:w="264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3560" w:type="dxa"/>
            <w:vAlign w:val="bottom"/>
          </w:tcPr>
          <w:p>
            <w:pPr>
              <w:ind w:left="1040"/>
              <w:spacing w:after="0"/>
              <w:rPr>
                <w:sz w:val="20"/>
                <w:szCs w:val="20"/>
                <w:color w:val="auto"/>
              </w:rPr>
            </w:pPr>
            <w:r>
              <w:rPr>
                <w:rFonts w:ascii="Arial" w:cs="Arial" w:eastAsia="Arial" w:hAnsi="Arial"/>
                <w:sz w:val="18"/>
                <w:szCs w:val="18"/>
                <w:color w:val="auto"/>
              </w:rPr>
              <w:t>Ocular Therapeutix</w:t>
            </w:r>
          </w:p>
        </w:tc>
        <w:tc>
          <w:tcPr>
            <w:tcW w:w="26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as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2017, our executive compensation program consisted of the following forms of compensation, each of which are described in greater detail:</w:t>
      </w: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executive officers based on the foregoing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2017 and 2018, executive officers, except for the Chief Executive Officer, are assigned annual incentive bonus targets with 80% of the bonus attributed to corporate performance and 20% based on individual performance. For 2017 and 2018,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2017 and 2018 were 65% of annual base salary for our Chief Executive Officer and 50% for all other executive officers. In addition to their 2018 target bonus amounts, the executive officers are also being allowed one-time bonus opportunities related to profitability metrics and an increase in cash balance.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2017, our Chief Executive Officer a cash incentive bonus equal to 9% of his annual base salary, our Chief Financial Officer a cash incentive bonus equal to 17.5% of his annual base salary and our Chief Commercial Officer a cash incentive bonus equal to 17.5% of his annual base salary.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Compensation for 2016</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Executive Compensation Assessment report prepared by Radford in December 2015 provided a competitive assessment of the Company’s compensation practices as compared to that of the 2015 peer group. The Compensation Committee determined to aim and set its executives’ base salaries and total target based cash compensation amounts (base salary plus target bonus) for 2016, in aggregate, at levels near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bottom quartile)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salaries of executives with similar roles as compared to the 2015 peer group and set its executives equity compensation levels near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upper quartile) of level of the Company’s equity guidelines. The Compensation Committee focused on the Company’s financial and working capital condition when making these compensation decisions. The current pay structure allows the Company to preserve cash, while, we believe, providing competitive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compensation packages to its executives, and more closely align them near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in total direct compensation (cash and equity in aggregate) of their counterparts within the 2015 peer group. The Company also entered into new employment agreements in April 2016 with its executive officers as further described below which provides for uniform employment agreements with its executives and, we believe, are representative of market based terms and conditions. The April 2016 employment agreements also eliminated provisions described in prior employment agreements related to gross-up payments equal to the amount of any excise tax owed by an executive as a result of any severance payments related to a change of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(1) our principal executive officer and (2) our next two highest compensated executive officers other than the principal executive officer.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Non-Equity Plan</w:t>
            </w:r>
          </w:p>
        </w:tc>
        <w:tc>
          <w:tcPr>
            <w:tcW w:w="1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All Other Compensation(1)</w:t>
            </w:r>
          </w:p>
        </w:tc>
        <w:tc>
          <w:tcPr>
            <w:tcW w:w="100" w:type="dxa"/>
            <w:vAlign w:val="bottom"/>
          </w:tcPr>
          <w:p>
            <w:pPr>
              <w:spacing w:after="0"/>
              <w:rPr>
                <w:sz w:val="14"/>
                <w:szCs w:val="14"/>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Awards(1)</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Awards(1)</w:t>
            </w:r>
          </w:p>
        </w:tc>
        <w:tc>
          <w:tcPr>
            <w:tcW w:w="14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Compensation(2)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Mark L. Baum</w:t>
            </w:r>
          </w:p>
        </w:tc>
        <w:tc>
          <w:tcPr>
            <w:tcW w:w="120" w:type="dxa"/>
            <w:vAlign w:val="bottom"/>
            <w:vMerge w:val="continue"/>
            <w:shd w:val="clear" w:color="auto" w:fill="CCEEFF"/>
          </w:tcPr>
          <w:p>
            <w:pPr>
              <w:spacing w:after="0"/>
              <w:rPr>
                <w:sz w:val="11"/>
                <w:szCs w:val="11"/>
                <w:color w:val="auto"/>
              </w:rPr>
            </w:pPr>
          </w:p>
        </w:tc>
        <w:tc>
          <w:tcPr>
            <w:tcW w:w="54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2017</w:t>
            </w:r>
          </w:p>
        </w:tc>
        <w:tc>
          <w:tcPr>
            <w:tcW w:w="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417,347(4)</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303,408</w:t>
            </w:r>
          </w:p>
        </w:tc>
        <w:tc>
          <w:tcPr>
            <w:tcW w:w="2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35,968</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156,271(5)</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912,994</w:t>
            </w:r>
          </w:p>
        </w:tc>
        <w:tc>
          <w:tcPr>
            <w:tcW w:w="1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Executive Officer</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372,386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2,072,933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544,860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153,043</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10,600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3,153,822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R. Boll</w:t>
            </w:r>
          </w:p>
        </w:tc>
        <w:tc>
          <w:tcPr>
            <w:tcW w:w="66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285,769(6)</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104,297</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45,063</w:t>
            </w:r>
          </w:p>
        </w:tc>
        <w:tc>
          <w:tcPr>
            <w:tcW w:w="5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89,040(7)</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524,169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Financial Officer</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6"/>
              </w:rPr>
              <w:t>234,110</w:t>
            </w:r>
          </w:p>
        </w:tc>
        <w:tc>
          <w:tcPr>
            <w:tcW w:w="2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531,654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192,420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84,700</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7,396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1,050,280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John P. Saharek</w:t>
            </w:r>
          </w:p>
        </w:tc>
        <w:tc>
          <w:tcPr>
            <w:tcW w:w="66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267,200</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104,297</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46,865</w:t>
            </w:r>
          </w:p>
        </w:tc>
        <w:tc>
          <w:tcPr>
            <w:tcW w:w="54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15,646(8)</w:t>
            </w: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434,008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Commercial Officer</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2016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247,288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192,420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102,596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8,576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550,880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left="460" w:hanging="452"/>
        <w:spacing w:after="0" w:line="269"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equity awards, refer to Note 13 to our consolidated financial statements for the year ended December 31, 2017 included in the Annual Report. For information about the material terms of each equity award, see the table entitled “Outstanding Equity Awards at Fiscal Year End” below.</w:t>
      </w:r>
    </w:p>
    <w:p>
      <w:pPr>
        <w:spacing w:after="0" w:line="2" w:lineRule="exact"/>
        <w:rPr>
          <w:rFonts w:ascii="Arial" w:cs="Arial" w:eastAsia="Arial" w:hAnsi="Arial"/>
          <w:sz w:val="17"/>
          <w:szCs w:val="17"/>
          <w:color w:val="auto"/>
        </w:rPr>
      </w:pPr>
    </w:p>
    <w:p>
      <w:pPr>
        <w:jc w:val="both"/>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 and group life insurance benefit in excess of the standard threshold granted to all other employees.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$18,602 in accrued paid vacation which Mr. Baum elected to take in the form of cash.</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$154,750 in restricted common stock awards of our subsidiary companies, Eton Pharmaceuticals, Inc. and Surface Pharmaceuticals, Inc. awarded to Mr. Baum prior to their deconsolidation.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$28,846 in accrued paid vacation which Mr. Boll elected to take in the form of cash.</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$77,375 in restricted common stock awards of our subsidiary companies, Eton Pharmaceuticals, Inc. and Surface Pharmaceuticals, Inc. awarded to Mr. Boll prior to their deconsolidation.</w:t>
      </w:r>
    </w:p>
    <w:p>
      <w:pPr>
        <w:ind w:left="4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$4,457 in stock option awards of our subsidiary companies, Eton Pharmaceuticals, Inc. and Surface Pharmaceuticals, Inc. awarded to Mr. Saharek prior to their deconsolidation.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information regarding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8"/>
              <w:spacing w:after="0" w:line="130"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Incentive Plan</w:t>
            </w:r>
          </w:p>
        </w:tc>
        <w:tc>
          <w:tcPr>
            <w:tcW w:w="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Awards: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4"/>
              </w:rPr>
              <w:t>Market Value</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Number</w:t>
            </w:r>
          </w:p>
        </w:tc>
        <w:tc>
          <w:tcPr>
            <w:tcW w:w="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Number of</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of Shares 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Securities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Securities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5"/>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or</w:t>
            </w: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Underlying</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Underlying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or Units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Units of</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of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Unexercised</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Unexercised</w:t>
            </w: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Option</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Option</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of Stock that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Stock that</w:t>
            </w: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that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Options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Options</w:t>
            </w: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Exercise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9"/>
              </w:rPr>
              <w:t>Expiration</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Have Not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Have Not</w:t>
            </w: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Have Not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Name</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Exercisable</w:t>
            </w: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Unexercisable</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Price</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22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Vested</w:t>
            </w: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8"/>
              </w:rPr>
              <w:t>Vested(1)</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Vested</w:t>
            </w:r>
          </w:p>
        </w:tc>
        <w:tc>
          <w:tcPr>
            <w:tcW w:w="3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Vested(1)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 L. Baum</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125,000(2)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1/25/2022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180,000(3)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5/2/2023</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15,400(4)</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2/10/2024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90,000(5)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4/1/2026</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39,999(6)</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120,001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2/1/2027</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7/31/2020</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1,050,000(8)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R. Boll</w:t>
            </w:r>
          </w:p>
        </w:tc>
        <w:tc>
          <w:tcPr>
            <w:tcW w:w="1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90,000(9)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4/1/2023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7,400(10)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2/10/2024</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30,000(11)</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4/1/2026</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13,749(12)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41,251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2/1/2027</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30,000(13)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51,000</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157,500(14)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267,750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John P. Saharek</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20,000(15)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11/12/2023</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4,682(16)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3/3/2024</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82,500(17)</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2/1/2025</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30,000(18)</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4/1/2026</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13,749(19)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41,251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2/1/2027</w:t>
            </w: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30,000(20)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51,000</w:t>
            </w: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left="452" w:hanging="452"/>
        <w:spacing w:after="0" w:line="258"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$1.70, the closing price per share of our common stock on The NASDAQ Capital Market on December 29, 2017 (which was the last business day of our 2017 fiscal year).</w:t>
      </w:r>
    </w:p>
    <w:p>
      <w:pPr>
        <w:spacing w:after="0" w:line="1"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“2007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2007 Plan in connection with his services as our Chief Executive Officer and pursuant to the terms of his employment agreement with us. The option vested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2007 Plan in connection with his services as our Chief Executive Officer. The option vests in three equal annual installments of 5,133 shares over three years commencing on the one-year anniversary of the date of grant.</w:t>
      </w:r>
    </w:p>
    <w:p>
      <w:pPr>
        <w:spacing w:after="0" w:line="1"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2016 under the 2007 Plan in connection with his services as our Chief Executive Officer. The option vests in 12 equal quarterly installments of 15,000 shares over three years commencing on the three-month anniversary of the date of grant.</w:t>
      </w:r>
    </w:p>
    <w:p>
      <w:pPr>
        <w:spacing w:after="0" w:line="1"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 2017 under the 2007 Plan in connection with his services as our Chief Executive Officer. The option vests in 12 equal quarterly installments of 13,333 shares over three years commencing on the three-month anniversary of the date of grant.</w:t>
      </w:r>
    </w:p>
    <w:p>
      <w:pPr>
        <w:spacing w:after="0" w:line="1" w:lineRule="exact"/>
        <w:rPr>
          <w:rFonts w:ascii="Arial" w:cs="Arial" w:eastAsia="Arial" w:hAnsi="Arial"/>
          <w:sz w:val="16"/>
          <w:szCs w:val="16"/>
          <w:color w:val="auto"/>
        </w:rPr>
      </w:pPr>
    </w:p>
    <w:p>
      <w:pPr>
        <w:ind w:left="452"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2007 Plan in connection with his services as our Chief Executive Officer. The option vests upon achieving certain stock price targets as described further below over a five-year period:</w:t>
      </w:r>
    </w:p>
    <w:p>
      <w:pPr>
        <w:spacing w:after="0" w:line="197" w:lineRule="exact"/>
        <w:rPr>
          <w:sz w:val="20"/>
          <w:szCs w:val="20"/>
          <w:color w:val="auto"/>
        </w:rPr>
      </w:pPr>
    </w:p>
    <w:tbl>
      <w:tblPr>
        <w:tblLayout w:type="fixed"/>
        <w:tblInd w:w="1432" w:type="dxa"/>
        <w:tblCellMar>
          <w:top w:w="0" w:type="dxa"/>
          <w:left w:w="0" w:type="dxa"/>
          <w:bottom w:w="0" w:type="dxa"/>
          <w:right w:w="0" w:type="dxa"/>
        </w:tblCellMar>
      </w:tblPr>
      <w:tr>
        <w:trPr>
          <w:trHeight w:val="237"/>
        </w:trPr>
        <w:tc>
          <w:tcPr>
            <w:tcW w:w="61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2380" w:type="dxa"/>
            <w:vAlign w:val="bottom"/>
            <w:gridSpan w:val="2"/>
          </w:tcPr>
          <w:p>
            <w:pPr>
              <w:ind w:left="540"/>
              <w:spacing w:after="0"/>
              <w:rPr>
                <w:sz w:val="20"/>
                <w:szCs w:val="20"/>
                <w:color w:val="auto"/>
              </w:rPr>
            </w:pPr>
            <w:r>
              <w:rPr>
                <w:rFonts w:ascii="Arial" w:cs="Arial" w:eastAsia="Arial" w:hAnsi="Arial"/>
                <w:sz w:val="18"/>
                <w:szCs w:val="18"/>
                <w:color w:val="auto"/>
              </w:rPr>
              <w:t>Target Share Price</w:t>
            </w:r>
          </w:p>
        </w:tc>
      </w:tr>
      <w:tr>
        <w:trPr>
          <w:trHeight w:val="216"/>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100,000 shares</w:t>
            </w:r>
          </w:p>
        </w:tc>
        <w:tc>
          <w:tcPr>
            <w:tcW w:w="1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2380" w:type="dxa"/>
            <w:vAlign w:val="bottom"/>
            <w:gridSpan w:val="2"/>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100,000 shares</w:t>
            </w:r>
          </w:p>
        </w:tc>
        <w:tc>
          <w:tcPr>
            <w:tcW w:w="2380" w:type="dxa"/>
            <w:vAlign w:val="bottom"/>
            <w:gridSpan w:val="2"/>
          </w:tcPr>
          <w:p>
            <w:pPr>
              <w:spacing w:after="0"/>
              <w:rPr>
                <w:sz w:val="20"/>
                <w:szCs w:val="20"/>
                <w:color w:val="auto"/>
              </w:rPr>
            </w:pPr>
            <w:r>
              <w:rPr>
                <w:rFonts w:ascii="Arial" w:cs="Arial" w:eastAsia="Arial" w:hAnsi="Arial"/>
                <w:sz w:val="18"/>
                <w:szCs w:val="18"/>
                <w:color w:val="auto"/>
              </w:rPr>
              <w:t>$14.00 or greater</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100,000 shares</w:t>
            </w: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ind w:left="452" w:hanging="452"/>
        <w:spacing w:after="0" w:line="256"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2007 Plan in connection with his services as our Chief Executive Officer and pursuant to the terms of his employment agreement with us. The RSUs vest upon achieving and maintaining certain stock price targets ranging from $9 to $15 a share over a five-year period.</w:t>
      </w:r>
    </w:p>
    <w:p>
      <w:pPr>
        <w:jc w:val="both"/>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2007 Plan in connection with his service as our Vice President, Accounting and Public Reporting (and currently as our Chief Financial Officer). The option vested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2007 Plan in connection with his services as our Vice President, Accounting and Public Reporting (and currently as our Chief Financial Officer). The option vested in three equal annual installments of 2,467 shares over three years commencing on the one-year anniversary of the date of grant.</w:t>
      </w:r>
    </w:p>
    <w:p>
      <w:pPr>
        <w:spacing w:after="0" w:line="1" w:lineRule="exact"/>
        <w:rPr>
          <w:rFonts w:ascii="Arial" w:cs="Arial" w:eastAsia="Arial" w:hAnsi="Arial"/>
          <w:sz w:val="18"/>
          <w:szCs w:val="18"/>
          <w:color w:val="auto"/>
        </w:rPr>
      </w:pPr>
    </w:p>
    <w:p>
      <w:pPr>
        <w:ind w:left="452" w:hanging="452"/>
        <w:spacing w:after="0" w:line="265" w:lineRule="auto"/>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Boll on April 1, 2016 under the 2007 Plan in connection with his services as our Chief Financial Officer. The option vests in 12 equal quarterly installments of 5,000 shares over three years commencing on the three-month anniversary of the date of grant.</w:t>
      </w:r>
    </w:p>
    <w:p>
      <w:pPr>
        <w:ind w:left="452" w:hanging="452"/>
        <w:spacing w:after="0" w:line="281" w:lineRule="auto"/>
        <w:tabs>
          <w:tab w:leader="none" w:pos="452"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2007 Plan in connection with his services as our Chief Financial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February 1, 2015 under the 2007 Plan in connection with his services as our Chief Financial Officer and pursuant to the terms of his employment agreement with us. The RSUs vested in full on February 1, 2018 and were contingent upon continuous service to the Company through such date.</w:t>
      </w:r>
    </w:p>
    <w:p>
      <w:pPr>
        <w:spacing w:after="0" w:line="1"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2007 Plan in connection with his services as our Chief Financial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November 12, 2013 under the 2007 Plan in connection with his appointment as our Vice President of Commercialization, Ophthalmology (and currently as our Chief Commercial Officer). The option vested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spacing w:after="0" w:line="1" w:lineRule="exact"/>
        <w:rPr>
          <w:rFonts w:ascii="Arial" w:cs="Arial" w:eastAsia="Arial" w:hAnsi="Arial"/>
          <w:sz w:val="18"/>
          <w:szCs w:val="18"/>
          <w:color w:val="auto"/>
        </w:rPr>
      </w:pPr>
    </w:p>
    <w:p>
      <w:pPr>
        <w:jc w:val="both"/>
        <w:ind w:left="452" w:hanging="452"/>
        <w:spacing w:after="0" w:line="273" w:lineRule="auto"/>
        <w:tabs>
          <w:tab w:leader="none" w:pos="4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2007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22" w:name="page23"/>
    <w:bookmarkEnd w:id="22"/>
    <w:p>
      <w:pPr>
        <w:ind w:left="460" w:hanging="452"/>
        <w:spacing w:after="0" w:line="29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an option granted to Mr. Saharek on February 1, 2015 under the 2007 Plan in connection with his service as our Chief Commercial Officer. The option vests in 12 equal quarterly installments of 7,500 shares over three years commencing on the three-month anniversary of the date of grant.</w:t>
      </w:r>
    </w:p>
    <w:p>
      <w:pPr>
        <w:ind w:left="4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an option granted to Mr. Saharek on April 1, 2016 under the 2007 Plan in connection with his services as our Chief Commercial Officer. The option vests in 12 equal quarterly installments of 5,000 shares over three years commencing on the three-month anniversary of the date of grant.</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an option granted to Mr. Saharek on February 1, 2017 under the 2007 Plan in connection with his services as our Chief Commercial Officer. The option vests in 12 equal quarterly installments of 4,583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 award of RSUs granted to Mr. Saharek on February 1, 2015 under the 2007 Plan in connection with his services as our Chief Commercial Officer and pursuant to the terms of his employment agreement with us. The RSUs vested in full on February 1, 2018 and were contingent upon continuous service to the Company through such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This new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Involuntary Termination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tbl>
      <w:tblPr>
        <w:tblLayout w:type="fixed"/>
        <w:tblInd w:w="3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Stock Price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Appreciation as of</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Tranche</w:t>
            </w: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Number of Shares</w:t>
            </w:r>
          </w:p>
        </w:tc>
        <w:tc>
          <w:tcPr>
            <w:tcW w:w="220" w:type="dxa"/>
            <w:vAlign w:val="bottom"/>
          </w:tcPr>
          <w:p>
            <w:pPr>
              <w:spacing w:after="0"/>
              <w:rPr>
                <w:sz w:val="20"/>
                <w:szCs w:val="20"/>
                <w:color w:val="auto"/>
              </w:rPr>
            </w:pPr>
          </w:p>
        </w:tc>
        <w:tc>
          <w:tcPr>
            <w:tcW w:w="2940" w:type="dxa"/>
            <w:vAlign w:val="bottom"/>
            <w:gridSpan w:val="2"/>
          </w:tcPr>
          <w:p>
            <w:pPr>
              <w:ind w:left="640"/>
              <w:spacing w:after="0"/>
              <w:rPr>
                <w:sz w:val="20"/>
                <w:szCs w:val="20"/>
                <w:color w:val="auto"/>
              </w:rPr>
            </w:pPr>
            <w:r>
              <w:rPr>
                <w:rFonts w:ascii="Arial" w:cs="Arial" w:eastAsia="Arial" w:hAnsi="Arial"/>
                <w:sz w:val="18"/>
                <w:szCs w:val="18"/>
                <w:color w:val="auto"/>
              </w:rPr>
              <w:t>Target Share Price</w:t>
            </w:r>
          </w:p>
        </w:tc>
        <w:tc>
          <w:tcPr>
            <w:tcW w:w="27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Date of Grant(1)</w:t>
            </w:r>
          </w:p>
        </w:tc>
        <w:tc>
          <w:tcPr>
            <w:tcW w:w="0" w:type="dxa"/>
            <w:vAlign w:val="bottom"/>
          </w:tcPr>
          <w:p>
            <w:pPr>
              <w:spacing w:after="0"/>
              <w:rPr>
                <w:sz w:val="1"/>
                <w:szCs w:val="1"/>
                <w:color w:val="auto"/>
              </w:rPr>
            </w:pPr>
          </w:p>
        </w:tc>
      </w:tr>
      <w:tr>
        <w:trPr>
          <w:trHeight w:val="27"/>
        </w:trPr>
        <w:tc>
          <w:tcPr>
            <w:tcW w:w="23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vMerge w:val="continue"/>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200,000 shares</w:t>
            </w:r>
          </w:p>
        </w:tc>
        <w:tc>
          <w:tcPr>
            <w:tcW w:w="220" w:type="dxa"/>
            <w:vAlign w:val="bottom"/>
            <w:vMerge w:val="continue"/>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320" w:type="dxa"/>
            <w:vAlign w:val="bottom"/>
            <w:vMerge w:val="continue"/>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Tranche 2</w:t>
            </w: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200,000 shares</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$10.00 or greater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200,000 shares</w:t>
            </w: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$12.00 or greater</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Tranche 4</w:t>
            </w: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200,000 shares</w:t>
            </w:r>
          </w:p>
        </w:tc>
        <w:tc>
          <w:tcPr>
            <w:tcW w:w="3160" w:type="dxa"/>
            <w:vAlign w:val="bottom"/>
            <w:gridSpan w:val="3"/>
          </w:tcPr>
          <w:p>
            <w:pPr>
              <w:ind w:left="220"/>
              <w:spacing w:after="0"/>
              <w:rPr>
                <w:sz w:val="20"/>
                <w:szCs w:val="20"/>
                <w:color w:val="auto"/>
              </w:rPr>
            </w:pPr>
            <w:r>
              <w:rPr>
                <w:rFonts w:ascii="Arial" w:cs="Arial" w:eastAsia="Arial" w:hAnsi="Arial"/>
                <w:sz w:val="18"/>
                <w:szCs w:val="18"/>
                <w:color w:val="auto"/>
              </w:rPr>
              <w:t>$14.00 or greater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250,000 shares</w:t>
            </w:r>
          </w:p>
        </w:tc>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$15.00 or greater</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closing sale price of our Common Stock on April 25, 2016, the date the Baum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Stock Price</w:t>
            </w:r>
          </w:p>
        </w:tc>
      </w:t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Appreciation as of</w:t>
            </w:r>
          </w:p>
        </w:tc>
      </w:tr>
      <w:tr>
        <w:trPr>
          <w:trHeight w:val="237"/>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220" w:type="dxa"/>
            <w:vAlign w:val="bottom"/>
            <w:tcBorders>
              <w:bottom w:val="single" w:sz="8" w:color="CCEEFF"/>
            </w:tcBorders>
          </w:tcPr>
          <w:p>
            <w:pPr>
              <w:spacing w:after="0"/>
              <w:rPr>
                <w:sz w:val="20"/>
                <w:szCs w:val="20"/>
                <w:color w:val="auto"/>
              </w:rPr>
            </w:pPr>
          </w:p>
        </w:tc>
        <w:tc>
          <w:tcPr>
            <w:tcW w:w="25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Number of Shares</w:t>
            </w:r>
          </w:p>
        </w:tc>
        <w:tc>
          <w:tcPr>
            <w:tcW w:w="22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Target Share Price</w:t>
            </w:r>
          </w:p>
        </w:tc>
        <w:tc>
          <w:tcPr>
            <w:tcW w:w="32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Date of Grant(1)</w:t>
            </w:r>
          </w:p>
        </w:tc>
        <w:tc>
          <w:tcPr>
            <w:tcW w:w="160" w:type="dxa"/>
            <w:vAlign w:val="bottom"/>
            <w:tcBorders>
              <w:bottom w:val="single" w:sz="8" w:color="CCEEFF"/>
            </w:tcBorders>
          </w:tcPr>
          <w:p>
            <w:pPr>
              <w:spacing w:after="0"/>
              <w:rPr>
                <w:sz w:val="20"/>
                <w:szCs w:val="20"/>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30,000 shares</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3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Tranche 2</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30,000 shares</w:t>
            </w:r>
          </w:p>
        </w:tc>
        <w:tc>
          <w:tcPr>
            <w:tcW w:w="3260" w:type="dxa"/>
            <w:vAlign w:val="bottom"/>
            <w:gridSpan w:val="3"/>
          </w:tcPr>
          <w:p>
            <w:pPr>
              <w:ind w:left="220"/>
              <w:spacing w:after="0"/>
              <w:rPr>
                <w:sz w:val="20"/>
                <w:szCs w:val="20"/>
                <w:color w:val="auto"/>
              </w:rPr>
            </w:pPr>
            <w:r>
              <w:rPr>
                <w:rFonts w:ascii="Arial" w:cs="Arial" w:eastAsia="Arial" w:hAnsi="Arial"/>
                <w:sz w:val="18"/>
                <w:szCs w:val="18"/>
                <w:color w:val="auto"/>
              </w:rPr>
              <w:t>$10.00 or greater</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30,000 shares</w:t>
            </w:r>
          </w:p>
        </w:tc>
        <w:tc>
          <w:tcPr>
            <w:tcW w:w="3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$12.00 or greater</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Tranche 4</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30,000 shares</w:t>
            </w:r>
          </w:p>
        </w:tc>
        <w:tc>
          <w:tcPr>
            <w:tcW w:w="3260" w:type="dxa"/>
            <w:vAlign w:val="bottom"/>
            <w:gridSpan w:val="3"/>
          </w:tcPr>
          <w:p>
            <w:pPr>
              <w:ind w:left="220"/>
              <w:spacing w:after="0"/>
              <w:rPr>
                <w:sz w:val="20"/>
                <w:szCs w:val="20"/>
                <w:color w:val="auto"/>
              </w:rPr>
            </w:pPr>
            <w:r>
              <w:rPr>
                <w:rFonts w:ascii="Arial" w:cs="Arial" w:eastAsia="Arial" w:hAnsi="Arial"/>
                <w:sz w:val="18"/>
                <w:szCs w:val="18"/>
                <w:color w:val="auto"/>
              </w:rPr>
              <w:t>$14.00 or greater</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37,500 shares</w:t>
            </w:r>
          </w:p>
        </w:tc>
        <w:tc>
          <w:tcPr>
            <w:tcW w:w="3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$15.00 or greater</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8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closing sale price of our Common Stock on April 25, 2016, the date the Boll Performance Equity grant was made, was $3.98.</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as of February 1, 2015, we entered into an employment agreement with John P. Saharek in connection with his appointment as our Chief Commercial Officer.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3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2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3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0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8"/>
              </w:rPr>
              <w:t>Exercise Price of</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534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Options, Warrants and</w:t>
            </w:r>
          </w:p>
        </w:tc>
        <w:tc>
          <w:tcPr>
            <w:tcW w:w="214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Outstanding Options,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Under Equity</w:t>
            </w:r>
          </w:p>
        </w:tc>
      </w:tr>
      <w:tr>
        <w:trPr>
          <w:trHeight w:val="241"/>
        </w:trPr>
        <w:tc>
          <w:tcPr>
            <w:tcW w:w="534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Rights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Warrants and Rights</w:t>
            </w:r>
          </w:p>
        </w:tc>
        <w:tc>
          <w:tcPr>
            <w:tcW w:w="3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100" w:type="dxa"/>
            <w:vAlign w:val="bottom"/>
            <w:tcBorders>
              <w:bottom w:val="single" w:sz="8" w:color="CCEEFF"/>
            </w:tcBorders>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5.51(2)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1,997,500</w:t>
            </w:r>
          </w:p>
        </w:tc>
        <w:tc>
          <w:tcPr>
            <w:tcW w:w="100" w:type="dxa"/>
            <w:vAlign w:val="bottom"/>
            <w:shd w:val="clear" w:color="auto" w:fill="CCEEFF"/>
          </w:tcPr>
          <w:p>
            <w:pPr>
              <w:spacing w:after="0"/>
              <w:rPr>
                <w:sz w:val="18"/>
                <w:szCs w:val="18"/>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holders(3)</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6,264,215</w:t>
            </w:r>
          </w:p>
        </w:tc>
        <w:tc>
          <w:tcPr>
            <w:tcW w:w="100" w:type="dxa"/>
            <w:vAlign w:val="bottom"/>
          </w:tcPr>
          <w:p>
            <w:pPr>
              <w:spacing w:after="0"/>
              <w:rPr>
                <w:sz w:val="20"/>
                <w:szCs w:val="20"/>
                <w:color w:val="auto"/>
              </w:rPr>
            </w:pPr>
          </w:p>
        </w:tc>
        <w:tc>
          <w:tcPr>
            <w:tcW w:w="2040" w:type="dxa"/>
            <w:vAlign w:val="bottom"/>
            <w:gridSpan w:val="2"/>
          </w:tcPr>
          <w:p>
            <w:pPr>
              <w:ind w:left="1400"/>
              <w:spacing w:after="0"/>
              <w:rPr>
                <w:sz w:val="20"/>
                <w:szCs w:val="20"/>
                <w:color w:val="auto"/>
              </w:rPr>
            </w:pPr>
            <w:r>
              <w:rPr>
                <w:rFonts w:ascii="Arial" w:cs="Arial" w:eastAsia="Arial" w:hAnsi="Arial"/>
                <w:sz w:val="18"/>
                <w:szCs w:val="18"/>
                <w:color w:val="auto"/>
              </w:rPr>
              <w:t>1.93</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9,962,707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5"/>
              </w:rPr>
              <w:t>2.88</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13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Compromises warrants issued to lenders, underwriters, consultants, investors and issued in settlement of disputes.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11, 2018. Unless otherwise indicated in the footnotes to the following table, each person named in the table has sole voting and investment power with respect to shares of common stock and the address for such person is c/o Imprimis Pharmaceuticals, Inc. 12264 El Camino Real, Suite 350, San Diego, CA 92130.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gridSpan w:val="5"/>
          </w:tcPr>
          <w:p>
            <w:pPr>
              <w:spacing w:after="0"/>
              <w:rPr>
                <w:sz w:val="20"/>
                <w:szCs w:val="20"/>
                <w:color w:val="auto"/>
              </w:rPr>
            </w:pPr>
            <w:r>
              <w:rPr>
                <w:rFonts w:ascii="Arial" w:cs="Arial" w:eastAsia="Arial" w:hAnsi="Arial"/>
                <w:sz w:val="18"/>
                <w:szCs w:val="18"/>
                <w:color w:val="auto"/>
              </w:rPr>
              <w:t>Beneficial Owner</w:t>
            </w:r>
          </w:p>
        </w:tc>
        <w:tc>
          <w:tcPr>
            <w:tcW w:w="4100" w:type="dxa"/>
            <w:vAlign w:val="bottom"/>
            <w:gridSpan w:val="4"/>
          </w:tcPr>
          <w:p>
            <w:pPr>
              <w:jc w:val="right"/>
              <w:ind w:right="52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4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Number of Shares</w:t>
            </w:r>
          </w:p>
        </w:tc>
        <w:tc>
          <w:tcPr>
            <w:tcW w:w="18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00" w:type="dxa"/>
            <w:vAlign w:val="bottom"/>
            <w:tcBorders>
              <w:top w:val="single" w:sz="8" w:color="CCEEFF"/>
            </w:tcBorders>
            <w:gridSpan w:val="4"/>
            <w:shd w:val="clear" w:color="auto" w:fill="CCEEFF"/>
          </w:tcPr>
          <w:p>
            <w:pPr>
              <w:spacing w:after="0" w:line="162" w:lineRule="exact"/>
              <w:rPr>
                <w:sz w:val="20"/>
                <w:szCs w:val="20"/>
                <w:color w:val="auto"/>
              </w:rPr>
            </w:pPr>
            <w:r>
              <w:rPr>
                <w:rFonts w:ascii="Arial" w:cs="Arial" w:eastAsia="Arial" w:hAnsi="Arial"/>
                <w:sz w:val="18"/>
                <w:szCs w:val="18"/>
                <w:i w:val="1"/>
                <w:iCs w:val="1"/>
                <w:color w:val="auto"/>
              </w:rPr>
              <w:t>5% + Stockholders</w:t>
            </w:r>
          </w:p>
        </w:tc>
        <w:tc>
          <w:tcPr>
            <w:tcW w:w="1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Longboard Capital Advisors, LLC (2)</w:t>
            </w:r>
          </w:p>
        </w:tc>
        <w:tc>
          <w:tcPr>
            <w:tcW w:w="1800" w:type="dxa"/>
            <w:vAlign w:val="bottom"/>
          </w:tcPr>
          <w:p>
            <w:pPr>
              <w:jc w:val="right"/>
              <w:spacing w:after="0"/>
              <w:rPr>
                <w:sz w:val="20"/>
                <w:szCs w:val="20"/>
                <w:color w:val="auto"/>
              </w:rPr>
            </w:pPr>
            <w:r>
              <w:rPr>
                <w:rFonts w:ascii="Arial" w:cs="Arial" w:eastAsia="Arial" w:hAnsi="Arial"/>
                <w:sz w:val="18"/>
                <w:szCs w:val="18"/>
                <w:color w:val="auto"/>
              </w:rPr>
              <w:t>1,416,000</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gridSpan w:val="4"/>
          </w:tcPr>
          <w:p>
            <w:pPr>
              <w:spacing w:after="0" w:line="176" w:lineRule="exact"/>
              <w:rPr>
                <w:sz w:val="20"/>
                <w:szCs w:val="20"/>
                <w:color w:val="auto"/>
              </w:rPr>
            </w:pPr>
            <w:r>
              <w:rPr>
                <w:rFonts w:ascii="Arial" w:cs="Arial" w:eastAsia="Arial" w:hAnsi="Arial"/>
                <w:sz w:val="18"/>
                <w:szCs w:val="18"/>
                <w:i w:val="1"/>
                <w:iCs w:val="1"/>
                <w:color w:val="auto"/>
              </w:rPr>
              <w:t>Directors and Officers</w:t>
            </w:r>
          </w:p>
        </w:tc>
        <w:tc>
          <w:tcPr>
            <w:tcW w:w="1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Mark L. Baum (3)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1,144,741</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Andrew R. Boll (4)</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283,315</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P. Saharek (5)</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207,915</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Robert J. Kammer (6)</w:t>
            </w:r>
          </w:p>
        </w:tc>
        <w:tc>
          <w:tcPr>
            <w:tcW w:w="1800" w:type="dxa"/>
            <w:vAlign w:val="bottom"/>
          </w:tcPr>
          <w:p>
            <w:pPr>
              <w:jc w:val="right"/>
              <w:spacing w:after="0"/>
              <w:rPr>
                <w:sz w:val="20"/>
                <w:szCs w:val="20"/>
                <w:color w:val="auto"/>
              </w:rPr>
            </w:pPr>
            <w:r>
              <w:rPr>
                <w:rFonts w:ascii="Arial" w:cs="Arial" w:eastAsia="Arial" w:hAnsi="Arial"/>
                <w:sz w:val="18"/>
                <w:szCs w:val="18"/>
                <w:color w:val="auto"/>
              </w:rPr>
              <w:t>1,088,240</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Stephen G. Austin (7)</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48,182</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8"/>
                <w:szCs w:val="18"/>
                <w:color w:val="auto"/>
              </w:rPr>
              <w:t>Anthony J. Principi (8)</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32,986</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L. Lindstrom (9)</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239,163</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8"/>
                <w:szCs w:val="18"/>
                <w:color w:val="auto"/>
              </w:rPr>
              <w:t>All executives and directors as a group (7 persons)</w:t>
            </w: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gridSpan w:val="4"/>
            <w:vMerge w:val="continue"/>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3,044,542</w:t>
            </w:r>
          </w:p>
        </w:tc>
        <w:tc>
          <w:tcPr>
            <w:tcW w:w="320" w:type="dxa"/>
            <w:vAlign w:val="bottom"/>
            <w:vMerge w:val="continue"/>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Beneficial ownership percentages are based on 20,848,905 shares of our common stock outstanding as of April 11, 2018. Shares of common stock subject to options or warrants that are currently exercisable or exercisable within 60 days after April 11, 2018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information is as of February 8, 2018 and based on a Schedule 13G/A filed on April 19, 2017 and Form 5 filed on February 8, 2018 by Longboard Capital Advisors, LLC and Brett Conrad. Includes 260,000 shares of our common stock issuable upon exercise of warrants. The address for Longboard Capital Advisors, LLC is 1312 Cedar St. Santa Monica, California 90405.</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507,065 shares of common stock issuable upon the exercise of stock options exercisable within 60 days after April 11, 2018 and 156,000 shares of common stock issuable upon the exercise of warrants exercisable within 60 days after April 11, 2018.</w:t>
      </w:r>
    </w:p>
    <w:p>
      <w:pPr>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160,315 shares of common stock issuable upon the exercise of stock options exercisable within 60 days after April 11, 2018 and 39,000 shares of common stock issuable upon the exercise of warrants exercisable within 60 days after April 11, 2018.</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177,915 shares of common stock issuable upon the exercise of stock options exercisable within 60 days after April 11,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48,182 shares of common stock issuable upon Mr. Kammer’s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48,182 shares of common stock issuable upon Mr. Austin’s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32,986 shares of common stock issuable upon Mr. Principi’s discontinuation of service as a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39,163 shares of common stock issuable upon Mr. Lindstrom’s discontinuation of service as a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http://imprimispharma.investorroom.com. All members of the Audit Committee currently meet the independence and qualification standards for Audit Committee membership set forth in the rules and listing standards of Nasdaq and the SEC.</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2017 should be included in the Annual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Principi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Kammer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Imprimis Pharmaceuticals,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2019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2019 annual meeting of stockholders, a stockholder’s proposal must be received by us no later than December 31, 2018, unless the date of our 2019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2019 Annual Meeting of Stockholders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November 1, 2018 and December 31, 2018 for our 2019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12264 El Camino Real, Suite 350, San Diego, California 92130. Our Bylaws are also available on the Investor Relations section of our website at http://imprimispharma.investorroom.com.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8"/>
    </w:lvl>
  </w:abstractNum>
  <w:abstractNum w:abstractNumId="14">
    <w:nsid w:val="25E45D32"/>
    <w:multiLevelType w:val="hybridMultilevel"/>
    <w:lvl w:ilvl="0">
      <w:lvlJc w:val="left"/>
      <w:lvlText w:val="(%1)"/>
      <w:numFmt w:val="decimal"/>
      <w:start w:val="17"/>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2020-01-15T02:07:59Z</dcterms:created>
  <dcterms:modified xsi:type="dcterms:W3CDTF">2020-01-15T02:07:59Z</dcterms:modified>
</cp:coreProperties>
</file>