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f13d080912_sc13d.htm"/>
      <w:bookmarkStart w:id="1" w:name="ksf13d080912_sc13d"/>
      <w:bookmarkStart w:id="2" w:name="f13d080912_sc13d.htm"/>
      <w:bookmarkStart w:id="3" w:name="ksf13d080912_sc13d"/>
      <w:bookmarkEnd w:id="2"/>
      <w:bookmarkEnd w:id="3"/>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pPr>
      <w:r>
        <w:rPr/>
        <w:t>Washington, D.C.  20549</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SCHEDULE 13D/A</w:t>
      </w:r>
    </w:p>
    <w:p>
      <w:pPr>
        <w:pStyle w:val="TextBody"/>
        <w:spacing w:before="0" w:after="0"/>
        <w:ind w:left="0" w:right="0" w:hanging="0"/>
        <w:jc w:val="center"/>
        <w:rPr/>
      </w:pPr>
      <w:r>
        <w:rPr/>
        <w:t>Under the Securities Exchange Act of 1934</w:t>
      </w:r>
    </w:p>
    <w:p>
      <w:pPr>
        <w:pStyle w:val="TextBody"/>
        <w:spacing w:before="0" w:after="0"/>
        <w:ind w:left="0" w:right="0" w:hanging="0"/>
        <w:jc w:val="center"/>
        <w:rPr/>
      </w:pPr>
      <w:r>
        <w:rPr/>
        <w:t>(Amendment No. 2)*</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IMPRIMIS PHARMACEUTICALS, INC.</w:t>
      </w:r>
    </w:p>
    <w:p>
      <w:pPr>
        <w:pStyle w:val="TextBody"/>
        <w:spacing w:before="0" w:after="0"/>
        <w:ind w:left="0" w:right="0" w:hanging="0"/>
        <w:jc w:val="center"/>
        <w:rPr/>
      </w:pPr>
      <w:r>
        <w:rPr/>
        <w:t>(Name of Issuer)</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COMMON STOCK, $0.001 PAR VALUE PER SHARE</w:t>
      </w:r>
    </w:p>
    <w:p>
      <w:pPr>
        <w:pStyle w:val="TextBody"/>
        <w:spacing w:before="0" w:after="0"/>
        <w:ind w:left="0" w:right="0" w:hanging="0"/>
        <w:jc w:val="center"/>
        <w:rPr/>
      </w:pPr>
      <w:r>
        <w:rPr/>
        <w:t>(Title of Class of Securities)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45323A 102</w:t>
      </w:r>
    </w:p>
    <w:p>
      <w:pPr>
        <w:pStyle w:val="TextBody"/>
        <w:spacing w:before="0" w:after="0"/>
        <w:ind w:left="0" w:right="0" w:hanging="0"/>
        <w:jc w:val="center"/>
        <w:rPr/>
      </w:pPr>
      <w:r>
        <w:rPr/>
        <w:t>(CUSIP Number)</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Mark L. Baum</w:t>
      </w:r>
    </w:p>
    <w:p>
      <w:pPr>
        <w:pStyle w:val="TextBody"/>
        <w:spacing w:before="0" w:after="0"/>
        <w:ind w:left="0" w:right="0" w:hanging="0"/>
        <w:jc w:val="center"/>
        <w:rPr>
          <w:b/>
        </w:rPr>
      </w:pPr>
      <w:r>
        <w:rPr>
          <w:b/>
        </w:rPr>
        <w:t>Managing Member</w:t>
      </w:r>
    </w:p>
    <w:p>
      <w:pPr>
        <w:pStyle w:val="TextBody"/>
        <w:spacing w:before="0" w:after="0"/>
        <w:ind w:left="0" w:right="0" w:hanging="0"/>
        <w:jc w:val="center"/>
        <w:rPr>
          <w:b/>
        </w:rPr>
      </w:pPr>
      <w:r>
        <w:rPr>
          <w:b/>
        </w:rPr>
        <w:t>DermaStar International, LLC</w:t>
      </w:r>
    </w:p>
    <w:p>
      <w:pPr>
        <w:pStyle w:val="TextBody"/>
        <w:spacing w:before="0" w:after="0"/>
        <w:ind w:left="0" w:right="0" w:hanging="0"/>
        <w:jc w:val="center"/>
        <w:rPr>
          <w:b/>
        </w:rPr>
      </w:pPr>
      <w:r>
        <w:rPr>
          <w:b/>
        </w:rPr>
        <w:t>1302 Waugh Dr., Suite 618</w:t>
      </w:r>
    </w:p>
    <w:p>
      <w:pPr>
        <w:pStyle w:val="TextBody"/>
        <w:spacing w:before="0" w:after="0"/>
        <w:ind w:left="0" w:right="0" w:hanging="0"/>
        <w:jc w:val="center"/>
        <w:rPr>
          <w:b/>
        </w:rPr>
      </w:pPr>
      <w:r>
        <w:rPr>
          <w:b/>
        </w:rPr>
        <w:t>Houston, Texas 77109</w:t>
      </w:r>
    </w:p>
    <w:p>
      <w:pPr>
        <w:pStyle w:val="TextBody"/>
        <w:spacing w:before="0" w:after="0"/>
        <w:ind w:left="0" w:right="0" w:hanging="0"/>
        <w:jc w:val="center"/>
        <w:rPr>
          <w:b/>
        </w:rPr>
      </w:pPr>
      <w:r>
        <w:rPr>
          <w:b/>
        </w:rPr>
        <w:t>858-405-4448</w:t>
      </w:r>
    </w:p>
    <w:p>
      <w:pPr>
        <w:pStyle w:val="TextBody"/>
        <w:spacing w:before="0" w:after="0"/>
        <w:ind w:left="0" w:right="0" w:hanging="0"/>
        <w:jc w:val="center"/>
        <w:rPr/>
      </w:pPr>
      <w:r>
        <w:rPr/>
        <w:t>(Name, Address and Telephone Number of Person</w:t>
      </w:r>
    </w:p>
    <w:p>
      <w:pPr>
        <w:pStyle w:val="TextBody"/>
        <w:spacing w:before="0" w:after="0"/>
        <w:ind w:left="0" w:right="0" w:hanging="0"/>
        <w:jc w:val="center"/>
        <w:rPr/>
      </w:pPr>
      <w:r>
        <w:rPr/>
        <w:t>Authorized to Receive Notices and Communications)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July 12, 2012</w:t>
      </w:r>
    </w:p>
    <w:p>
      <w:pPr>
        <w:pStyle w:val="TextBody"/>
        <w:spacing w:before="0" w:after="0"/>
        <w:ind w:left="0" w:right="0" w:hanging="0"/>
        <w:jc w:val="center"/>
        <w:rPr/>
      </w:pPr>
      <w:r>
        <w:rPr/>
        <w:t>(Date of Event Which Requires Filing of this Statement)</w:t>
      </w:r>
    </w:p>
    <w:p>
      <w:pPr>
        <w:pStyle w:val="TextBody"/>
        <w:spacing w:before="0" w:after="0"/>
        <w:ind w:left="0" w:right="0" w:hanging="0"/>
        <w:rPr/>
      </w:pPr>
      <w:r>
        <w:rPr/>
      </w:r>
    </w:p>
    <w:p>
      <w:pPr>
        <w:pStyle w:val="TextBody"/>
        <w:spacing w:before="0" w:after="15"/>
        <w:ind w:left="0" w:right="0" w:hanging="0"/>
        <w:jc w:val="both"/>
        <w:rPr/>
      </w:pPr>
      <w:r>
        <w:rPr/>
        <w:t>If the filing person has previously filed a statement on Schedule 13G to report the acquisition that is the subject of this Schedule 13D, and is filing this schedule because of §§ 240.13d-1(e), 240.13d-1(f) or 240.13d-1(g), check the following box  </w:t>
      </w:r>
      <w:bookmarkStart w:id="4" w:name="OLE_LINK1"/>
      <w:bookmarkEnd w:id="4"/>
      <w:r>
        <w:rPr/>
        <w:t> </w:t>
      </w:r>
      <w:r>
        <w:rPr>
          <w:bdr w:val="single" w:sz="2" w:space="1" w:color="000000"/>
        </w:rPr>
        <w:t>     </w:t>
      </w:r>
      <w:r>
        <w:rPr>
          <w:color w:val="FFFFFF"/>
          <w:sz w:val="10"/>
        </w:rPr>
        <w:t>.</w:t>
      </w:r>
    </w:p>
    <w:p>
      <w:pPr>
        <w:pStyle w:val="TextBody"/>
        <w:spacing w:before="0" w:after="0"/>
        <w:ind w:left="0" w:right="0" w:hanging="0"/>
        <w:jc w:val="both"/>
        <w:rPr/>
      </w:pPr>
      <w:r>
        <w:rPr/>
      </w:r>
    </w:p>
    <w:p>
      <w:pPr>
        <w:pStyle w:val="TextBody"/>
        <w:spacing w:before="0" w:after="0"/>
        <w:ind w:left="0" w:right="0" w:hanging="0"/>
        <w:jc w:val="both"/>
        <w:rPr/>
      </w:pPr>
      <w:r>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spacing w:before="0" w:after="0"/>
        <w:ind w:left="0" w:right="0" w:hanging="0"/>
        <w:jc w:val="both"/>
        <w:rPr/>
      </w:pPr>
      <w:r>
        <w:rPr/>
      </w:r>
    </w:p>
    <w:p>
      <w:pPr>
        <w:pStyle w:val="TextBody"/>
        <w:spacing w:before="0" w:after="0"/>
        <w:ind w:left="0" w:right="0" w:hanging="0"/>
        <w:jc w:val="both"/>
        <w:rPr/>
      </w:pPr>
      <w:r>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pPr>
      <w:r>
        <w:rPr/>
      </w:r>
    </w:p>
    <w:p>
      <w:pPr>
        <w:pStyle w:val="TextBody"/>
        <w:spacing w:before="0" w:after="0"/>
        <w:ind w:left="0" w:right="0" w:hanging="0"/>
        <w:jc w:val="center"/>
        <w:rPr/>
      </w:pPr>
      <w:r>
        <w:rPr/>
        <w:t>(Continued on following pages)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rPr/>
      </w:pPr>
      <w:r>
        <w:rPr/>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r>
    </w:p>
    <w:tbl>
      <w:tblPr>
        <w:tblW w:w="10205" w:type="dxa"/>
        <w:jc w:val="left"/>
        <w:tblInd w:w="0" w:type="dxa"/>
        <w:tblCellMar>
          <w:top w:w="0" w:type="dxa"/>
          <w:left w:w="0" w:type="dxa"/>
          <w:bottom w:w="0" w:type="dxa"/>
          <w:right w:w="0" w:type="dxa"/>
        </w:tblCellMar>
      </w:tblPr>
      <w:tblGrid>
        <w:gridCol w:w="586"/>
        <w:gridCol w:w="1420"/>
        <w:gridCol w:w="424"/>
        <w:gridCol w:w="23"/>
        <w:gridCol w:w="453"/>
        <w:gridCol w:w="3241"/>
        <w:gridCol w:w="4007"/>
        <w:gridCol w:w="51"/>
      </w:tblGrid>
      <w:tr>
        <w:trPr/>
        <w:tc>
          <w:tcPr>
            <w:tcW w:w="586"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3241" w:type="dxa"/>
            <w:tcBorders/>
            <w:shd w:fill="auto" w:val="clear"/>
            <w:vAlign w:val="center"/>
          </w:tcPr>
          <w:p>
            <w:pPr>
              <w:pStyle w:val="TableContents"/>
              <w:spacing w:before="0" w:after="283"/>
              <w:rPr>
                <w:sz w:val="4"/>
                <w:szCs w:val="4"/>
              </w:rPr>
            </w:pPr>
            <w:r>
              <w:rPr>
                <w:sz w:val="4"/>
                <w:szCs w:val="4"/>
              </w:rPr>
            </w:r>
          </w:p>
        </w:tc>
        <w:tc>
          <w:tcPr>
            <w:tcW w:w="4007"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center"/>
          </w:tcPr>
          <w:p>
            <w:pPr>
              <w:pStyle w:val="TableContents"/>
              <w:spacing w:before="0" w:after="283"/>
              <w:rPr>
                <w:sz w:val="4"/>
                <w:szCs w:val="4"/>
              </w:rPr>
            </w:pPr>
            <w:r>
              <w:rPr>
                <w:sz w:val="4"/>
                <w:szCs w:val="4"/>
              </w:rPr>
            </w:r>
          </w:p>
        </w:tc>
      </w:tr>
      <w:tr>
        <w:trPr/>
        <w:tc>
          <w:tcPr>
            <w:tcW w:w="2906" w:type="dxa"/>
            <w:gridSpan w:val="5"/>
            <w:tcBorders/>
            <w:shd w:fill="auto" w:val="clear"/>
          </w:tcPr>
          <w:p>
            <w:pPr>
              <w:pStyle w:val="TableContents"/>
              <w:spacing w:before="0" w:after="0"/>
              <w:ind w:left="0" w:right="0" w:hanging="0"/>
              <w:rPr/>
            </w:pPr>
            <w:r>
              <w:rPr/>
              <w:t>CUSIP No. 45323A 102</w:t>
            </w:r>
          </w:p>
        </w:tc>
        <w:tc>
          <w:tcPr>
            <w:tcW w:w="3241" w:type="dxa"/>
            <w:tcBorders/>
            <w:shd w:fill="auto" w:val="clear"/>
          </w:tcPr>
          <w:p>
            <w:pPr>
              <w:pStyle w:val="TableContents"/>
              <w:pBdr/>
              <w:spacing w:before="0" w:after="0"/>
              <w:ind w:left="0" w:right="0" w:hanging="0"/>
              <w:jc w:val="center"/>
              <w:rPr>
                <w:b/>
              </w:rPr>
            </w:pPr>
            <w:r>
              <w:rPr>
                <w:b/>
              </w:rPr>
              <w:t>13D</w:t>
            </w:r>
          </w:p>
        </w:tc>
        <w:tc>
          <w:tcPr>
            <w:tcW w:w="4058" w:type="dxa"/>
            <w:gridSpan w:val="2"/>
            <w:tcBorders/>
            <w:shd w:fill="auto" w:val="clear"/>
          </w:tcPr>
          <w:p>
            <w:pPr>
              <w:pStyle w:val="TableContents"/>
              <w:spacing w:before="0" w:after="0"/>
              <w:ind w:left="0" w:right="0" w:hanging="0"/>
              <w:jc w:val="right"/>
              <w:rPr/>
            </w:pPr>
            <w:r>
              <w:rPr/>
              <w:t>Page 2 of 4 Pages</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1</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NAMES OF REPORTING PERSONS</w:t>
            </w:r>
          </w:p>
          <w:p>
            <w:pPr>
              <w:pStyle w:val="TableContents"/>
              <w:spacing w:before="0" w:after="0"/>
              <w:ind w:left="0" w:right="0" w:hanging="0"/>
              <w:rPr/>
            </w:pPr>
            <w:r>
              <w:rPr/>
            </w:r>
          </w:p>
          <w:p>
            <w:pPr>
              <w:pStyle w:val="TableContents"/>
              <w:spacing w:before="0" w:after="0"/>
              <w:ind w:left="0" w:right="0" w:firstLine="720"/>
              <w:rPr/>
            </w:pPr>
            <w:r>
              <w:rPr/>
              <w:t>DermaStar International, LLC</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2</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CHECK THE APPROPRIATE BOX IF A MEMBER OF A GROUP</w:t>
            </w:r>
          </w:p>
          <w:p>
            <w:pPr>
              <w:pStyle w:val="TableContents"/>
              <w:spacing w:before="0" w:after="15"/>
              <w:ind w:left="0" w:right="0" w:hanging="30"/>
              <w:rPr/>
            </w:pPr>
            <w:r>
              <w:rPr/>
              <w:t xml:space="preserve">(a) </w:t>
            </w:r>
            <w:r>
              <w:rPr>
                <w:bdr w:val="single" w:sz="2" w:space="1" w:color="000000"/>
              </w:rPr>
              <w:t>     </w:t>
            </w:r>
            <w:r>
              <w:rPr>
                <w:color w:val="FFFFFF"/>
                <w:sz w:val="10"/>
              </w:rPr>
              <w:t>.</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5572125"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5572125" cy="175260"/>
                              </a:xfrm>
                              <a:prstGeom prst="rect"/>
                            </wps:spPr>
                            <wps:txbx>
                              <w:txbxContent>
                                <w:p>
                                  <w:pPr>
                                    <w:pStyle w:val="TableContents"/>
                                    <w:spacing w:before="0" w:after="283"/>
                                    <w:rPr/>
                                  </w:pPr>
                                  <w:r>
                                    <w:rPr/>
                                    <w:t>(see instructions)</w:t>
                                  </w:r>
                                </w:p>
                              </w:txbxContent>
                            </wps:txbx>
                            <wps:bodyPr anchor="t" lIns="0" tIns="0" rIns="0" bIns="0">
                              <a:noAutofit/>
                            </wps:bodyPr>
                          </wps:wsp>
                        </a:graphicData>
                      </a:graphic>
                    </wp:anchor>
                  </w:drawing>
                </mc:Choice>
                <mc:Fallback>
                  <w:pict>
                    <v:rect style="position:absolute;rotation:0;width:4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83"/>
                              <w:rPr/>
                            </w:pPr>
                            <w:r>
                              <w:rPr/>
                              <w:t>(see instructions)</w:t>
                            </w:r>
                          </w:p>
                        </w:txbxContent>
                      </v:textbox>
                      <w10:wrap type="square" side="right"/>
                    </v:rect>
                  </w:pict>
                </mc:Fallback>
              </mc:AlternateContent>
            </w:r>
          </w:p>
          <w:p>
            <w:pPr>
              <w:pStyle w:val="TableContents"/>
              <w:spacing w:before="0" w:after="15"/>
              <w:ind w:left="0" w:right="0" w:firstLine="8775"/>
              <w:rPr/>
            </w:pPr>
            <w:r>
              <w:rPr/>
              <w:t xml:space="preserve">(b) </w:t>
            </w:r>
            <w:r>
              <w:rPr>
                <w:bdr w:val="single" w:sz="2" w:space="1" w:color="000000"/>
              </w:rPr>
              <w:t>     </w:t>
            </w:r>
            <w:r>
              <w:rPr>
                <w:color w:val="FFFFFF"/>
                <w:sz w:val="10"/>
              </w:rPr>
              <w:t>.</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3</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SEC USE ONLY</w:t>
            </w:r>
          </w:p>
          <w:p>
            <w:pPr>
              <w:pStyle w:val="TableContents"/>
              <w:spacing w:before="0" w:after="0"/>
              <w:ind w:left="0" w:right="0" w:hanging="0"/>
              <w:rPr/>
            </w:pPr>
            <w:r>
              <w:rPr/>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4</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SOURCE OF FUNDS (see instructions)</w:t>
            </w:r>
          </w:p>
          <w:p>
            <w:pPr>
              <w:pStyle w:val="TableContents"/>
              <w:spacing w:before="0" w:after="0"/>
              <w:ind w:left="0" w:right="0" w:hanging="0"/>
              <w:rPr/>
            </w:pPr>
            <w:r>
              <w:rPr/>
            </w:r>
          </w:p>
          <w:p>
            <w:pPr>
              <w:pStyle w:val="TableContents"/>
              <w:spacing w:before="0" w:after="0"/>
              <w:ind w:left="0" w:right="0" w:firstLine="720"/>
              <w:rPr/>
            </w:pPr>
            <w:r>
              <w:rPr/>
              <w:t>WC</w:t>
            </w:r>
            <w:r>
              <w:rPr>
                <w:position w:val="8"/>
                <w:sz w:val="19"/>
              </w:rPr>
              <w:t>1</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5</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CHECK IF DISCLOSURE OF LEGAL PROCEEDINGS IS REQUIRED</w:t>
            </w:r>
          </w:p>
          <w:p>
            <w:pPr>
              <w:pStyle w:val="TableContents"/>
              <w:spacing w:before="0" w:after="0"/>
              <w:ind w:left="0" w:right="0" w:hanging="0"/>
              <w:rPr/>
            </w:pPr>
            <w:r>
              <w:rPr/>
              <w:t>PURSUANT TO ITEM 2(d) or 2(e)</w:t>
            </w:r>
          </w:p>
          <w:p>
            <w:pPr>
              <w:pStyle w:val="TableContents"/>
              <w:pBdr/>
              <w:spacing w:before="0" w:after="15"/>
              <w:ind w:left="0" w:right="0" w:hanging="0"/>
              <w:jc w:val="right"/>
              <w:rPr/>
            </w:pPr>
            <w:r>
              <w:rPr/>
              <w:t> </w:t>
            </w:r>
            <w:r>
              <w:rPr>
                <w:bdr w:val="single" w:sz="2" w:space="1" w:color="000000"/>
              </w:rPr>
              <w:t>     </w:t>
            </w:r>
            <w:r>
              <w:rPr>
                <w:color w:val="FFFFFF"/>
                <w:sz w:val="10"/>
              </w:rPr>
              <w:t>.</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6</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CITIZENSHIP OR PLACE OF ORGANIZATION</w:t>
            </w:r>
          </w:p>
          <w:p>
            <w:pPr>
              <w:pStyle w:val="TableContents"/>
              <w:spacing w:before="0" w:after="0"/>
              <w:ind w:left="0" w:right="0" w:hanging="0"/>
              <w:rPr/>
            </w:pPr>
            <w:r>
              <w:rPr/>
            </w:r>
          </w:p>
          <w:p>
            <w:pPr>
              <w:pStyle w:val="TableContents"/>
              <w:spacing w:before="0" w:after="0"/>
              <w:ind w:left="0" w:right="0" w:firstLine="720"/>
              <w:rPr/>
            </w:pPr>
            <w:r>
              <w:rPr/>
              <w:t>Nevada</w:t>
            </w:r>
          </w:p>
        </w:tc>
      </w:tr>
      <w:tr>
        <w:trPr/>
        <w:tc>
          <w:tcPr>
            <w:tcW w:w="2006" w:type="dxa"/>
            <w:gridSpan w:val="2"/>
            <w:vMerge w:val="restart"/>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NUMBER OF</w:t>
            </w:r>
          </w:p>
          <w:p>
            <w:pPr>
              <w:pStyle w:val="TableContents"/>
              <w:spacing w:before="0" w:after="0"/>
              <w:ind w:left="0" w:right="0" w:hanging="0"/>
              <w:jc w:val="center"/>
              <w:rPr/>
            </w:pPr>
            <w:r>
              <w:rPr/>
              <w:t xml:space="preserve">SHARES </w:t>
            </w:r>
          </w:p>
          <w:p>
            <w:pPr>
              <w:pStyle w:val="TableContents"/>
              <w:spacing w:before="0" w:after="0"/>
              <w:ind w:left="0" w:right="0" w:hanging="0"/>
              <w:jc w:val="center"/>
              <w:rPr/>
            </w:pPr>
            <w:r>
              <w:rPr/>
              <w:t>BENEFICIALLY</w:t>
            </w:r>
          </w:p>
          <w:p>
            <w:pPr>
              <w:pStyle w:val="TableContents"/>
              <w:spacing w:before="0" w:after="0"/>
              <w:ind w:left="0" w:right="0" w:hanging="0"/>
              <w:jc w:val="center"/>
              <w:rPr/>
            </w:pPr>
            <w:r>
              <w:rPr/>
              <w:t xml:space="preserve">OWNED BY </w:t>
            </w:r>
          </w:p>
          <w:p>
            <w:pPr>
              <w:pStyle w:val="TableContents"/>
              <w:spacing w:before="0" w:after="0"/>
              <w:ind w:left="0" w:right="0" w:hanging="0"/>
              <w:jc w:val="center"/>
              <w:rPr/>
            </w:pPr>
            <w:r>
              <w:rPr/>
              <w:t xml:space="preserve">EACH </w:t>
            </w:r>
          </w:p>
          <w:p>
            <w:pPr>
              <w:pStyle w:val="TableContents"/>
              <w:spacing w:before="0" w:after="0"/>
              <w:ind w:left="0" w:right="0" w:hanging="0"/>
              <w:jc w:val="center"/>
              <w:rPr/>
            </w:pPr>
            <w:r>
              <w:rPr/>
              <w:t xml:space="preserve">REPORTING </w:t>
            </w:r>
          </w:p>
          <w:p>
            <w:pPr>
              <w:pStyle w:val="TableContents"/>
              <w:spacing w:before="0" w:after="0"/>
              <w:ind w:left="0" w:right="0" w:hanging="0"/>
              <w:jc w:val="center"/>
              <w:rPr/>
            </w:pPr>
            <w:r>
              <w:rPr/>
              <w:t>PERSON WITH</w:t>
            </w:r>
          </w:p>
        </w:tc>
        <w:tc>
          <w:tcPr>
            <w:tcW w:w="424"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7</w:t>
            </w:r>
          </w:p>
        </w:tc>
        <w:tc>
          <w:tcPr>
            <w:tcW w:w="7775" w:type="dxa"/>
            <w:gridSpan w:val="5"/>
            <w:tcBorders>
              <w:bottom w:val="single" w:sz="2" w:space="0" w:color="000000"/>
            </w:tcBorders>
            <w:shd w:fill="auto" w:val="clear"/>
            <w:tcMar>
              <w:bottom w:w="28" w:type="dxa"/>
            </w:tcMar>
          </w:tcPr>
          <w:p>
            <w:pPr>
              <w:pStyle w:val="TableContents"/>
              <w:spacing w:before="0" w:after="0"/>
              <w:ind w:left="0" w:right="0" w:hanging="0"/>
              <w:rPr/>
            </w:pPr>
            <w:r>
              <w:rPr/>
              <w:t>SOLE VOTING POWER</w:t>
            </w:r>
          </w:p>
          <w:p>
            <w:pPr>
              <w:pStyle w:val="TableContents"/>
              <w:spacing w:before="0" w:after="0"/>
              <w:ind w:left="0" w:right="0" w:firstLine="285"/>
              <w:rPr/>
            </w:pPr>
            <w:r>
              <w:rPr/>
              <w:t>0</w:t>
            </w:r>
          </w:p>
        </w:tc>
      </w:tr>
      <w:tr>
        <w:trPr/>
        <w:tc>
          <w:tcPr>
            <w:tcW w:w="2006" w:type="dxa"/>
            <w:gridSpan w:val="2"/>
            <w:vMerge w:val="continue"/>
            <w:tcBorders>
              <w:bottom w:val="single" w:sz="2" w:space="0" w:color="000000"/>
              <w:right w:val="single" w:sz="2" w:space="0" w:color="000000"/>
            </w:tcBorders>
            <w:shd w:fill="auto" w:val="clear"/>
            <w:tcMar>
              <w:bottom w:w="28" w:type="dxa"/>
              <w:right w:w="28" w:type="dxa"/>
            </w:tcMar>
          </w:tcPr>
          <w:p>
            <w:pPr>
              <w:pStyle w:val="Normal"/>
              <w:rPr/>
            </w:pPr>
            <w:r>
              <w:rPr/>
            </w:r>
          </w:p>
        </w:tc>
        <w:tc>
          <w:tcPr>
            <w:tcW w:w="424"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b/>
              </w:rPr>
            </w:pPr>
            <w:r>
              <w:rPr>
                <w:b/>
              </w:rPr>
              <w:t>8</w:t>
            </w:r>
          </w:p>
        </w:tc>
        <w:tc>
          <w:tcPr>
            <w:tcW w:w="7775" w:type="dxa"/>
            <w:gridSpan w:val="5"/>
            <w:tcBorders>
              <w:bottom w:val="single" w:sz="2" w:space="0" w:color="000000"/>
            </w:tcBorders>
            <w:shd w:fill="auto" w:val="clear"/>
            <w:tcMar>
              <w:bottom w:w="28" w:type="dxa"/>
            </w:tcMar>
          </w:tcPr>
          <w:p>
            <w:pPr>
              <w:pStyle w:val="TableContents"/>
              <w:spacing w:before="0" w:after="0"/>
              <w:ind w:left="0" w:right="0" w:hanging="0"/>
              <w:rPr/>
            </w:pPr>
            <w:r>
              <w:rPr/>
              <w:t>SHARED VOTING POWER</w:t>
            </w:r>
          </w:p>
          <w:p>
            <w:pPr>
              <w:pStyle w:val="TableContents"/>
              <w:spacing w:before="0" w:after="0"/>
              <w:ind w:left="0" w:right="0" w:firstLine="285"/>
              <w:rPr/>
            </w:pPr>
            <w:r>
              <w:rPr/>
              <w:t>0</w:t>
            </w:r>
          </w:p>
        </w:tc>
      </w:tr>
      <w:tr>
        <w:trPr/>
        <w:tc>
          <w:tcPr>
            <w:tcW w:w="2006" w:type="dxa"/>
            <w:gridSpan w:val="2"/>
            <w:vMerge w:val="continue"/>
            <w:tcBorders>
              <w:bottom w:val="single" w:sz="2" w:space="0" w:color="000000"/>
              <w:right w:val="single" w:sz="2" w:space="0" w:color="000000"/>
            </w:tcBorders>
            <w:shd w:fill="auto" w:val="clear"/>
            <w:tcMar>
              <w:bottom w:w="28" w:type="dxa"/>
              <w:right w:w="28" w:type="dxa"/>
            </w:tcMar>
          </w:tcPr>
          <w:p>
            <w:pPr>
              <w:pStyle w:val="Normal"/>
              <w:rPr/>
            </w:pPr>
            <w:r>
              <w:rPr/>
            </w:r>
          </w:p>
        </w:tc>
        <w:tc>
          <w:tcPr>
            <w:tcW w:w="424"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b/>
              </w:rPr>
            </w:pPr>
            <w:r>
              <w:rPr>
                <w:b/>
              </w:rPr>
              <w:t>9</w:t>
            </w:r>
          </w:p>
        </w:tc>
        <w:tc>
          <w:tcPr>
            <w:tcW w:w="7775" w:type="dxa"/>
            <w:gridSpan w:val="5"/>
            <w:tcBorders>
              <w:bottom w:val="single" w:sz="2" w:space="0" w:color="000000"/>
            </w:tcBorders>
            <w:shd w:fill="auto" w:val="clear"/>
            <w:tcMar>
              <w:bottom w:w="28" w:type="dxa"/>
            </w:tcMar>
          </w:tcPr>
          <w:p>
            <w:pPr>
              <w:pStyle w:val="TableContents"/>
              <w:spacing w:before="0" w:after="0"/>
              <w:ind w:left="0" w:right="0" w:hanging="0"/>
              <w:rPr/>
            </w:pPr>
            <w:r>
              <w:rPr/>
              <w:t>SOLE DISPOSITIVE POWER</w:t>
            </w:r>
          </w:p>
          <w:p>
            <w:pPr>
              <w:pStyle w:val="TableContents"/>
              <w:spacing w:before="0" w:after="0"/>
              <w:ind w:left="0" w:right="0" w:firstLine="285"/>
              <w:rPr/>
            </w:pPr>
            <w:r>
              <w:rPr/>
              <w:t>0</w:t>
            </w:r>
          </w:p>
        </w:tc>
      </w:tr>
      <w:tr>
        <w:trPr/>
        <w:tc>
          <w:tcPr>
            <w:tcW w:w="2006" w:type="dxa"/>
            <w:gridSpan w:val="2"/>
            <w:vMerge w:val="continue"/>
            <w:tcBorders>
              <w:bottom w:val="single" w:sz="2" w:space="0" w:color="000000"/>
              <w:right w:val="single" w:sz="2" w:space="0" w:color="000000"/>
            </w:tcBorders>
            <w:shd w:fill="auto" w:val="clear"/>
            <w:tcMar>
              <w:bottom w:w="28" w:type="dxa"/>
              <w:right w:w="28" w:type="dxa"/>
            </w:tcMar>
          </w:tcPr>
          <w:p>
            <w:pPr>
              <w:pStyle w:val="Normal"/>
              <w:rPr/>
            </w:pPr>
            <w:r>
              <w:rPr/>
            </w:r>
          </w:p>
        </w:tc>
        <w:tc>
          <w:tcPr>
            <w:tcW w:w="447" w:type="dxa"/>
            <w:gridSpan w:val="2"/>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b/>
              </w:rPr>
            </w:pPr>
            <w:r>
              <w:rPr>
                <w:b/>
              </w:rPr>
              <w:t>10</w:t>
            </w:r>
          </w:p>
        </w:tc>
        <w:tc>
          <w:tcPr>
            <w:tcW w:w="7752" w:type="dxa"/>
            <w:gridSpan w:val="4"/>
            <w:tcBorders>
              <w:bottom w:val="single" w:sz="2" w:space="0" w:color="000000"/>
            </w:tcBorders>
            <w:shd w:fill="auto" w:val="clear"/>
            <w:tcMar>
              <w:bottom w:w="28" w:type="dxa"/>
            </w:tcMar>
          </w:tcPr>
          <w:p>
            <w:pPr>
              <w:pStyle w:val="TableContents"/>
              <w:spacing w:before="0" w:after="0"/>
              <w:ind w:left="0" w:right="0" w:hanging="0"/>
              <w:rPr/>
            </w:pPr>
            <w:r>
              <w:rPr/>
              <w:t>SHARED DISPOSITIVE POWER</w:t>
            </w:r>
          </w:p>
          <w:p>
            <w:pPr>
              <w:pStyle w:val="TableContents"/>
              <w:spacing w:before="0" w:after="0"/>
              <w:ind w:left="0" w:right="0" w:firstLine="285"/>
              <w:rPr/>
            </w:pPr>
            <w:r>
              <w:rPr/>
              <w:t>0</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11</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AGGREGATE AMOUNT BENEFICIALLY OWNED BY EACH REPORTING PERSON</w:t>
            </w:r>
          </w:p>
          <w:p>
            <w:pPr>
              <w:pStyle w:val="TableContents"/>
              <w:spacing w:before="0" w:after="0"/>
              <w:ind w:left="0" w:right="0" w:hanging="0"/>
              <w:rPr/>
            </w:pPr>
            <w:r>
              <w:rPr/>
            </w:r>
          </w:p>
          <w:p>
            <w:pPr>
              <w:pStyle w:val="TableContents"/>
              <w:spacing w:before="0" w:after="0"/>
              <w:ind w:left="0" w:right="0" w:firstLine="720"/>
              <w:rPr/>
            </w:pPr>
            <w:r>
              <w:rPr/>
              <w:t>0</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12</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CHECK BOX IF THE AGGREGATE AMOUNT IN ROW (11) EXCLUDES CERTAIN SHARES</w:t>
            </w:r>
          </w:p>
          <w:p>
            <w:pPr>
              <w:pStyle w:val="TableContents"/>
              <w:spacing w:before="0" w:after="0"/>
              <w:ind w:left="0" w:right="0" w:hanging="0"/>
              <w:rPr/>
            </w:pPr>
            <w:r>
              <w:rPr/>
              <w:t>(see instructions)</w:t>
            </w:r>
          </w:p>
          <w:p>
            <w:pPr>
              <w:pStyle w:val="TableContents"/>
              <w:pBdr/>
              <w:spacing w:before="0" w:after="15"/>
              <w:ind w:left="0" w:right="0" w:hanging="0"/>
              <w:jc w:val="right"/>
              <w:rPr/>
            </w:pPr>
            <w:r>
              <w:rPr/>
              <w:t> </w:t>
            </w:r>
            <w:r>
              <w:rPr>
                <w:bdr w:val="single" w:sz="2" w:space="1" w:color="000000"/>
              </w:rPr>
              <w:t>     </w:t>
            </w:r>
            <w:r>
              <w:rPr>
                <w:color w:val="FFFFFF"/>
                <w:sz w:val="10"/>
              </w:rPr>
              <w:t>.</w:t>
            </w:r>
          </w:p>
        </w:tc>
      </w:tr>
      <w:tr>
        <w:trPr/>
        <w:tc>
          <w:tcPr>
            <w:tcW w:w="586" w:type="dxa"/>
            <w:tcBorders>
              <w:right w:val="single" w:sz="2" w:space="0" w:color="000000"/>
            </w:tcBorders>
            <w:shd w:fill="auto" w:val="clear"/>
            <w:tcMar>
              <w:right w:w="28" w:type="dxa"/>
            </w:tcMar>
          </w:tcPr>
          <w:p>
            <w:pPr>
              <w:pStyle w:val="TableContents"/>
              <w:spacing w:before="0" w:after="0"/>
              <w:ind w:left="0" w:right="0" w:hanging="0"/>
              <w:rPr>
                <w:b/>
              </w:rPr>
            </w:pPr>
            <w:r>
              <w:rPr>
                <w:b/>
              </w:rPr>
              <w:t>13</w:t>
            </w:r>
          </w:p>
        </w:tc>
        <w:tc>
          <w:tcPr>
            <w:tcW w:w="9619" w:type="dxa"/>
            <w:gridSpan w:val="7"/>
            <w:tcBorders/>
            <w:shd w:fill="auto" w:val="clear"/>
          </w:tcPr>
          <w:p>
            <w:pPr>
              <w:pStyle w:val="TableContents"/>
              <w:spacing w:before="0" w:after="0"/>
              <w:ind w:left="0" w:right="0" w:hanging="0"/>
              <w:rPr/>
            </w:pPr>
            <w:r>
              <w:rPr/>
              <w:t>PERCENT OF CLASS REPRESENTED BY AMOUNT IN ROW 11</w:t>
            </w:r>
          </w:p>
          <w:p>
            <w:pPr>
              <w:pStyle w:val="TableContents"/>
              <w:spacing w:before="0" w:after="0"/>
              <w:ind w:left="0" w:right="0" w:hanging="0"/>
              <w:rPr/>
            </w:pPr>
            <w:r>
              <w:rPr/>
            </w:r>
          </w:p>
          <w:p>
            <w:pPr>
              <w:pStyle w:val="TableContents"/>
              <w:spacing w:before="0" w:after="0"/>
              <w:ind w:left="0" w:right="0" w:firstLine="720"/>
              <w:rPr/>
            </w:pPr>
            <w:r>
              <w:rPr/>
              <w:t>0.0 %</w:t>
            </w:r>
          </w:p>
        </w:tc>
      </w:tr>
      <w:tr>
        <w:trPr/>
        <w:tc>
          <w:tcPr>
            <w:tcW w:w="586" w:type="dxa"/>
            <w:tcBorders>
              <w:top w:val="single" w:sz="2" w:space="0" w:color="000000"/>
              <w:bottom w:val="single" w:sz="2" w:space="0" w:color="000000"/>
              <w:right w:val="single" w:sz="2" w:space="0" w:color="000000"/>
            </w:tcBorders>
            <w:shd w:fill="auto" w:val="clear"/>
            <w:tcMar>
              <w:top w:w="28" w:type="dxa"/>
              <w:bottom w:w="28" w:type="dxa"/>
              <w:right w:w="28" w:type="dxa"/>
            </w:tcMar>
          </w:tcPr>
          <w:p>
            <w:pPr>
              <w:pStyle w:val="TableContents"/>
              <w:spacing w:before="0" w:after="0"/>
              <w:ind w:left="0" w:right="0" w:hanging="0"/>
              <w:rPr>
                <w:b/>
              </w:rPr>
            </w:pPr>
            <w:r>
              <w:rPr>
                <w:b/>
              </w:rPr>
              <w:t>14</w:t>
            </w:r>
          </w:p>
        </w:tc>
        <w:tc>
          <w:tcPr>
            <w:tcW w:w="9619" w:type="dxa"/>
            <w:gridSpan w:val="7"/>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TYPE OF REPORTING PERSON (see instructions)</w:t>
            </w:r>
          </w:p>
          <w:p>
            <w:pPr>
              <w:pStyle w:val="TableContents"/>
              <w:spacing w:before="0" w:after="0"/>
              <w:ind w:left="0" w:right="0" w:hanging="0"/>
              <w:rPr/>
            </w:pPr>
            <w:r>
              <w:rPr/>
            </w:r>
          </w:p>
          <w:p>
            <w:pPr>
              <w:pStyle w:val="TableContents"/>
              <w:spacing w:before="0" w:after="0"/>
              <w:ind w:left="0" w:right="0" w:firstLine="720"/>
              <w:rPr/>
            </w:pPr>
            <w:r>
              <w:rPr/>
              <w:t>OO</w:t>
            </w:r>
          </w:p>
        </w:tc>
      </w:tr>
    </w:tbl>
    <w:p>
      <w:pPr>
        <w:pStyle w:val="TextBody"/>
        <w:spacing w:before="0" w:after="0"/>
        <w:ind w:left="0" w:right="0" w:hanging="0"/>
        <w:rPr>
          <w:sz w:val="15"/>
        </w:rPr>
      </w:pPr>
      <w:r>
        <w:rPr>
          <w:position w:val="5"/>
          <w:sz w:val="12"/>
          <w:sz w:val="15"/>
        </w:rPr>
        <w:t>1</w:t>
      </w:r>
      <w:r>
        <w:rPr>
          <w:sz w:val="15"/>
        </w:rPr>
        <w:t xml:space="preserve"> Funds from working capital were used to acquire the securities over which DermaStar previously had shared voting and dispositive power.</w:t>
      </w:r>
    </w:p>
    <w:p>
      <w:pPr>
        <w:pStyle w:val="TextBody"/>
        <w:spacing w:before="0" w:after="0"/>
        <w:ind w:left="0" w:right="0" w:hanging="0"/>
        <w:jc w:val="center"/>
        <w:rPr/>
      </w:pPr>
      <w:r>
        <w:rPr/>
      </w:r>
    </w:p>
    <w:p>
      <w:pPr>
        <w:pStyle w:val="TextBody"/>
        <w:spacing w:before="0" w:after="0"/>
        <w:ind w:left="0" w:right="0" w:hanging="0"/>
        <w:rPr/>
      </w:pPr>
      <w:r>
        <w:rPr/>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b/>
        </w:rPr>
      </w:pPr>
      <w:r>
        <w:rPr>
          <w:b/>
        </w:rPr>
        <w:t>Explanatory Note:</w:t>
      </w:r>
    </w:p>
    <w:p>
      <w:pPr>
        <w:pStyle w:val="TextBody"/>
        <w:spacing w:before="0" w:after="0"/>
        <w:ind w:left="0" w:right="0" w:hanging="0"/>
        <w:jc w:val="both"/>
        <w:rPr/>
      </w:pPr>
      <w:r>
        <w:rPr/>
      </w:r>
    </w:p>
    <w:p>
      <w:pPr>
        <w:pStyle w:val="TextBody"/>
        <w:spacing w:before="0" w:after="0"/>
        <w:ind w:left="0" w:right="0" w:hanging="0"/>
        <w:jc w:val="both"/>
        <w:rPr/>
      </w:pPr>
      <w:r>
        <w:rPr/>
        <w:t xml:space="preserve">This Amendment No. 2 to Schedule 13D (the Amendment) amends and supplements the Schedule 13D initially filed on April 30, 2012 and amended on May 2, 2012 (as amended, the Statement), on behalf of DermaStar International, LLC (DermaStar), Mark L. Baum and Robert J. Kammer (such individuals together with DermaStar, the Reporting Persons) relating to the beneficial ownership of Common Stock, par value $0.001 per share (the Common Stock) of Imprimis Pharmaceuticals, Inc. (the Issuer).  This Amendment relates only to changes to DermaStars beneficial ownership of the Issuers Common Stock.  As of the date of the event requiring reporting on this Amendment, the other Reporting Persons no longer have shared beneficial ownership with DermaStar with respect to any of the Issuers Common Stock and are filing separate Schedule 13Ds.  Except as set forth below, this Amendment does not supplement, restate or amend any of the other information disclosed in the Statement.  Capitalized terms not defined in this Amendment have the meanings ascribed to them in the Statement. </w:t>
      </w:r>
    </w:p>
    <w:p>
      <w:pPr>
        <w:pStyle w:val="TextBody"/>
        <w:spacing w:before="0" w:after="0"/>
        <w:ind w:left="0" w:right="0" w:hanging="0"/>
        <w:jc w:val="both"/>
        <w:rPr/>
      </w:pPr>
      <w:r>
        <w:rPr/>
      </w:r>
    </w:p>
    <w:p>
      <w:pPr>
        <w:pStyle w:val="TextBody"/>
        <w:spacing w:before="0" w:after="0"/>
        <w:ind w:left="0" w:right="0" w:hanging="30"/>
        <w:jc w:val="both"/>
        <w:rPr>
          <w:b/>
        </w:rPr>
      </w:pPr>
      <w:r>
        <w:rPr>
          <w:b/>
        </w:rPr>
        <w:t>Source and Amount of Funds or Other Consideration.</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9144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Item 3 of the Statement is amended by adding the following paragraphs immediately after the end thereof:</w:t>
      </w:r>
    </w:p>
    <w:p>
      <w:pPr>
        <w:pStyle w:val="TextBody"/>
        <w:spacing w:before="0" w:after="0"/>
        <w:ind w:left="0" w:right="0" w:hanging="0"/>
        <w:jc w:val="both"/>
        <w:rPr/>
      </w:pPr>
      <w:r>
        <w:rPr/>
      </w:r>
    </w:p>
    <w:p>
      <w:pPr>
        <w:pStyle w:val="TextBody"/>
        <w:spacing w:before="0" w:after="0"/>
        <w:ind w:left="0" w:right="0" w:hanging="0"/>
        <w:jc w:val="both"/>
        <w:rPr/>
      </w:pPr>
      <w:r>
        <w:rPr/>
        <w:t>Effective on June 29, 2012, DermaStar converted all ten (10) of its shares of Series A Preferred Stock into 7,498,500 shares of Common Stock and received from the Issuer $200,000 in consideration for DermaStars agreement to convert such shares, all pursuant to the terms of a conversion agreement between DermaStar and the Issuer dated June 29, 2012 (the Series A Conversion Agreement).</w:t>
      </w:r>
    </w:p>
    <w:p>
      <w:pPr>
        <w:pStyle w:val="TextBody"/>
        <w:spacing w:before="0" w:after="0"/>
        <w:ind w:left="0" w:right="0" w:hanging="0"/>
        <w:jc w:val="both"/>
        <w:rPr/>
      </w:pPr>
      <w:r>
        <w:rPr/>
      </w:r>
    </w:p>
    <w:p>
      <w:pPr>
        <w:pStyle w:val="TextBody"/>
        <w:spacing w:before="0" w:after="0"/>
        <w:ind w:left="0" w:right="0" w:hanging="0"/>
        <w:jc w:val="both"/>
        <w:rPr/>
      </w:pPr>
      <w:r>
        <w:rPr/>
        <w:t>On July 12, 2012, DermaStar distributed to its members and to certain additional individuals all shares of the Issuers Common Stock held of record by DermaStar as of that date (the Distribution Transaction), which consisted of the following: (a) 7,498,500 shares of Common Stock received pursuant to the Series A Conversion Agreement, (b) an additional 8,240,045 shares of Common Stock held by DermaStar as of July 12, 2012, and (c) the Warrant.  As a result of the Distribution Transaction, DermaStar ceased to be a beneficial owner of any shares of the Issuers Common Stock (or rights to acquire the Issuers Common Stock).</w:t>
      </w:r>
    </w:p>
    <w:p>
      <w:pPr>
        <w:pStyle w:val="TextBody"/>
        <w:spacing w:before="0" w:after="0"/>
        <w:ind w:left="0" w:right="0" w:hanging="0"/>
        <w:jc w:val="both"/>
        <w:rPr/>
      </w:pPr>
      <w:r>
        <w:rPr/>
      </w:r>
    </w:p>
    <w:p>
      <w:pPr>
        <w:pStyle w:val="TextBody"/>
        <w:spacing w:before="0" w:after="0"/>
        <w:ind w:left="0" w:right="0" w:hanging="30"/>
        <w:jc w:val="both"/>
        <w:rPr>
          <w:b/>
        </w:rPr>
      </w:pPr>
      <w:r>
        <w:rPr>
          <w:b/>
        </w:rPr>
        <w:t>Interest in Securities of the Issuer.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Items 5(a) through 5(c) and 5(e) are amended and restated in their entirety to read as follows:</w:t>
      </w:r>
    </w:p>
    <w:p>
      <w:pPr>
        <w:pStyle w:val="TextBody"/>
        <w:spacing w:before="0" w:after="0"/>
        <w:ind w:left="0" w:right="0" w:hanging="0"/>
        <w:jc w:val="both"/>
        <w:rPr/>
      </w:pPr>
      <w:r>
        <w:rPr/>
      </w:r>
    </w:p>
    <w:p>
      <w:pPr>
        <w:pStyle w:val="TextBody"/>
        <w:spacing w:before="0" w:after="0"/>
        <w:ind w:left="0" w:right="0" w:hanging="30"/>
        <w:jc w:val="both"/>
        <w:rPr/>
      </w:pPr>
      <w:r>
        <w:rPr/>
        <w:t>DermaStar is the beneficial owner of zero shares of Common Stock (including rights to acquire Common Stock).</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371600"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DermaStar has the sole power to vote or direct the vote, shared power to vote or direct the vote, sole power to dispose or direct the disposition of, and shared power to dispose or direct the disposition of, zero shares of Common Stock (including rights to acquire Common Stock).</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371600"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Except as reported herein, DermaStar has not effected any transactions in the Issuers securities within the past 60 days.</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371600"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Effective as of the date of this Amendment, DermaStar ceased to be the beneficial owner of any shares of Common Stock (or rights to acquire the Issuers Common Stock).</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371600" cy="175260"/>
                <wp:effectExtent l="0" t="0" r="0" b="0"/>
                <wp:wrapSquare wrapText="largest"/>
                <wp:docPr id="7" name="Frame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Material to be Filed as Exhibits.</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75260"/>
                <wp:effectExtent l="0" t="0" r="0" b="0"/>
                <wp:wrapSquare wrapText="largest"/>
                <wp:docPr id="8" name="Frame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7.</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7.</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Series A Conversion Agreement, dated June 29, 2012, by and between Imprimis Pharmaceuticals, Inc. and DermaStar International, LLC (incorporated by reference to Exhibit 10.39 to the Registration Statement on Form S-1 filed by the Issuer with the Securities and Exchange Commission on July 25, 2012).</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828800"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Exhibit 10</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Exhibit 10</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sz w:val="15"/>
        </w:rPr>
      </w:pPr>
      <w:r>
        <w:rPr>
          <w:sz w:val="15"/>
        </w:rPr>
        <w:t>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right"/>
        <w:rPr/>
      </w:pPr>
      <w:r>
        <w:rPr/>
      </w:r>
    </w:p>
    <w:p>
      <w:pPr>
        <w:pStyle w:val="TextBody"/>
        <w:spacing w:before="0" w:after="0"/>
        <w:ind w:left="0" w:right="0" w:hanging="0"/>
        <w:rPr/>
      </w:pPr>
      <w:r>
        <w:rPr/>
      </w:r>
    </w:p>
    <w:p>
      <w:pPr>
        <w:pStyle w:val="TextBody"/>
        <w:spacing w:before="0" w:after="0"/>
        <w:ind w:left="0" w:right="0" w:hanging="0"/>
        <w:jc w:val="center"/>
        <w:rPr>
          <w:b/>
        </w:rPr>
      </w:pPr>
      <w:r>
        <w:rPr>
          <w:b/>
        </w:rPr>
        <w:t>SIGNATURE</w:t>
      </w:r>
    </w:p>
    <w:p>
      <w:pPr>
        <w:pStyle w:val="TextBody"/>
        <w:spacing w:before="0" w:after="0"/>
        <w:ind w:left="0" w:right="0" w:hanging="0"/>
        <w:rPr/>
      </w:pPr>
      <w:r>
        <w:rPr/>
      </w:r>
    </w:p>
    <w:p>
      <w:pPr>
        <w:pStyle w:val="TextBody"/>
        <w:spacing w:before="0" w:after="0"/>
        <w:ind w:left="0" w:right="0" w:hanging="0"/>
        <w:rPr/>
      </w:pPr>
      <w:r>
        <w:rPr/>
        <w:t>After reasonable inquiry and to the best of my knowledge and belief, I certify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rPr/>
      </w:pPr>
      <w:r>
        <w:rPr/>
        <w:t>Dated:  July 16, 2012</w:t>
      </w:r>
    </w:p>
    <w:p>
      <w:pPr>
        <w:pStyle w:val="TextBody"/>
        <w:spacing w:before="0" w:after="0"/>
        <w:ind w:left="0" w:right="0" w:hanging="0"/>
        <w:rPr/>
      </w:pPr>
      <w:r>
        <w:rPr/>
      </w:r>
    </w:p>
    <w:p>
      <w:pPr>
        <w:pStyle w:val="TextBody"/>
        <w:spacing w:before="0" w:after="0"/>
        <w:ind w:left="0" w:right="0" w:hanging="0"/>
        <w:jc w:val="both"/>
        <w:rPr/>
      </w:pPr>
      <w:r>
        <w:rPr/>
      </w:r>
    </w:p>
    <w:p>
      <w:pPr>
        <w:pStyle w:val="TextBody"/>
        <w:spacing w:before="0" w:after="0"/>
        <w:ind w:left="0" w:right="0" w:firstLine="5040"/>
        <w:rPr>
          <w:b/>
        </w:rPr>
      </w:pPr>
      <w:r>
        <w:rPr>
          <w:b/>
        </w:rPr>
        <w:t>DERMASTAR INTERNATIONAL, LLC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5040"/>
        <w:rPr>
          <w:i/>
          <w:u w:val="single"/>
        </w:rPr>
      </w:pPr>
      <w:r>
        <w:rPr>
          <w:i/>
          <w:u w:val="single"/>
        </w:rPr>
        <w:t>/s/ Mark L. Baum</w:t>
      </w:r>
    </w:p>
    <w:p>
      <w:pPr>
        <w:pStyle w:val="TextBody"/>
        <w:spacing w:before="0" w:after="0"/>
        <w:ind w:left="0" w:right="0" w:firstLine="5040"/>
        <w:rPr/>
      </w:pPr>
      <w:r>
        <w:rPr/>
        <w:t>By: Mark L. Baum</w:t>
      </w:r>
    </w:p>
    <w:p>
      <w:pPr>
        <w:pStyle w:val="TextBody"/>
        <w:spacing w:before="0" w:after="0"/>
        <w:ind w:left="0" w:right="0" w:firstLine="5040"/>
        <w:rPr/>
      </w:pPr>
      <w:r>
        <w:rPr/>
        <w:t>Its: Managing Member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5040"/>
        <w:rPr>
          <w:i/>
          <w:u w:val="single"/>
        </w:rPr>
      </w:pPr>
      <w:r>
        <w:rPr>
          <w:i/>
          <w:u w:val="single"/>
        </w:rPr>
        <w:t>/s/ Robert J. Kammer</w:t>
      </w:r>
    </w:p>
    <w:p>
      <w:pPr>
        <w:pStyle w:val="TextBody"/>
        <w:spacing w:before="0" w:after="0"/>
        <w:ind w:left="0" w:right="0" w:firstLine="5040"/>
        <w:rPr/>
      </w:pPr>
      <w:r>
        <w:rPr/>
        <w:t>By: Dr. Robert J. Kammer</w:t>
      </w:r>
    </w:p>
    <w:p>
      <w:pPr>
        <w:pStyle w:val="TextBody"/>
        <w:spacing w:before="0" w:after="0"/>
        <w:ind w:left="0" w:right="0" w:firstLine="5040"/>
        <w:rPr/>
      </w:pPr>
      <w:r>
        <w:rPr/>
        <w:t>Its: Managing Member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sz w:val="15"/>
        </w:rPr>
      </w:pPr>
      <w:r>
        <w:rPr>
          <w:sz w:val="15"/>
        </w:rPr>
        <w:t>4</w: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1065</Words>
  <CharactersWithSpaces>6132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Schedule 13D</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08/09/2012</vt:lpwstr>
  </property>
</Properties>
</file>