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11.875% Senior Notes due 2027</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Items.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9, 2025, Harrow, Inc. announced that it and a wholly-owned subsidiary (together, the “Company”) had entered into a license and supply agreement (the “Agreement”) with Formosa Pharmaceuticals, Inc. (“Formosa”). Under the terms of the Agreement, the Company licensed from Formosa</w:t>
      </w:r>
    </w:p>
    <w:p>
      <w:pPr>
        <w:jc w:val="both"/>
        <w:spacing w:after="0" w:line="227" w:lineRule="auto"/>
        <w:rPr>
          <w:sz w:val="20"/>
          <w:szCs w:val="20"/>
          <w:color w:val="auto"/>
        </w:rPr>
      </w:pPr>
      <w:r>
        <w:rPr>
          <w:rFonts w:ascii="Times New Roman" w:cs="Times New Roman" w:eastAsia="Times New Roman" w:hAnsi="Times New Roman"/>
          <w:sz w:val="18"/>
          <w:szCs w:val="18"/>
          <w:color w:val="auto"/>
        </w:rPr>
        <w:t>the exclusive rights and marketing authorization of BYQLOVI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(clobetasol propionate ophthalmic suspension) 0.05% in the U.S. market: In consideration for such rights, the Company will make a one-time payment to Formosa equal to five hundred thousand dollars ($500,000) at the time the Company makes its first commercial sale of BYQLOVI to a third party and Formosa will be eligible to receive other one-time payments based on achievement of commercial gross profit milestones along with royalties on gross profits of BYQLOVI.</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copy of the press release announcing the Agreement is filed as </w:t>
      </w:r>
      <w:r>
        <w:rPr>
          <w:rFonts w:ascii="Times New Roman" w:cs="Times New Roman" w:eastAsia="Times New Roman" w:hAnsi="Times New Roman"/>
          <w:sz w:val="18"/>
          <w:szCs w:val="18"/>
          <w:u w:val="single" w:color="auto"/>
          <w:color w:val="auto"/>
        </w:rPr>
        <w:t>Exhibit 99</w:t>
      </w:r>
      <w:r>
        <w:rPr>
          <w:rFonts w:ascii="Times New Roman" w:cs="Times New Roman" w:eastAsia="Times New Roman" w:hAnsi="Times New Roman"/>
          <w:sz w:val="18"/>
          <w:szCs w:val="18"/>
          <w:color w:val="auto"/>
        </w:rPr>
        <w:t xml:space="preserve"> to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36" w:lineRule="exact"/>
        <w:rPr>
          <w:sz w:val="20"/>
          <w:szCs w:val="20"/>
          <w:color w:val="auto"/>
        </w:rPr>
      </w:pPr>
    </w:p>
    <w:p>
      <w:pPr>
        <w:ind w:left="1100" w:hanging="1092"/>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Press Release of Harrow, Inc. dated June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June 9,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14500" cy="891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9154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156845</wp:posOffset>
            </wp:positionV>
            <wp:extent cx="2571750"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Harrow Acquires U.S. Commercial Rights to BYQLOVI™ (Clobetasol Propionate Ophthalmic Suspension) 0.05% from Formosa Pharmaceuticals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NASHVILLE, Tenn. and Taipei, Taiwan, June 9, 2025 – </w:t>
      </w:r>
      <w:r>
        <w:rPr>
          <w:rFonts w:ascii="Times New Roman" w:cs="Times New Roman" w:eastAsia="Times New Roman" w:hAnsi="Times New Roman"/>
          <w:sz w:val="18"/>
          <w:szCs w:val="18"/>
          <w:color w:val="auto"/>
        </w:rPr>
        <w:t>Harrow (Nasdaq: HROW), a leading North American eyecare pharmaceutical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Taiwan-based Formosa Pharmaceuticals (“Formosa”, 6838.TW), today announced a licensing agreement, whereby Harrow has acquired the exclusive U.S. commercial rights for BYQLOVI™ (clobetasol propionate ophthalmic suspension) 0.05%. BYQLOVI was recently approved by the U.S. Food and Drug Administration (FDA) for the treatment of post-operative inflammation and pain following ocular surgery and is the first new ophthalmic steroid in its class in over 15 years. Harrow expects BYQLOVI to be available in the fourth quarter of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thrilled to soon launch BYQLOVI, a truly clinically differentiated topical corticosteroid, into a U.S. market that now exceeds 7 million annual ophthalmic surgeries,” said Mark L. Baum, Chief Executive Officer of Harrow. “With compelling efficacy, extraordinary safety, and patient-friendly dosing, BYQLOVI has the potential to shift the paradigm in the multi-billion-dollar U.S. post-surgical care ophthalmic segment.”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“Harrow’s commitment to innovation, patient access, and physician engagement closely aligns with our mission to promote unique clinical advancements that improve patient outcomes,” said Erick Co, President and CEO of Formosa Pharmaceuticals. “We are confident that Harrow’s leadership in the U.S. eyecare space will ensure BYQLOVI’s successful adoption among surgeons and eyecare professionals – and ultimately, better post-surgical experiences for U.S. patients.”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BYQLOVI, a high-potency ophthalmic corticosteroid formulated using Formosa’s proprietary APNT® nanoparticle formulation technology, delivers a highly uniform suspension that minimizes particle setting and provides consistent dosing. Its pharmacologic performance and clinical outcomes position it as a best-in-class option for post-operative inflammation and pain.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highlights of BYQLOVI include: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Best-in-Class Pain Relief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77% and 85%, respectively, of patients in supportive pivotal clinical studies reporting no pain at Day 4 post-surgery; 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87%, respectively, reporting no pain at Day 8 post-surgery.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Best-in-Class Inflammation Clearance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33% and 30%, respectively, of patients in supportive pivotal clinical studies with zero cell counts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anterior chamber at Day 8 post-surgery.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Safety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only 1.4% of patients experiencing elevated intraocular pressure (IOP), a substantially lower rate compared to other ophthalmic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steroids.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Best-in-Class Post-Surgical Dosing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1 drop BID dosing for 14 days on label; without the need for a loading dose and a maintenance phase.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right="640"/>
        <w:spacing w:after="0" w:line="261" w:lineRule="auto"/>
        <w:rPr>
          <w:sz w:val="20"/>
          <w:szCs w:val="20"/>
          <w:color w:val="auto"/>
        </w:rPr>
      </w:pPr>
      <w:r>
        <w:rPr>
          <w:rFonts w:ascii="Times New Roman" w:cs="Times New Roman" w:eastAsia="Times New Roman" w:hAnsi="Times New Roman"/>
          <w:sz w:val="18"/>
          <w:szCs w:val="18"/>
          <w:color w:val="auto"/>
        </w:rPr>
        <w:t>HROW Acquires U.S. Commercial Rights to BYQLOVI™ (Clobetasol Propionate Ophthalmic Suspension) 0.05% from Formosa Pharmaceuticals Page 2</w:t>
      </w:r>
    </w:p>
    <w:p>
      <w:pPr>
        <w:spacing w:after="0"/>
        <w:rPr>
          <w:sz w:val="20"/>
          <w:szCs w:val="20"/>
          <w:color w:val="auto"/>
        </w:rPr>
      </w:pPr>
      <w:r>
        <w:rPr>
          <w:rFonts w:ascii="Times New Roman" w:cs="Times New Roman" w:eastAsia="Times New Roman" w:hAnsi="Times New Roman"/>
          <w:sz w:val="18"/>
          <w:szCs w:val="18"/>
          <w:color w:val="auto"/>
        </w:rPr>
        <w:t>June 9,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BYQLOVI™ (clobetasol propionate ophthalmic suspension) 0.05%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BYQLOVI (clobetasol propionate ophthalmic suspension) 0.05%, for topical ophthalmic use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INDICATIONS AND USAGE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BYQLOVI is a corticosteroid indicated for the treatment of post-operative inflammation and pain following ocular surgery.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BYQLOVI is contraindicated in most active viral diseases of the cornea and conjunctiva, including epithelial herpes simplex keratitis (dendritic keratitis), vaccinia, and varicella, and also in mycobacterial infection of the eye and fungal diseases of ocular structures.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Intraocular Pressure (IOP) Increase: </w:t>
      </w:r>
      <w:r>
        <w:rPr>
          <w:rFonts w:ascii="Times New Roman" w:cs="Times New Roman" w:eastAsia="Times New Roman" w:hAnsi="Times New Roman"/>
          <w:sz w:val="18"/>
          <w:szCs w:val="18"/>
          <w:color w:val="auto"/>
        </w:rPr>
        <w:t>Prolonged use of corticosteroids may result in glaucoma with damage to the optic nerve, defects in visual acuity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fields of vision. Steroids should be used with caution in the presence of glaucoma. If this product is used for 10 days or longer, IOP should be monitored.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Cataracts: </w:t>
      </w:r>
      <w:r>
        <w:rPr>
          <w:rFonts w:ascii="Times New Roman" w:cs="Times New Roman" w:eastAsia="Times New Roman" w:hAnsi="Times New Roman"/>
          <w:sz w:val="18"/>
          <w:szCs w:val="18"/>
          <w:color w:val="auto"/>
        </w:rPr>
        <w:t>Prolonged use of corticosteroids may result in posterior subcapsular cataract 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Delayed Healing: </w:t>
      </w:r>
      <w:r>
        <w:rPr>
          <w:rFonts w:ascii="Times New Roman" w:cs="Times New Roman" w:eastAsia="Times New Roman" w:hAnsi="Times New Roman"/>
          <w:sz w:val="18"/>
          <w:szCs w:val="18"/>
          <w:color w:val="auto"/>
        </w:rPr>
        <w:t>The use of steroids after cataract surgery may delay healing and increase the incidence of bleb formation.</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Corneal and Scleral Melting: </w:t>
      </w:r>
      <w:r>
        <w:rPr>
          <w:rFonts w:ascii="Times New Roman" w:cs="Times New Roman" w:eastAsia="Times New Roman" w:hAnsi="Times New Roman"/>
          <w:sz w:val="18"/>
          <w:szCs w:val="18"/>
          <w:color w:val="auto"/>
        </w:rPr>
        <w:t>In those diseases causing thinning of the cornea or sclera, perforations have been known to occur with the use of topical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steroids. The initial prescription and renewal of the medication order should be made by a physician only after examination of the patient with the aid of magnification, such as slit lamp biomicroscopy, and where appropriate, fluorescein staining.</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Bacterial Infections: </w:t>
      </w:r>
      <w:r>
        <w:rPr>
          <w:rFonts w:ascii="Times New Roman" w:cs="Times New Roman" w:eastAsia="Times New Roman" w:hAnsi="Times New Roman"/>
          <w:sz w:val="18"/>
          <w:szCs w:val="18"/>
          <w:color w:val="auto"/>
        </w:rPr>
        <w:t>Prolonged use of corticosteroids may suppress the host response and thus increase the hazard of secondary ocular infections. In acute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purulent conditions, steroids may mask infection or enhance existing infection. If signs and symptoms fail to improve after 2 days, the patient should be reevaluated.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Viral Infections: </w:t>
      </w:r>
      <w:r>
        <w:rPr>
          <w:rFonts w:ascii="Times New Roman" w:cs="Times New Roman" w:eastAsia="Times New Roman" w:hAnsi="Times New Roman"/>
          <w:sz w:val="18"/>
          <w:szCs w:val="18"/>
          <w:color w:val="auto"/>
        </w:rPr>
        <w:t>Employment of a corticosteroid medication in the treatment of patients with a history of herpes simplex requires great caution.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ocular steroids may prolong the course and may exacerbate the severity of many viral infections of the eye (including herpes simplex).</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Fungal Infections: </w:t>
      </w:r>
      <w:r>
        <w:rPr>
          <w:rFonts w:ascii="Times New Roman" w:cs="Times New Roman" w:eastAsia="Times New Roman" w:hAnsi="Times New Roman"/>
          <w:sz w:val="18"/>
          <w:szCs w:val="18"/>
          <w:color w:val="auto"/>
        </w:rPr>
        <w:t>Fungal infections of the cornea are particularly prone to develop coincidentally with long-term local steroid application. Fungus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invasion must be considered in any persistent corneal ulceration where a steroid has been used or is in use. Fungal culture should be taken when appropriate.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ind w:right="640"/>
        <w:spacing w:after="0" w:line="261" w:lineRule="auto"/>
        <w:rPr>
          <w:sz w:val="20"/>
          <w:szCs w:val="20"/>
          <w:color w:val="auto"/>
        </w:rPr>
      </w:pPr>
      <w:r>
        <w:rPr>
          <w:rFonts w:ascii="Times New Roman" w:cs="Times New Roman" w:eastAsia="Times New Roman" w:hAnsi="Times New Roman"/>
          <w:sz w:val="18"/>
          <w:szCs w:val="18"/>
          <w:color w:val="auto"/>
        </w:rPr>
        <w:t>HROW Acquires U.S. Commercial Rights to BYQLOVI™ (Clobetasol Propionate Ophthalmic Suspension) 0.05% from Formosa Pharmaceuticals Page 3</w:t>
      </w:r>
    </w:p>
    <w:p>
      <w:pPr>
        <w:spacing w:after="0"/>
        <w:rPr>
          <w:sz w:val="20"/>
          <w:szCs w:val="20"/>
          <w:color w:val="auto"/>
        </w:rPr>
      </w:pPr>
      <w:r>
        <w:rPr>
          <w:rFonts w:ascii="Times New Roman" w:cs="Times New Roman" w:eastAsia="Times New Roman" w:hAnsi="Times New Roman"/>
          <w:sz w:val="18"/>
          <w:szCs w:val="18"/>
          <w:color w:val="auto"/>
        </w:rPr>
        <w:t>June 9,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Ocular adverse reactions occurring in ≥ 1% of subjects in clinical studies who received BYQLOVI included eye inflammation (2%), corneal edema (2%), anterior chamber inflammation (2%), cystoid macular edema (2%), intraocular pressure elevation (1%), photophobia (1%) and vitreous detachment (1%). Many of these reactions may have been the consequence of the surgical procedure.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IN SPECIAL POPULATIONS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Pregnancy. </w:t>
      </w:r>
      <w:r>
        <w:rPr>
          <w:rFonts w:ascii="Times New Roman" w:cs="Times New Roman" w:eastAsia="Times New Roman" w:hAnsi="Times New Roman"/>
          <w:sz w:val="18"/>
          <w:szCs w:val="18"/>
          <w:color w:val="auto"/>
        </w:rPr>
        <w:t>There are no adequate and well-controlled studies of BYQLOVI administration in pregnant women to inform a drug-associated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BYQLOVI™, please see the </w:t>
      </w:r>
      <w:r>
        <w:rPr>
          <w:rFonts w:ascii="Times New Roman" w:cs="Times New Roman" w:eastAsia="Times New Roman" w:hAnsi="Times New Roman"/>
          <w:sz w:val="18"/>
          <w:szCs w:val="18"/>
          <w:u w:val="single" w:color="auto"/>
          <w:color w:val="auto"/>
        </w:rPr>
        <w:t>Full Prescribing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Formosa Pharmaceuticals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Formosa Pharmaceuticals, Inc. (6838.TW) is a clinical stage biotechnology company with primary focus in the areas of ophthalmology and oncology. The company’s proprietary nanoparticle formulation technology (APNT®), through which BYQLOVI was developed, improves the dissolution and bioavailability of APIs for topical, oral, and inhaler administration. Resulting formulations have high uniformity, purity, and stability, thereby allowing the utilization of poorly soluble or extremely potent drug agents which otherwise may face insurmountable challenges in safety, delivery, and penetration to target tissues. For more details about Formosa Pharma and APNT®, visit </w:t>
      </w:r>
      <w:r>
        <w:rPr>
          <w:rFonts w:ascii="Times New Roman" w:cs="Times New Roman" w:eastAsia="Times New Roman" w:hAnsi="Times New Roman"/>
          <w:sz w:val="18"/>
          <w:szCs w:val="18"/>
          <w:u w:val="single" w:color="auto"/>
          <w:color w:val="auto"/>
        </w:rPr>
        <w:t>www.formosapharma.com.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Harrow, Inc. (Nasdaq: HROW) is a leading eyecare pharmaceutical company engaged in the discovery, development, and commercialization of innovative ophthalmic pharmaceutical products for the North American market. Harrow helps eyecare professionals preserve the gift of sight by making its portfolio of pharmaceutical products accessible and affordable to millions of patients each year. For more information about Harrow, please visit </w:t>
      </w:r>
      <w:r>
        <w:rPr>
          <w:rFonts w:ascii="Times New Roman" w:cs="Times New Roman" w:eastAsia="Times New Roman" w:hAnsi="Times New Roman"/>
          <w:sz w:val="18"/>
          <w:szCs w:val="18"/>
          <w:u w:val="single" w:color="auto"/>
          <w:color w:val="auto"/>
        </w:rPr>
        <w:t>harrow.com.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ind w:right="640"/>
        <w:spacing w:after="0" w:line="261" w:lineRule="auto"/>
        <w:rPr>
          <w:sz w:val="20"/>
          <w:szCs w:val="20"/>
          <w:color w:val="auto"/>
        </w:rPr>
      </w:pPr>
      <w:r>
        <w:rPr>
          <w:rFonts w:ascii="Times New Roman" w:cs="Times New Roman" w:eastAsia="Times New Roman" w:hAnsi="Times New Roman"/>
          <w:sz w:val="18"/>
          <w:szCs w:val="18"/>
          <w:color w:val="auto"/>
        </w:rPr>
        <w:t>HROW Acquires U.S. Commercial Rights to BYQLOVI™ (Clobetasol Propionate Ophthalmic Suspension) 0.05% from Formosa Pharmaceuticals Page 4</w:t>
      </w:r>
    </w:p>
    <w:p>
      <w:pPr>
        <w:spacing w:after="0"/>
        <w:rPr>
          <w:sz w:val="20"/>
          <w:szCs w:val="20"/>
          <w:color w:val="auto"/>
        </w:rPr>
      </w:pPr>
      <w:r>
        <w:rPr>
          <w:rFonts w:ascii="Times New Roman" w:cs="Times New Roman" w:eastAsia="Times New Roman" w:hAnsi="Times New Roman"/>
          <w:sz w:val="18"/>
          <w:szCs w:val="18"/>
          <w:color w:val="auto"/>
        </w:rPr>
        <w:t>June 9,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including litigation matters, and other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2023, subsequent Quarterly Reports on Form 10-Q, and other filings with the SEC. Such documents may be read free of charge on the SEC’s web 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0"/>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Harrow, Inc.:</w:t>
            </w:r>
          </w:p>
        </w:tc>
        <w:tc>
          <w:tcPr>
            <w:tcW w:w="106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Formosa Pharmaceuticals:</w:t>
            </w: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Jamie Webb</w:t>
            </w:r>
          </w:p>
        </w:tc>
        <w:tc>
          <w:tcPr>
            <w:tcW w:w="106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Wei, MPH, CLP, RAC</w:t>
            </w: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of Communications and Investor Relations</w:t>
            </w:r>
          </w:p>
        </w:tc>
        <w:tc>
          <w:tcPr>
            <w:tcW w:w="106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Strategy &amp; Business Officer</w:t>
            </w:r>
          </w:p>
        </w:tc>
      </w:tr>
      <w:tr>
        <w:trPr>
          <w:trHeight w:val="194"/>
        </w:trPr>
        <w:tc>
          <w:tcPr>
            <w:tcW w:w="45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jwebb@harrowinc.com</w:t>
            </w:r>
          </w:p>
        </w:tc>
        <w:tc>
          <w:tcPr>
            <w:tcW w:w="1060" w:type="dxa"/>
            <w:vAlign w:val="bottom"/>
          </w:tcPr>
          <w:p>
            <w:pPr>
              <w:spacing w:after="0"/>
              <w:rPr>
                <w:sz w:val="16"/>
                <w:szCs w:val="16"/>
                <w:color w:val="auto"/>
              </w:rPr>
            </w:pPr>
          </w:p>
        </w:tc>
        <w:tc>
          <w:tcPr>
            <w:tcW w:w="5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waynewei@formosapharma.com</w:t>
            </w:r>
          </w:p>
        </w:tc>
      </w:tr>
      <w:tr>
        <w:trPr>
          <w:trHeight w:val="237"/>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615-733-4737</w:t>
            </w:r>
          </w:p>
        </w:tc>
        <w:tc>
          <w:tcPr>
            <w:tcW w:w="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3240" w:type="dxa"/>
            <w:vAlign w:val="bottom"/>
          </w:tcPr>
          <w:p>
            <w:pPr>
              <w:spacing w:after="0"/>
              <w:rPr>
                <w:sz w:val="20"/>
                <w:szCs w:val="20"/>
                <w:color w:val="auto"/>
              </w:rPr>
            </w:pPr>
          </w:p>
        </w:tc>
      </w:tr>
      <w:tr>
        <w:trPr>
          <w:trHeight w:val="41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Media:</w:t>
            </w:r>
          </w:p>
        </w:tc>
        <w:tc>
          <w:tcPr>
            <w:tcW w:w="1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Silvana Guerci-Lena</w:t>
            </w:r>
          </w:p>
        </w:tc>
        <w:tc>
          <w:tcPr>
            <w:tcW w:w="1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Powers &amp; Company</w:t>
            </w:r>
          </w:p>
        </w:tc>
        <w:tc>
          <w:tcPr>
            <w:tcW w:w="1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194"/>
        </w:trPr>
        <w:tc>
          <w:tcPr>
            <w:tcW w:w="45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silvana@powers-co.com</w:t>
            </w:r>
          </w:p>
        </w:tc>
        <w:tc>
          <w:tcPr>
            <w:tcW w:w="10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37"/>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508-808-8993</w:t>
            </w:r>
          </w:p>
        </w:tc>
        <w:tc>
          <w:tcPr>
            <w:tcW w:w="80" w:type="dxa"/>
            <w:vAlign w:val="bottom"/>
            <w:tcBorders>
              <w:top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rPr>
              <w:t>-END-</w:t>
            </w:r>
          </w:p>
        </w:tc>
      </w:tr>
    </w:tbl>
    <w:p>
      <w:pPr>
        <w:spacing w:after="0" w:line="1" w:lineRule="exact"/>
        <w:rPr>
          <w:sz w:val="20"/>
          <w:szCs w:val="20"/>
          <w:color w:val="auto"/>
        </w:rPr>
      </w:pP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2025-06-09T06:10:51Z</dcterms:created>
  <dcterms:modified xsi:type="dcterms:W3CDTF">2025-06-09T06:10:51Z</dcterms:modified>
</cp:coreProperties>
</file>