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40101__20"/>
      <w:bookmarkEnd w:id="2"/>
      <w:r>
        <w:rPr>
          <w:rFonts w:ascii="Times New Roman;Times;Serif" w:hAnsi="Times New Roman;Times;Serif"/>
          <w:b/>
          <w:i w:val="false"/>
          <w:caps w:val="false"/>
          <w:smallCaps w:val="false"/>
          <w:sz w:val="36"/>
        </w:rPr>
        <w:t xml:space="preserve">10-Q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 w:name="xdx_90F_edei--DocumentQuarterlyReport_c2"/>
      <w:bookmarkEnd w:id="3"/>
      <w:r>
        <w:rPr>
          <w:caps w:val="false"/>
          <w:smallCaps w:val="false"/>
        </w:rPr>
        <w:t xml:space="preserve">☒ </w:t>
      </w:r>
      <w:r>
        <w:rPr>
          <w:rFonts w:ascii="Times New Roman;Times;Serif" w:hAnsi="Times New Roman;Times;Serif"/>
          <w:b/>
          <w:i w:val="false"/>
          <w:caps w:val="false"/>
          <w:smallCaps w:val="false"/>
          <w:sz w:val="20"/>
        </w:rPr>
        <w:t xml:space="preserve">QUARTERLY REPORT 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1_edei--DocumentPeriodEndDate_c202"/>
      <w:bookmarkEnd w:id="4"/>
      <w:r>
        <w:rPr>
          <w:rFonts w:ascii="Times New Roman;Times;Serif" w:hAnsi="Times New Roman;Times;Serif"/>
          <w:b/>
          <w:i w:val="false"/>
          <w:caps w:val="false"/>
          <w:smallCaps w:val="false"/>
          <w:sz w:val="20"/>
        </w:rPr>
        <w:t xml:space="preserve">June 30, </w:t>
      </w:r>
      <w:bookmarkStart w:id="5" w:name="xdx_909_edei--DocumentFiscalYearFocus_c2"/>
      <w:bookmarkEnd w:id="5"/>
      <w:r>
        <w:rPr>
          <w:rFonts w:ascii="Times New Roman;Times;Serif" w:hAnsi="Times New Roman;Times;Serif"/>
          <w:b/>
          <w:i w:val="false"/>
          <w:caps w:val="false"/>
          <w:smallCaps w:val="false"/>
          <w:sz w:val="20"/>
        </w:rPr>
        <w:t>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 w:name="xdx_905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 to 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6_edei--EntityFileNumber_c20240101"/>
      <w:bookmarkEnd w:id="7"/>
      <w:r>
        <w:rPr>
          <w:rFonts w:ascii="Times New Roman;Times;Serif" w:hAnsi="Times New Roman;Times;Serif"/>
          <w:b/>
          <w:i w:val="false"/>
          <w:caps w:val="false"/>
          <w:smallCaps w:val="false"/>
          <w:sz w:val="20"/>
        </w:rPr>
        <w:t>001-35814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7_edei--EntityRegistrantName_c2024"/>
      <w:bookmarkEnd w:id="8"/>
      <w:r>
        <w:rPr>
          <w:rFonts w:ascii="Times New Roman;Times;Serif" w:hAnsi="Times New Roman;Times;Serif"/>
          <w:b/>
          <w:i w:val="false"/>
          <w:caps w:val="false"/>
          <w:smallCaps w:val="false"/>
          <w:sz w:val="36"/>
        </w:rPr>
        <w:t>Harrow,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D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F_edei--EntityTaxIdentificationNum"/>
            <w:bookmarkEnd w:id="10"/>
            <w:r>
              <w:rPr>
                <w:rFonts w:ascii="Times New Roman;Times;Serif" w:hAnsi="Times New Roman;Times;Serif"/>
                <w:b/>
                <w:i w:val="false"/>
                <w:caps w:val="false"/>
                <w:smallCaps w:val="false"/>
                <w:sz w:val="20"/>
              </w:rPr>
              <w:t>45-0567010</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3215"/>
        <w:gridCol w:w="60"/>
        <w:gridCol w:w="875"/>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 xml:space="preserve">102 Woodmont Blvd., </w:t>
            </w:r>
            <w:bookmarkStart w:id="12" w:name="xdx_901_edei--EntityAddressAddressLine2_"/>
            <w:bookmarkEnd w:id="12"/>
            <w:r>
              <w:rPr>
                <w:rFonts w:ascii="Times New Roman;Times;Serif" w:hAnsi="Times New Roman;Times;Serif"/>
                <w:b/>
                <w:i w:val="false"/>
                <w:caps w:val="false"/>
                <w:smallCaps w:val="false"/>
                <w:sz w:val="20"/>
              </w:rPr>
              <w:t>Suite 610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3_edei--EntityAddressCityOrTown_c2"/>
            <w:bookmarkEnd w:id="13"/>
            <w:r>
              <w:rPr>
                <w:rFonts w:ascii="Times New Roman;Times;Serif" w:hAnsi="Times New Roman;Times;Serif"/>
                <w:b/>
                <w:i w:val="false"/>
                <w:caps w:val="false"/>
                <w:smallCaps w:val="false"/>
                <w:sz w:val="20"/>
              </w:rPr>
              <w:t xml:space="preserve">Nashville, </w:t>
            </w:r>
            <w:bookmarkStart w:id="14" w:name="xdx_90C_edei--EntityAddressStateOrProvin"/>
            <w:bookmarkEnd w:id="14"/>
            <w:r>
              <w:rPr>
                <w:rFonts w:ascii="Times New Roman;Times;Serif" w:hAnsi="Times New Roman;Times;Serif"/>
                <w:b/>
                <w:i w:val="false"/>
                <w:caps w:val="false"/>
                <w:smallCaps w:val="false"/>
                <w:sz w:val="20"/>
              </w:rPr>
              <w:t xml:space="preserve">Tennessee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5_edei--EntityAddressPostalZipCode"/>
            <w:bookmarkEnd w:id="15"/>
            <w:r>
              <w:rPr>
                <w:rFonts w:ascii="Times New Roman;Times;Serif" w:hAnsi="Times New Roman;Times;Serif"/>
                <w:b/>
                <w:i w:val="false"/>
                <w:caps w:val="false"/>
                <w:smallCaps w:val="false"/>
                <w:sz w:val="20"/>
              </w:rPr>
              <w:t>37205</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D_edei--CityAreaCode_c20240101__20"/>
      <w:bookmarkEnd w:id="16"/>
      <w:r>
        <w:rPr>
          <w:rFonts w:ascii="Times New Roman;Times;Serif" w:hAnsi="Times New Roman;Times;Serif"/>
          <w:b/>
          <w:i w:val="false"/>
          <w:caps w:val="false"/>
          <w:smallCaps w:val="false"/>
          <w:sz w:val="20"/>
        </w:rPr>
        <w:t xml:space="preserve">(615) </w:t>
      </w:r>
      <w:bookmarkStart w:id="17" w:name="xdx_908_edei--LocalPhoneNumber_c20240101"/>
      <w:bookmarkEnd w:id="17"/>
      <w:r>
        <w:rPr>
          <w:rFonts w:ascii="Times New Roman;Times;Serif" w:hAnsi="Times New Roman;Times;Serif"/>
          <w:b/>
          <w:i w:val="false"/>
          <w:caps w:val="false"/>
          <w:smallCaps w:val="false"/>
          <w:sz w:val="20"/>
        </w:rPr>
        <w:t>733-4730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3515"/>
        <w:gridCol w:w="60"/>
        <w:gridCol w:w="1535"/>
        <w:gridCol w:w="60"/>
        <w:gridCol w:w="3215"/>
      </w:tblGrid>
      <w:tr>
        <w:trPr/>
        <w:tc>
          <w:tcPr>
            <w:tcW w:w="35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B_edei--Security12bTitle_c20240101"/>
            <w:bookmarkEnd w:id="18"/>
            <w:r>
              <w:rPr>
                <w:rFonts w:ascii="Times New Roman;Times;Serif" w:hAnsi="Times New Roman;Times;Serif"/>
                <w:b w:val="false"/>
                <w:i w:val="false"/>
                <w:caps w:val="false"/>
                <w:smallCaps w:val="false"/>
                <w:sz w:val="20"/>
              </w:rPr>
              <w:t>Common Stock, $0.001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TradingSymbol_c20240101__2"/>
            <w:bookmarkEnd w:id="19"/>
            <w:r>
              <w:rPr>
                <w:rFonts w:ascii="Times New Roman;Times;Serif" w:hAnsi="Times New Roman;Times;Serif"/>
                <w:b w:val="false"/>
                <w:i w:val="false"/>
                <w:caps w:val="false"/>
                <w:smallCaps w:val="false"/>
                <w:sz w:val="20"/>
              </w:rPr>
              <w:t>HROW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ExchangeName_c2024"/>
            <w:bookmarkEnd w:id="20"/>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12bTitle_c20240101"/>
            <w:bookmarkEnd w:id="21"/>
            <w:r>
              <w:rPr>
                <w:rFonts w:ascii="Times New Roman;Times;Serif" w:hAnsi="Times New Roman;Times;Serif"/>
                <w:b w:val="false"/>
                <w:i w:val="false"/>
                <w:caps w:val="false"/>
                <w:smallCaps w:val="false"/>
                <w:sz w:val="20"/>
              </w:rPr>
              <w:t>8.625% Senior Notes due 2026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TradingSymbol_c20240101__2"/>
            <w:bookmarkEnd w:id="22"/>
            <w:r>
              <w:rPr>
                <w:rFonts w:ascii="Times New Roman;Times;Serif" w:hAnsi="Times New Roman;Times;Serif"/>
                <w:b w:val="false"/>
                <w:i w:val="false"/>
                <w:caps w:val="false"/>
                <w:smallCaps w:val="false"/>
                <w:sz w:val="20"/>
              </w:rPr>
              <w:t>HROWL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9_edei--SecurityExchangeName_c2024"/>
            <w:bookmarkEnd w:id="23"/>
            <w:r>
              <w:rPr>
                <w:rFonts w:ascii="Times New Roman;Times;Serif" w:hAnsi="Times New Roman;Times;Serif"/>
                <w:b w:val="false"/>
                <w:i w:val="false"/>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2_edei--Security12bTitle_c20240101"/>
            <w:bookmarkEnd w:id="24"/>
            <w:r>
              <w:rPr>
                <w:rFonts w:ascii="Times New Roman;Times;Serif" w:hAnsi="Times New Roman;Times;Serif"/>
                <w:b w:val="false"/>
                <w:i w:val="false"/>
                <w:caps w:val="false"/>
                <w:smallCaps w:val="false"/>
                <w:sz w:val="20"/>
              </w:rPr>
              <w:t>11.875% Senior Notes due 2027</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8_edei--TradingSymbol_c20240101__2"/>
            <w:bookmarkEnd w:id="25"/>
            <w:r>
              <w:rPr>
                <w:rFonts w:ascii="Times New Roman;Times;Serif" w:hAnsi="Times New Roman;Times;Serif"/>
                <w:b w:val="false"/>
                <w:i w:val="false"/>
                <w:caps w:val="false"/>
                <w:smallCaps w:val="false"/>
                <w:sz w:val="20"/>
              </w:rPr>
              <w:t>HROWM</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F_edei--SecurityExchangeName_c2024"/>
            <w:bookmarkEnd w:id="26"/>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5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6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8_edei--EntityFilerCategory_c20240"/>
            <w:bookmarkEnd w:id="29"/>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30" w:name="xdx_904_edei--EntitySmallBusiness_c20240"/>
            <w:bookmarkEnd w:id="30"/>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31" w:name="xdx_90E_edei--EntityEmergingGrowthCompan"/>
            <w:bookmarkEnd w:id="31"/>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a check mark whether the registrant is a shell company (as defined in Rule 12b-2 of the Exchange Act). Yes ☐ No </w:t>
      </w:r>
      <w:bookmarkStart w:id="32" w:name="xdx_904_edei--EntityShellCompany_dbF_c20"/>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7, 2024, there were </w:t>
      </w:r>
      <w:bookmarkStart w:id="33" w:name="xdx_902_edei--EntityCommonStockSharesOut"/>
      <w:bookmarkEnd w:id="33"/>
      <w:r>
        <w:rPr>
          <w:rFonts w:ascii="Times New Roman;Times;Serif" w:hAnsi="Times New Roman;Times;Serif"/>
          <w:b w:val="false"/>
          <w:i w:val="false"/>
          <w:caps w:val="false"/>
          <w:smallCaps w:val="false"/>
          <w:sz w:val="20"/>
        </w:rPr>
        <w:t>35,482,944 shares of the registrant’s common stock, $</w:t>
      </w:r>
      <w:bookmarkStart w:id="34" w:name="xdx_90A_edei--EntityListingParValuePerSh"/>
      <w:bookmarkEnd w:id="34"/>
      <w:r>
        <w:rPr>
          <w:rFonts w:ascii="Times New Roman;Times;Serif" w:hAnsi="Times New Roman;Times;Serif"/>
          <w:b w:val="false"/>
          <w:i w:val="false"/>
          <w:caps w:val="false"/>
          <w:smallCaps w:val="false"/>
          <w:sz w:val="20"/>
        </w:rPr>
        <w:t>0.001 par value,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725"/>
        <w:gridCol w:w="60"/>
        <w:gridCol w:w="7280"/>
        <w:gridCol w:w="60"/>
        <w:gridCol w:w="45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1">
              <w:r>
                <w:rPr>
                  <w:rStyle w:val="InternetLink"/>
                  <w:rFonts w:ascii="Times New Roman;Times;Serif" w:hAnsi="Times New Roman;Times;Serif"/>
                  <w:b w:val="false"/>
                  <w:i w:val="false"/>
                  <w:caps w:val="false"/>
                  <w:smallCaps w:val="false"/>
                  <w:sz w:val="20"/>
                </w:rPr>
                <w:t>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2">
              <w:r>
                <w:rPr>
                  <w:rStyle w:val="InternetLink"/>
                  <w:rFonts w:ascii="Times New Roman;Times;Serif" w:hAnsi="Times New Roman;Times;Serif"/>
                  <w:b w:val="false"/>
                  <w:i w:val="false"/>
                  <w:caps w:val="false"/>
                  <w:smallCaps w:val="false"/>
                  <w:sz w:val="20"/>
                </w:rPr>
                <w:t>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4">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5">
              <w:r>
                <w:rPr>
                  <w:rStyle w:val="InternetLink"/>
                  <w:rFonts w:ascii="Times New Roman;Times;Serif" w:hAnsi="Times New Roman;Times;Serif"/>
                  <w:b w:val="false"/>
                  <w:i w:val="false"/>
                  <w:caps w:val="false"/>
                  <w:smallCaps w:val="false"/>
                  <w:sz w:val="20"/>
                </w:rPr>
                <w:t>Controls and Procedures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6">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7">
              <w:r>
                <w:rPr>
                  <w:rStyle w:val="InternetLink"/>
                  <w:rFonts w:ascii="Times New Roman;Times;Serif" w:hAnsi="Times New Roman;Times;Serif"/>
                  <w:b w:val="false"/>
                  <w:i w:val="false"/>
                  <w:caps w:val="false"/>
                  <w:smallCaps w:val="false"/>
                  <w:sz w:val="20"/>
                </w:rPr>
                <w:t>Legal Proceedings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8">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09">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10">
              <w:r>
                <w:rPr>
                  <w:rStyle w:val="InternetLink"/>
                  <w:rFonts w:ascii="Times New Roman;Times;Serif" w:hAnsi="Times New Roman;Times;Serif"/>
                  <w:b w:val="false"/>
                  <w:i w:val="false"/>
                  <w:caps w:val="false"/>
                  <w:smallCaps w:val="false"/>
                  <w:sz w:val="20"/>
                </w:rPr>
                <w:t>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11">
              <w:r>
                <w:rPr>
                  <w:rStyle w:val="InternetLink"/>
                  <w:rFonts w:ascii="Times New Roman;Times;Serif" w:hAnsi="Times New Roman;Times;Serif"/>
                  <w:b w:val="false"/>
                  <w:i w:val="false"/>
                  <w:caps w:val="false"/>
                  <w:smallCaps w:val="false"/>
                  <w:sz w:val="20"/>
                </w:rPr>
                <w:t>Mine Safety Disclosures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12">
              <w:r>
                <w:rPr>
                  <w:rStyle w:val="InternetLink"/>
                  <w:rFonts w:ascii="Times New Roman;Times;Serif" w:hAnsi="Times New Roman;Times;Serif"/>
                  <w:b w:val="false"/>
                  <w:i w:val="false"/>
                  <w:caps w:val="false"/>
                  <w:smallCaps w:val="false"/>
                  <w:sz w:val="20"/>
                </w:rPr>
                <w:t>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13">
              <w:r>
                <w:rPr>
                  <w:rStyle w:val="InternetLink"/>
                  <w:rFonts w:ascii="Times New Roman;Times;Serif" w:hAnsi="Times New Roman;Times;Serif"/>
                  <w:b w:val="false"/>
                  <w:i w:val="false"/>
                  <w:caps w:val="false"/>
                  <w:smallCaps w:val="false"/>
                  <w:sz w:val="20"/>
                </w:rPr>
                <w:t>Exhibits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CCEEFF" w:val="clear"/>
            <w:vAlign w:val="center"/>
          </w:tcPr>
          <w:p>
            <w:pPr>
              <w:pStyle w:val="TableContents"/>
              <w:bidi w:val="0"/>
              <w:spacing w:before="0" w:after="283"/>
              <w:jc w:val="left"/>
              <w:rPr/>
            </w:pPr>
            <w:hyperlink w:anchor="sj_014">
              <w:r>
                <w:rPr>
                  <w:rStyle w:val="InternetLink"/>
                  <w:rFonts w:ascii="Times New Roman;Times;Serif" w:hAnsi="Times New Roman;Times;Serif"/>
                  <w:b w:val="false"/>
                  <w:i w:val="false"/>
                  <w:caps w:val="false"/>
                  <w:smallCaps w:val="false"/>
                  <w:sz w:val="20"/>
                </w:rPr>
                <w:t>Signatures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bidi w:val="0"/>
        <w:spacing w:before="0" w:after="0"/>
        <w:ind w:left="0" w:right="0" w:hanging="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sj_001"/>
      <w:bookmarkEnd w:id="35"/>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sj_002"/>
      <w:bookmarkEnd w:id="36"/>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7" w:name="xdx_30F_111_z6iG9waxGnLe"/>
      <w:bookmarkStart w:id="38" w:name="xdx_30F_111_z6iG9waxGnLe"/>
      <w:bookmarkEnd w:id="38"/>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 w:name="xdx_499_20240630_zCymQENSPf88"/>
            <w:bookmarkEnd w:id="39"/>
          </w:p>
        </w:tc>
        <w:tc>
          <w:tcPr>
            <w:tcW w:w="14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 w:name="xdx_49D_20231231_zHxYQFld2il5"/>
            <w:bookmarkEnd w:id="40"/>
          </w:p>
        </w:tc>
        <w:tc>
          <w:tcPr>
            <w:tcW w:w="1435"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1" w:name="xdx_40B_eus-gaap--AssetsAbstract_iB_z3kD"/>
            <w:bookmarkEnd w:id="41"/>
          </w:p>
        </w:tc>
      </w:tr>
      <w:tr>
        <w:trPr/>
        <w:tc>
          <w:tcPr>
            <w:tcW w:w="7010"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2" w:name="xdx_40C_eus-gaap--AssetsCurrentAbstract_"/>
            <w:bookmarkEnd w:id="42"/>
          </w:p>
        </w:tc>
      </w:tr>
      <w:tr>
        <w:trPr/>
        <w:tc>
          <w:tcPr>
            <w:tcW w:w="701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3" w:name="xdx_400_eus-gaap--CashAndCashEquivalents"/>
            <w:bookmarkEnd w:id="43"/>
          </w:p>
        </w:tc>
      </w:tr>
      <w:tr>
        <w:trPr/>
        <w:tc>
          <w:tcPr>
            <w:tcW w:w="70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70,968,000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74,085,000</w:t>
            </w:r>
          </w:p>
        </w:tc>
        <w:tc>
          <w:tcPr>
            <w:tcW w:w="110" w:type="dxa"/>
            <w:tcBorders/>
            <w:shd w:fill="CCEEFF" w:val="clear"/>
            <w:vAlign w:val="center"/>
          </w:tcPr>
          <w:p>
            <w:pPr>
              <w:pStyle w:val="TableContents"/>
              <w:bidi w:val="0"/>
              <w:spacing w:before="0" w:after="283"/>
              <w:jc w:val="left"/>
              <w:rPr/>
            </w:pPr>
            <w:r>
              <w:rPr/>
              <w:t> </w:t>
            </w:r>
            <w:bookmarkStart w:id="44" w:name="xdx_406_eus-gaap--ShortTermInvestments_i"/>
            <w:bookmarkEnd w:id="44"/>
          </w:p>
        </w:tc>
      </w:tr>
      <w:tr>
        <w:trPr/>
        <w:tc>
          <w:tcPr>
            <w:tcW w:w="7010" w:type="dxa"/>
            <w:tcBorders/>
            <w:shd w:fill="FFFFFF" w:val="clear"/>
            <w:vAlign w:val="center"/>
          </w:tcPr>
          <w:p>
            <w:pPr>
              <w:pStyle w:val="TableContents"/>
              <w:bidi w:val="0"/>
              <w:spacing w:before="0" w:after="283"/>
              <w:jc w:val="left"/>
              <w:rPr/>
            </w:pPr>
            <w:r>
              <w:rPr/>
              <w:t>Investment in Eton Pharmaceuticals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8,681,000</w:t>
            </w:r>
          </w:p>
        </w:tc>
        <w:tc>
          <w:tcPr>
            <w:tcW w:w="110" w:type="dxa"/>
            <w:tcBorders/>
            <w:shd w:fill="FFFFFF" w:val="clear"/>
            <w:vAlign w:val="center"/>
          </w:tcPr>
          <w:p>
            <w:pPr>
              <w:pStyle w:val="TableContents"/>
              <w:bidi w:val="0"/>
              <w:spacing w:before="0" w:after="283"/>
              <w:jc w:val="left"/>
              <w:rPr/>
            </w:pPr>
            <w:r>
              <w:rPr/>
              <w:t> </w:t>
            </w:r>
            <w:bookmarkStart w:id="45" w:name="xdx_40F_eus-gaap--AccountsReceivableNetC"/>
            <w:bookmarkEnd w:id="45"/>
          </w:p>
        </w:tc>
      </w:tr>
      <w:tr>
        <w:trPr/>
        <w:tc>
          <w:tcPr>
            <w:tcW w:w="701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51,988,000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36,261,000</w:t>
            </w:r>
          </w:p>
        </w:tc>
        <w:tc>
          <w:tcPr>
            <w:tcW w:w="110" w:type="dxa"/>
            <w:tcBorders/>
            <w:shd w:fill="CCEEFF" w:val="clear"/>
            <w:vAlign w:val="center"/>
          </w:tcPr>
          <w:p>
            <w:pPr>
              <w:pStyle w:val="TableContents"/>
              <w:bidi w:val="0"/>
              <w:spacing w:before="0" w:after="283"/>
              <w:jc w:val="left"/>
              <w:rPr/>
            </w:pPr>
            <w:r>
              <w:rPr/>
              <w:t> </w:t>
            </w:r>
            <w:bookmarkStart w:id="46" w:name="xdx_408_eus-gaap--InventoryNet_i02I_maAC"/>
            <w:bookmarkEnd w:id="46"/>
          </w:p>
        </w:tc>
      </w:tr>
      <w:tr>
        <w:trPr/>
        <w:tc>
          <w:tcPr>
            <w:tcW w:w="701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9,425,000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10,867,000</w:t>
            </w:r>
          </w:p>
        </w:tc>
        <w:tc>
          <w:tcPr>
            <w:tcW w:w="110" w:type="dxa"/>
            <w:tcBorders/>
            <w:shd w:fill="FFFFFF" w:val="clear"/>
            <w:vAlign w:val="center"/>
          </w:tcPr>
          <w:p>
            <w:pPr>
              <w:pStyle w:val="TableContents"/>
              <w:bidi w:val="0"/>
              <w:spacing w:before="0" w:after="283"/>
              <w:jc w:val="left"/>
              <w:rPr/>
            </w:pPr>
            <w:r>
              <w:rPr/>
              <w:t> </w:t>
            </w:r>
            <w:bookmarkStart w:id="47" w:name="xdx_400_eus-gaap--PrepaidExpenseAndOther"/>
            <w:bookmarkEnd w:id="47"/>
          </w:p>
        </w:tc>
      </w:tr>
      <w:tr>
        <w:trPr/>
        <w:tc>
          <w:tcPr>
            <w:tcW w:w="701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7,009,000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9,588,000</w:t>
            </w:r>
          </w:p>
        </w:tc>
        <w:tc>
          <w:tcPr>
            <w:tcW w:w="110" w:type="dxa"/>
            <w:tcBorders/>
            <w:shd w:fill="CCEEFF" w:val="clear"/>
            <w:vAlign w:val="center"/>
          </w:tcPr>
          <w:p>
            <w:pPr>
              <w:pStyle w:val="TableContents"/>
              <w:bidi w:val="0"/>
              <w:spacing w:before="0" w:after="283"/>
              <w:jc w:val="left"/>
              <w:rPr/>
            </w:pPr>
            <w:r>
              <w:rPr/>
              <w:t> </w:t>
            </w:r>
            <w:bookmarkStart w:id="48" w:name="xdx_40E_eus-gaap--AssetsCurrent_i02TI_mt"/>
            <w:bookmarkEnd w:id="48"/>
          </w:p>
        </w:tc>
      </w:tr>
      <w:tr>
        <w:trPr/>
        <w:tc>
          <w:tcPr>
            <w:tcW w:w="701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139,390,000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139,482,000</w:t>
            </w:r>
          </w:p>
        </w:tc>
        <w:tc>
          <w:tcPr>
            <w:tcW w:w="110" w:type="dxa"/>
            <w:tcBorders/>
            <w:shd w:fill="FFFFFF" w:val="clear"/>
            <w:vAlign w:val="center"/>
          </w:tcPr>
          <w:p>
            <w:pPr>
              <w:pStyle w:val="TableContents"/>
              <w:bidi w:val="0"/>
              <w:spacing w:before="0" w:after="283"/>
              <w:jc w:val="left"/>
              <w:rPr/>
            </w:pPr>
            <w:r>
              <w:rPr/>
              <w:t> </w:t>
            </w:r>
            <w:bookmarkStart w:id="49" w:name="xdx_403_eus-gaap--PropertyPlantAndEquipm"/>
            <w:bookmarkEnd w:id="49"/>
          </w:p>
        </w:tc>
      </w:tr>
      <w:tr>
        <w:trPr/>
        <w:tc>
          <w:tcPr>
            <w:tcW w:w="701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3,288,000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3,521,000</w:t>
            </w:r>
          </w:p>
        </w:tc>
        <w:tc>
          <w:tcPr>
            <w:tcW w:w="110" w:type="dxa"/>
            <w:tcBorders/>
            <w:shd w:fill="CCEEFF" w:val="clear"/>
            <w:vAlign w:val="center"/>
          </w:tcPr>
          <w:p>
            <w:pPr>
              <w:pStyle w:val="TableContents"/>
              <w:bidi w:val="0"/>
              <w:spacing w:before="0" w:after="283"/>
              <w:jc w:val="left"/>
              <w:rPr/>
            </w:pPr>
            <w:r>
              <w:rPr/>
              <w:t> </w:t>
            </w:r>
            <w:bookmarkStart w:id="50" w:name="xdx_40F_eus-gaap--CapitalizedComputerSof"/>
            <w:bookmarkEnd w:id="50"/>
          </w:p>
        </w:tc>
      </w:tr>
      <w:tr>
        <w:trPr/>
        <w:tc>
          <w:tcPr>
            <w:tcW w:w="7010" w:type="dxa"/>
            <w:tcBorders/>
            <w:shd w:fill="FFFFFF" w:val="clear"/>
            <w:vAlign w:val="center"/>
          </w:tcPr>
          <w:p>
            <w:pPr>
              <w:pStyle w:val="TableContents"/>
              <w:bidi w:val="0"/>
              <w:spacing w:before="0" w:after="283"/>
              <w:jc w:val="left"/>
              <w:rPr/>
            </w:pPr>
            <w:r>
              <w:rPr/>
              <w:t>Capitalized software costs,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1,966,000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2,138,000</w:t>
            </w:r>
          </w:p>
        </w:tc>
        <w:tc>
          <w:tcPr>
            <w:tcW w:w="110" w:type="dxa"/>
            <w:tcBorders/>
            <w:shd w:fill="FFFFFF" w:val="clear"/>
            <w:vAlign w:val="center"/>
          </w:tcPr>
          <w:p>
            <w:pPr>
              <w:pStyle w:val="TableContents"/>
              <w:bidi w:val="0"/>
              <w:spacing w:before="0" w:after="283"/>
              <w:jc w:val="left"/>
              <w:rPr/>
            </w:pPr>
            <w:r>
              <w:rPr/>
              <w:t> </w:t>
            </w:r>
            <w:bookmarkStart w:id="51" w:name="xdx_401_eus-gaap--OperatingLeaseRightOfU"/>
            <w:bookmarkEnd w:id="51"/>
          </w:p>
        </w:tc>
      </w:tr>
      <w:tr>
        <w:trPr/>
        <w:tc>
          <w:tcPr>
            <w:tcW w:w="7010"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6,785,000</w:t>
            </w:r>
          </w:p>
        </w:tc>
        <w:tc>
          <w:tcPr>
            <w:tcW w:w="110" w:type="dxa"/>
            <w:tcBorders/>
            <w:shd w:fill="CCEEFF" w:val="clear"/>
            <w:vAlign w:val="center"/>
          </w:tcPr>
          <w:p>
            <w:pPr>
              <w:pStyle w:val="TableContents"/>
              <w:bidi w:val="0"/>
              <w:spacing w:before="0" w:after="283"/>
              <w:jc w:val="left"/>
              <w:rPr/>
            </w:pPr>
            <w:r>
              <w:rPr/>
              <w:t> </w:t>
            </w:r>
            <w:bookmarkStart w:id="52" w:name="xdx_40D_eus-gaap--IntangibleAssetsNetExc"/>
            <w:bookmarkEnd w:id="52"/>
          </w:p>
        </w:tc>
      </w:tr>
      <w:tr>
        <w:trPr/>
        <w:tc>
          <w:tcPr>
            <w:tcW w:w="701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154,884,000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159,906,000</w:t>
            </w:r>
          </w:p>
        </w:tc>
        <w:tc>
          <w:tcPr>
            <w:tcW w:w="110" w:type="dxa"/>
            <w:tcBorders/>
            <w:shd w:fill="FFFFFF" w:val="clear"/>
            <w:vAlign w:val="center"/>
          </w:tcPr>
          <w:p>
            <w:pPr>
              <w:pStyle w:val="TableContents"/>
              <w:bidi w:val="0"/>
              <w:spacing w:before="0" w:after="283"/>
              <w:jc w:val="left"/>
              <w:rPr/>
            </w:pPr>
            <w:r>
              <w:rPr/>
              <w:t> </w:t>
            </w:r>
            <w:bookmarkStart w:id="53" w:name="xdx_40E_eus-gaap--Goodwill_i01I_maAz3Tg_"/>
            <w:bookmarkEnd w:id="53"/>
          </w:p>
        </w:tc>
      </w:tr>
      <w:tr>
        <w:trPr/>
        <w:tc>
          <w:tcPr>
            <w:tcW w:w="701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332,000</w:t>
            </w:r>
          </w:p>
        </w:tc>
        <w:tc>
          <w:tcPr>
            <w:tcW w:w="110" w:type="dxa"/>
            <w:tcBorders/>
            <w:shd w:fill="CCEEFF" w:val="clear"/>
            <w:vAlign w:val="center"/>
          </w:tcPr>
          <w:p>
            <w:pPr>
              <w:pStyle w:val="TableContents"/>
              <w:bidi w:val="0"/>
              <w:spacing w:before="0" w:after="283"/>
              <w:jc w:val="left"/>
              <w:rPr/>
            </w:pPr>
            <w:r>
              <w:rPr/>
              <w:t> </w:t>
            </w:r>
            <w:bookmarkStart w:id="54" w:name="xdx_404_eus-gaap--Assets_i01TI_mtAz3Tg_z"/>
            <w:bookmarkEnd w:id="54"/>
          </w:p>
        </w:tc>
      </w:tr>
      <w:tr>
        <w:trPr/>
        <w:tc>
          <w:tcPr>
            <w:tcW w:w="701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306,630,000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312,164,000</w:t>
            </w:r>
          </w:p>
        </w:tc>
        <w:tc>
          <w:tcPr>
            <w:tcW w:w="110" w:type="dxa"/>
            <w:tcBorders/>
            <w:shd w:fill="FFFFFF" w:val="clear"/>
            <w:vAlign w:val="center"/>
          </w:tcPr>
          <w:p>
            <w:pPr>
              <w:pStyle w:val="TableContents"/>
              <w:bidi w:val="0"/>
              <w:spacing w:before="0" w:after="283"/>
              <w:jc w:val="left"/>
              <w:rPr/>
            </w:pPr>
            <w:r>
              <w:rPr/>
              <w:t> </w:t>
            </w:r>
            <w:bookmarkStart w:id="55" w:name="xdx_404_eus-gaap--LiabilitiesAndStockhol"/>
            <w:bookmarkEnd w:id="55"/>
          </w:p>
        </w:tc>
      </w:tr>
      <w:tr>
        <w:trPr/>
        <w:tc>
          <w:tcPr>
            <w:tcW w:w="7010" w:type="dxa"/>
            <w:tcBorders/>
            <w:shd w:fill="CCEEFF" w:val="clear"/>
            <w:vAlign w:val="center"/>
          </w:tcPr>
          <w:p>
            <w:pPr>
              <w:pStyle w:val="TableContents"/>
              <w:bidi w:val="0"/>
              <w:spacing w:before="0" w:after="283"/>
              <w:jc w:val="center"/>
              <w:rPr/>
            </w:pPr>
            <w:r>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56" w:name="xdx_40F_eus-gaap--LiabilitiesCurrentAbst"/>
            <w:bookmarkEnd w:id="56"/>
          </w:p>
        </w:tc>
      </w:tr>
      <w:tr>
        <w:trPr/>
        <w:tc>
          <w:tcPr>
            <w:tcW w:w="701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7" w:name="xdx_409_eus-gaap--AccountsPayableAndAccr"/>
            <w:bookmarkEnd w:id="57"/>
          </w:p>
        </w:tc>
      </w:tr>
      <w:tr>
        <w:trPr/>
        <w:tc>
          <w:tcPr>
            <w:tcW w:w="701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22,264,000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24,581,000</w:t>
            </w:r>
          </w:p>
        </w:tc>
        <w:tc>
          <w:tcPr>
            <w:tcW w:w="110" w:type="dxa"/>
            <w:tcBorders/>
            <w:shd w:fill="CCEEFF" w:val="clear"/>
            <w:vAlign w:val="center"/>
          </w:tcPr>
          <w:p>
            <w:pPr>
              <w:pStyle w:val="TableContents"/>
              <w:bidi w:val="0"/>
              <w:spacing w:before="0" w:after="283"/>
              <w:jc w:val="left"/>
              <w:rPr/>
            </w:pPr>
            <w:r>
              <w:rPr/>
              <w:t> </w:t>
            </w:r>
            <w:bookmarkStart w:id="58" w:name="xdx_40F_ecustom--AccruedRebatesAndCopayA"/>
            <w:bookmarkEnd w:id="58"/>
          </w:p>
        </w:tc>
      </w:tr>
      <w:tr>
        <w:trPr/>
        <w:tc>
          <w:tcPr>
            <w:tcW w:w="7010" w:type="dxa"/>
            <w:tcBorders/>
            <w:shd w:fill="FFFFFF" w:val="clear"/>
            <w:vAlign w:val="center"/>
          </w:tcPr>
          <w:p>
            <w:pPr>
              <w:pStyle w:val="TableContents"/>
              <w:bidi w:val="0"/>
              <w:spacing w:before="0" w:after="283"/>
              <w:jc w:val="left"/>
              <w:rPr/>
            </w:pPr>
            <w:r>
              <w:rPr/>
              <w:t>Accrued rebates and copay assistance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24,551,000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18,432,000</w:t>
            </w:r>
          </w:p>
        </w:tc>
        <w:tc>
          <w:tcPr>
            <w:tcW w:w="110" w:type="dxa"/>
            <w:tcBorders/>
            <w:shd w:fill="FFFFFF" w:val="clear"/>
            <w:vAlign w:val="center"/>
          </w:tcPr>
          <w:p>
            <w:pPr>
              <w:pStyle w:val="TableContents"/>
              <w:bidi w:val="0"/>
              <w:spacing w:before="0" w:after="283"/>
              <w:jc w:val="left"/>
              <w:rPr/>
            </w:pPr>
            <w:r>
              <w:rPr/>
              <w:t> </w:t>
            </w:r>
            <w:bookmarkStart w:id="59" w:name="xdx_40E_eus-gaap--EmployeeRelatedLiabili"/>
            <w:bookmarkEnd w:id="59"/>
          </w:p>
        </w:tc>
      </w:tr>
      <w:tr>
        <w:trPr/>
        <w:tc>
          <w:tcPr>
            <w:tcW w:w="7010" w:type="dxa"/>
            <w:tcBorders/>
            <w:shd w:fill="CCEEFF" w:val="clear"/>
            <w:vAlign w:val="center"/>
          </w:tcPr>
          <w:p>
            <w:pPr>
              <w:pStyle w:val="TableContents"/>
              <w:bidi w:val="0"/>
              <w:spacing w:before="0" w:after="283"/>
              <w:jc w:val="left"/>
              <w:rPr/>
            </w:pPr>
            <w:r>
              <w:rPr/>
              <w:t>Accrued payroll and related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5,721,000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5,450,000</w:t>
            </w:r>
          </w:p>
        </w:tc>
        <w:tc>
          <w:tcPr>
            <w:tcW w:w="110" w:type="dxa"/>
            <w:tcBorders/>
            <w:shd w:fill="CCEEFF" w:val="clear"/>
            <w:vAlign w:val="center"/>
          </w:tcPr>
          <w:p>
            <w:pPr>
              <w:pStyle w:val="TableContents"/>
              <w:bidi w:val="0"/>
              <w:spacing w:before="0" w:after="283"/>
              <w:jc w:val="left"/>
              <w:rPr/>
            </w:pPr>
            <w:r>
              <w:rPr/>
              <w:t> </w:t>
            </w:r>
            <w:bookmarkStart w:id="60" w:name="xdx_40D_eus-gaap--ContractWithCustomerLi"/>
            <w:bookmarkEnd w:id="60"/>
          </w:p>
        </w:tc>
      </w:tr>
      <w:tr>
        <w:trPr/>
        <w:tc>
          <w:tcPr>
            <w:tcW w:w="7010" w:type="dxa"/>
            <w:tcBorders/>
            <w:shd w:fill="FFFFFF" w:val="clear"/>
            <w:vAlign w:val="center"/>
          </w:tcPr>
          <w:p>
            <w:pPr>
              <w:pStyle w:val="TableContents"/>
              <w:bidi w:val="0"/>
              <w:spacing w:before="0" w:after="283"/>
              <w:jc w:val="left"/>
              <w:rPr/>
            </w:pPr>
            <w:r>
              <w:rPr/>
              <w:t>Deferred revenue and 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248,000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75,000</w:t>
            </w:r>
          </w:p>
        </w:tc>
        <w:tc>
          <w:tcPr>
            <w:tcW w:w="110" w:type="dxa"/>
            <w:tcBorders/>
            <w:shd w:fill="FFFFFF" w:val="clear"/>
            <w:vAlign w:val="center"/>
          </w:tcPr>
          <w:p>
            <w:pPr>
              <w:pStyle w:val="TableContents"/>
              <w:bidi w:val="0"/>
              <w:spacing w:before="0" w:after="283"/>
              <w:jc w:val="left"/>
              <w:rPr/>
            </w:pPr>
            <w:r>
              <w:rPr/>
              <w:t> </w:t>
            </w:r>
            <w:bookmarkStart w:id="61" w:name="xdx_402_eus-gaap--OperatingLeaseLiabilit"/>
            <w:bookmarkEnd w:id="61"/>
          </w:p>
        </w:tc>
      </w:tr>
      <w:tr>
        <w:trPr/>
        <w:tc>
          <w:tcPr>
            <w:tcW w:w="7010" w:type="dxa"/>
            <w:tcBorders/>
            <w:shd w:fill="CCEEFF" w:val="clear"/>
            <w:vAlign w:val="center"/>
          </w:tcPr>
          <w:p>
            <w:pPr>
              <w:pStyle w:val="TableContents"/>
              <w:bidi w:val="0"/>
              <w:spacing w:before="0" w:after="283"/>
              <w:jc w:val="left"/>
              <w:rPr/>
            </w:pPr>
            <w:r>
              <w:rPr/>
              <w:t>Current portion of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767,000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806,000</w:t>
            </w:r>
          </w:p>
        </w:tc>
        <w:tc>
          <w:tcPr>
            <w:tcW w:w="110" w:type="dxa"/>
            <w:tcBorders/>
            <w:shd w:fill="CCEEFF" w:val="clear"/>
            <w:vAlign w:val="center"/>
          </w:tcPr>
          <w:p>
            <w:pPr>
              <w:pStyle w:val="TableContents"/>
              <w:bidi w:val="0"/>
              <w:spacing w:before="0" w:after="283"/>
              <w:jc w:val="left"/>
              <w:rPr/>
            </w:pPr>
            <w:r>
              <w:rPr/>
              <w:t> </w:t>
            </w:r>
            <w:bookmarkStart w:id="62" w:name="xdx_40D_eus-gaap--LiabilitiesCurrent_i02"/>
            <w:bookmarkEnd w:id="62"/>
          </w:p>
        </w:tc>
      </w:tr>
      <w:tr>
        <w:trPr/>
        <w:tc>
          <w:tcPr>
            <w:tcW w:w="701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53,551,000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49,344,000</w:t>
            </w:r>
          </w:p>
        </w:tc>
        <w:tc>
          <w:tcPr>
            <w:tcW w:w="110" w:type="dxa"/>
            <w:tcBorders/>
            <w:shd w:fill="FFFFFF" w:val="clear"/>
            <w:vAlign w:val="center"/>
          </w:tcPr>
          <w:p>
            <w:pPr>
              <w:pStyle w:val="TableContents"/>
              <w:bidi w:val="0"/>
              <w:spacing w:before="0" w:after="283"/>
              <w:jc w:val="left"/>
              <w:rPr/>
            </w:pPr>
            <w:r>
              <w:rPr/>
              <w:t> </w:t>
            </w:r>
            <w:bookmarkStart w:id="63" w:name="xdx_409_eus-gaap--OperatingLeaseLiabilit"/>
            <w:bookmarkEnd w:id="63"/>
          </w:p>
        </w:tc>
      </w:tr>
      <w:tr>
        <w:trPr/>
        <w:tc>
          <w:tcPr>
            <w:tcW w:w="7010" w:type="dxa"/>
            <w:tcBorders/>
            <w:shd w:fill="CCEEFF" w:val="clear"/>
            <w:vAlign w:val="center"/>
          </w:tcPr>
          <w:p>
            <w:pPr>
              <w:pStyle w:val="TableContents"/>
              <w:bidi w:val="0"/>
              <w:spacing w:before="0" w:after="283"/>
              <w:jc w:val="left"/>
              <w:rPr/>
            </w:pPr>
            <w:r>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6,543,000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6,524,000</w:t>
            </w:r>
          </w:p>
        </w:tc>
        <w:tc>
          <w:tcPr>
            <w:tcW w:w="110" w:type="dxa"/>
            <w:tcBorders/>
            <w:shd w:fill="CCEEFF" w:val="clear"/>
            <w:vAlign w:val="center"/>
          </w:tcPr>
          <w:p>
            <w:pPr>
              <w:pStyle w:val="TableContents"/>
              <w:bidi w:val="0"/>
              <w:spacing w:before="0" w:after="283"/>
              <w:jc w:val="left"/>
              <w:rPr/>
            </w:pPr>
            <w:r>
              <w:rPr/>
              <w:t> </w:t>
            </w:r>
            <w:bookmarkStart w:id="64" w:name="xdx_403_eus-gaap--AccountsPayableAndAccr"/>
            <w:bookmarkEnd w:id="64"/>
          </w:p>
        </w:tc>
      </w:tr>
      <w:tr>
        <w:trPr/>
        <w:tc>
          <w:tcPr>
            <w:tcW w:w="7010" w:type="dxa"/>
            <w:tcBorders/>
            <w:shd w:fill="FFFFFF" w:val="clear"/>
            <w:vAlign w:val="center"/>
          </w:tcPr>
          <w:p>
            <w:pPr>
              <w:pStyle w:val="TableContents"/>
              <w:bidi w:val="0"/>
              <w:spacing w:before="0" w:after="283"/>
              <w:jc w:val="left"/>
              <w:rPr/>
            </w:pPr>
            <w:r>
              <w:rPr/>
              <w:t>Accrued expenses, net of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2,713,000</w:t>
            </w:r>
          </w:p>
        </w:tc>
        <w:tc>
          <w:tcPr>
            <w:tcW w:w="110" w:type="dxa"/>
            <w:tcBorders/>
            <w:shd w:fill="FFFFFF" w:val="clear"/>
            <w:vAlign w:val="center"/>
          </w:tcPr>
          <w:p>
            <w:pPr>
              <w:pStyle w:val="TableContents"/>
              <w:bidi w:val="0"/>
              <w:spacing w:before="0" w:after="283"/>
              <w:jc w:val="left"/>
              <w:rPr/>
            </w:pPr>
            <w:r>
              <w:rPr/>
              <w:t> </w:t>
            </w:r>
            <w:bookmarkStart w:id="65" w:name="xdx_40A_ecustom--DeferredTaxLiability_i0"/>
            <w:bookmarkEnd w:id="65"/>
          </w:p>
        </w:tc>
      </w:tr>
      <w:tr>
        <w:trPr/>
        <w:tc>
          <w:tcPr>
            <w:tcW w:w="701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623,000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6" w:name="xdx_40A_eus-gaap--LongTermNotesPayable_i"/>
            <w:bookmarkEnd w:id="66"/>
          </w:p>
        </w:tc>
      </w:tr>
      <w:tr>
        <w:trPr/>
        <w:tc>
          <w:tcPr>
            <w:tcW w:w="7010" w:type="dxa"/>
            <w:tcBorders/>
            <w:shd w:fill="FFFFFF" w:val="clear"/>
            <w:vAlign w:val="center"/>
          </w:tcPr>
          <w:p>
            <w:pPr>
              <w:pStyle w:val="TableContents"/>
              <w:bidi w:val="0"/>
              <w:spacing w:before="0" w:after="283"/>
              <w:jc w:val="left"/>
              <w:rPr/>
            </w:pPr>
            <w:r>
              <w:rPr/>
              <w:t>Notes payable, net of unamortized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185,023,000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183,172,000</w:t>
            </w:r>
          </w:p>
        </w:tc>
        <w:tc>
          <w:tcPr>
            <w:tcW w:w="110" w:type="dxa"/>
            <w:tcBorders/>
            <w:shd w:fill="FFFFFF" w:val="clear"/>
            <w:vAlign w:val="center"/>
          </w:tcPr>
          <w:p>
            <w:pPr>
              <w:pStyle w:val="TableContents"/>
              <w:bidi w:val="0"/>
              <w:spacing w:before="0" w:after="283"/>
              <w:jc w:val="left"/>
              <w:rPr/>
            </w:pPr>
            <w:r>
              <w:rPr/>
              <w:t> </w:t>
            </w:r>
            <w:bookmarkStart w:id="67" w:name="xdx_400_eus-gaap--Liabilities_i01TI_mtLz"/>
            <w:bookmarkEnd w:id="67"/>
          </w:p>
        </w:tc>
      </w:tr>
      <w:tr>
        <w:trPr/>
        <w:tc>
          <w:tcPr>
            <w:tcW w:w="701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248,453,000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241,753,000</w:t>
            </w:r>
          </w:p>
        </w:tc>
        <w:tc>
          <w:tcPr>
            <w:tcW w:w="110" w:type="dxa"/>
            <w:tcBorders/>
            <w:shd w:fill="CCEEFF" w:val="clear"/>
            <w:vAlign w:val="center"/>
          </w:tcPr>
          <w:p>
            <w:pPr>
              <w:pStyle w:val="TableContents"/>
              <w:bidi w:val="0"/>
              <w:spacing w:before="0" w:after="283"/>
              <w:jc w:val="left"/>
              <w:rPr/>
            </w:pPr>
            <w:r>
              <w:rPr/>
              <w:t> </w:t>
            </w:r>
            <w:bookmarkStart w:id="68" w:name="xdx_402_eus-gaap--CommitmentsAndContinge"/>
            <w:bookmarkEnd w:id="68"/>
          </w:p>
        </w:tc>
      </w:tr>
      <w:tr>
        <w:trPr/>
        <w:tc>
          <w:tcPr>
            <w:tcW w:w="7010" w:type="dxa"/>
            <w:tcBorders/>
            <w:shd w:fill="FFFFFF" w:val="clear"/>
            <w:vAlign w:val="center"/>
          </w:tcPr>
          <w:p>
            <w:pPr>
              <w:pStyle w:val="TableContents"/>
              <w:bidi w:val="0"/>
              <w:spacing w:before="0" w:after="283"/>
              <w:jc w:val="left"/>
              <w:rPr/>
            </w:pPr>
            <w:r>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bookmarkStart w:id="69" w:name="xdx_402_eus-gaap--StockholdersEquityAbst"/>
            <w:bookmarkEnd w:id="69"/>
          </w:p>
        </w:tc>
      </w:tr>
      <w:tr>
        <w:trPr/>
        <w:tc>
          <w:tcPr>
            <w:tcW w:w="701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70" w:name="xdx_404_eus-gaap--CommonStockValue_i02I_"/>
            <w:bookmarkEnd w:id="70"/>
          </w:p>
        </w:tc>
      </w:tr>
      <w:tr>
        <w:trPr/>
        <w:tc>
          <w:tcPr>
            <w:tcW w:w="7010" w:type="dxa"/>
            <w:tcBorders/>
            <w:shd w:fill="FFFFFF" w:val="clear"/>
            <w:vAlign w:val="center"/>
          </w:tcPr>
          <w:p>
            <w:pPr>
              <w:pStyle w:val="TableContents"/>
              <w:bidi w:val="0"/>
              <w:spacing w:before="0" w:after="283"/>
              <w:jc w:val="left"/>
              <w:rPr/>
            </w:pPr>
            <w:r>
              <w:rPr/>
              <w:t>Common stock, $</w:t>
            </w:r>
            <w:bookmarkStart w:id="71" w:name="xdx_902_eus-gaap--CommonStockParOrStated"/>
            <w:bookmarkStart w:id="72" w:name="xdx_905_eus-gaap--CommonStockParOrStated"/>
            <w:bookmarkEnd w:id="71"/>
            <w:bookmarkEnd w:id="72"/>
            <w:r>
              <w:rPr/>
              <w:t xml:space="preserve">0.001 par value, </w:t>
            </w:r>
            <w:bookmarkStart w:id="73" w:name="xdx_908_eus-gaap--CommonStockSharesAutho"/>
            <w:bookmarkStart w:id="74" w:name="xdx_902_eus-gaap--CommonStockSharesAutho"/>
            <w:bookmarkEnd w:id="73"/>
            <w:bookmarkEnd w:id="74"/>
            <w:r>
              <w:rPr/>
              <w:t xml:space="preserve">50,000,000 shares authorized, </w:t>
            </w:r>
            <w:bookmarkStart w:id="75" w:name="xdx_90C_eus-gaap--CommonStockSharesOutst"/>
            <w:bookmarkStart w:id="76" w:name="xdx_90B_eus-gaap--CommonStockSharesIssue"/>
            <w:bookmarkEnd w:id="75"/>
            <w:bookmarkEnd w:id="76"/>
            <w:r>
              <w:rPr/>
              <w:t xml:space="preserve">35,479,492 and </w:t>
            </w:r>
            <w:bookmarkStart w:id="77" w:name="xdx_90F_eus-gaap--CommonStockSharesOutst"/>
            <w:bookmarkStart w:id="78" w:name="xdx_907_eus-gaap--CommonStockSharesIssue"/>
            <w:bookmarkEnd w:id="77"/>
            <w:bookmarkEnd w:id="78"/>
            <w:r>
              <w:rPr/>
              <w:t>35,168,260 shares issued and outstanding at June 30, 2024 and December 31, 2023,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35,000</w:t>
            </w:r>
          </w:p>
        </w:tc>
        <w:tc>
          <w:tcPr>
            <w:tcW w:w="110" w:type="dxa"/>
            <w:tcBorders/>
            <w:shd w:fill="FFFFFF" w:val="clear"/>
            <w:vAlign w:val="center"/>
          </w:tcPr>
          <w:p>
            <w:pPr>
              <w:pStyle w:val="TableContents"/>
              <w:bidi w:val="0"/>
              <w:spacing w:before="0" w:after="283"/>
              <w:jc w:val="left"/>
              <w:rPr/>
            </w:pPr>
            <w:r>
              <w:rPr/>
              <w:t> </w:t>
            </w:r>
            <w:bookmarkStart w:id="79" w:name="xdx_409_eus-gaap--AdditionalPaidInCapita"/>
            <w:bookmarkEnd w:id="79"/>
          </w:p>
        </w:tc>
      </w:tr>
      <w:tr>
        <w:trPr/>
        <w:tc>
          <w:tcPr>
            <w:tcW w:w="7010"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212,439,000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204,635,000</w:t>
            </w:r>
          </w:p>
        </w:tc>
        <w:tc>
          <w:tcPr>
            <w:tcW w:w="110" w:type="dxa"/>
            <w:tcBorders/>
            <w:shd w:fill="CCEEFF" w:val="clear"/>
            <w:vAlign w:val="center"/>
          </w:tcPr>
          <w:p>
            <w:pPr>
              <w:pStyle w:val="TableContents"/>
              <w:bidi w:val="0"/>
              <w:spacing w:before="0" w:after="283"/>
              <w:jc w:val="left"/>
              <w:rPr/>
            </w:pPr>
            <w:r>
              <w:rPr/>
              <w:t> </w:t>
            </w:r>
            <w:bookmarkStart w:id="80" w:name="xdx_40C_eus-gaap--RetainedEarningsAccumu"/>
            <w:bookmarkEnd w:id="80"/>
          </w:p>
        </w:tc>
      </w:tr>
      <w:tr>
        <w:trPr/>
        <w:tc>
          <w:tcPr>
            <w:tcW w:w="7010"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(153,942,000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(133,904,000</w:t>
            </w:r>
          </w:p>
        </w:tc>
        <w:tc>
          <w:tcPr>
            <w:tcW w:w="110" w:type="dxa"/>
            <w:tcBorders/>
            <w:shd w:fill="FFFFFF" w:val="clear"/>
            <w:vAlign w:val="center"/>
          </w:tcPr>
          <w:p>
            <w:pPr>
              <w:pStyle w:val="TableContents"/>
              <w:bidi w:val="0"/>
              <w:spacing w:before="0" w:after="283"/>
              <w:jc w:val="left"/>
              <w:rPr/>
            </w:pPr>
            <w:r>
              <w:rPr/>
              <w:t>)</w:t>
            </w:r>
            <w:bookmarkStart w:id="81" w:name="xdx_401_eus-gaap--StockholdersEquity_i02"/>
            <w:bookmarkEnd w:id="81"/>
          </w:p>
        </w:tc>
      </w:tr>
      <w:tr>
        <w:trPr/>
        <w:tc>
          <w:tcPr>
            <w:tcW w:w="7010" w:type="dxa"/>
            <w:tcBorders/>
            <w:shd w:fill="CCEEFF" w:val="clear"/>
            <w:vAlign w:val="center"/>
          </w:tcPr>
          <w:p>
            <w:pPr>
              <w:pStyle w:val="TableContents"/>
              <w:bidi w:val="0"/>
              <w:spacing w:before="0" w:after="283"/>
              <w:jc w:val="left"/>
              <w:rPr/>
            </w:pPr>
            <w:r>
              <w:rPr/>
              <w:t>TOTAL HARROW, INC.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58,532,000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70,766,000</w:t>
            </w:r>
          </w:p>
        </w:tc>
        <w:tc>
          <w:tcPr>
            <w:tcW w:w="110" w:type="dxa"/>
            <w:tcBorders/>
            <w:shd w:fill="CCEEFF" w:val="clear"/>
            <w:vAlign w:val="center"/>
          </w:tcPr>
          <w:p>
            <w:pPr>
              <w:pStyle w:val="TableContents"/>
              <w:bidi w:val="0"/>
              <w:spacing w:before="0" w:after="283"/>
              <w:jc w:val="left"/>
              <w:rPr/>
            </w:pPr>
            <w:r>
              <w:rPr/>
              <w:t> </w:t>
            </w:r>
            <w:bookmarkStart w:id="82" w:name="xdx_408_eus-gaap--MinorityInterest_i02I_"/>
            <w:bookmarkEnd w:id="82"/>
          </w:p>
        </w:tc>
      </w:tr>
      <w:tr>
        <w:trPr/>
        <w:tc>
          <w:tcPr>
            <w:tcW w:w="701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(355,000</w:t>
            </w:r>
          </w:p>
        </w:tc>
        <w:tc>
          <w:tcPr>
            <w:tcW w:w="110" w:type="dxa"/>
            <w:tcBorders/>
            <w:shd w:fill="FFFFFF" w:val="clear"/>
            <w:vAlign w:val="center"/>
          </w:tcPr>
          <w:p>
            <w:pPr>
              <w:pStyle w:val="TableContents"/>
              <w:bidi w:val="0"/>
              <w:spacing w:before="0" w:after="283"/>
              <w:jc w:val="left"/>
              <w:rPr/>
            </w:pPr>
            <w:r>
              <w:rPr/>
              <w:t>)</w:t>
            </w:r>
            <w:bookmarkStart w:id="83" w:name="xdx_402_eus-gaap--StockholdersEquityIncl"/>
            <w:bookmarkEnd w:id="83"/>
          </w:p>
        </w:tc>
      </w:tr>
      <w:tr>
        <w:trPr/>
        <w:tc>
          <w:tcPr>
            <w:tcW w:w="7010"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58,177,000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70,411,000</w:t>
            </w:r>
          </w:p>
        </w:tc>
        <w:tc>
          <w:tcPr>
            <w:tcW w:w="110" w:type="dxa"/>
            <w:tcBorders/>
            <w:shd w:fill="CCEEFF" w:val="clear"/>
            <w:vAlign w:val="center"/>
          </w:tcPr>
          <w:p>
            <w:pPr>
              <w:pStyle w:val="TableContents"/>
              <w:bidi w:val="0"/>
              <w:spacing w:before="0" w:after="283"/>
              <w:jc w:val="left"/>
              <w:rPr/>
            </w:pPr>
            <w:r>
              <w:rPr/>
              <w:t> </w:t>
            </w:r>
            <w:bookmarkStart w:id="84" w:name="xdx_408_eus-gaap--LiabilitiesAndStockhol"/>
            <w:bookmarkEnd w:id="84"/>
          </w:p>
        </w:tc>
      </w:tr>
      <w:tr>
        <w:trPr/>
        <w:tc>
          <w:tcPr>
            <w:tcW w:w="7010" w:type="dxa"/>
            <w:tcBorders/>
            <w:shd w:fill="FFFFFF" w:val="clear"/>
            <w:vAlign w:val="center"/>
          </w:tcPr>
          <w:p>
            <w:pPr>
              <w:pStyle w:val="TableContents"/>
              <w:bidi w:val="0"/>
              <w:spacing w:before="0" w:after="283"/>
              <w:jc w:val="left"/>
              <w:rPr/>
            </w:pPr>
            <w:r>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306,630,000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312,164,000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5" w:name="xdx_304_113_ze8lbkevUFb9"/>
      <w:bookmarkStart w:id="86" w:name="xdx_304_113_ze8lbkevUFb9"/>
      <w:bookmarkEnd w:id="86"/>
    </w:p>
    <w:tbl>
      <w:tblPr>
        <w:tblW w:w="10205" w:type="dxa"/>
        <w:jc w:val="left"/>
        <w:tblInd w:w="0" w:type="dxa"/>
        <w:tblLayout w:type="fixed"/>
        <w:tblCellMar>
          <w:top w:w="0" w:type="dxa"/>
          <w:left w:w="0" w:type="dxa"/>
          <w:bottom w:w="0" w:type="dxa"/>
          <w:right w:w="0" w:type="dxa"/>
        </w:tblCellMar>
      </w:tblPr>
      <w:tblGrid>
        <w:gridCol w:w="4213"/>
        <w:gridCol w:w="60"/>
        <w:gridCol w:w="144"/>
        <w:gridCol w:w="1215"/>
        <w:gridCol w:w="98"/>
        <w:gridCol w:w="62"/>
        <w:gridCol w:w="144"/>
        <w:gridCol w:w="1215"/>
        <w:gridCol w:w="95"/>
        <w:gridCol w:w="60"/>
        <w:gridCol w:w="140"/>
        <w:gridCol w:w="1175"/>
        <w:gridCol w:w="95"/>
        <w:gridCol w:w="60"/>
        <w:gridCol w:w="140"/>
        <w:gridCol w:w="1175"/>
        <w:gridCol w:w="114"/>
      </w:tblGrid>
      <w:tr>
        <w:trPr/>
        <w:tc>
          <w:tcPr>
            <w:tcW w:w="4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7" w:name="xdx_491_20240401__20240630_zikfDU8Aa2r6"/>
            <w:bookmarkEnd w:id="87"/>
          </w:p>
        </w:tc>
        <w:tc>
          <w:tcPr>
            <w:tcW w:w="1359"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88" w:name="xdx_49A_20230401__20230630_zY7odIGwnXSe"/>
            <w:bookmarkEnd w:id="88"/>
          </w:p>
        </w:tc>
        <w:tc>
          <w:tcPr>
            <w:tcW w:w="1359"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9A_20240101__20240630_zEcI97gf2w2e"/>
            <w:bookmarkEnd w:id="89"/>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 w:name="xdx_49E_20230101__20230630_zHxBv2ooKFLk"/>
            <w:bookmarkEnd w:id="90"/>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4" w:type="dxa"/>
            <w:tcBorders/>
            <w:vAlign w:val="center"/>
          </w:tcPr>
          <w:p>
            <w:pPr>
              <w:pStyle w:val="TableContents"/>
              <w:bidi w:val="0"/>
              <w:spacing w:before="0" w:after="283"/>
              <w:jc w:val="left"/>
              <w:rPr/>
            </w:pPr>
            <w:r>
              <w:rPr/>
              <w:t> </w:t>
            </w:r>
          </w:p>
        </w:tc>
      </w:tr>
      <w:tr>
        <w:trPr/>
        <w:tc>
          <w:tcPr>
            <w:tcW w:w="4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8" w:type="dxa"/>
            <w:gridSpan w:val="6"/>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b/>
              </w:rPr>
            </w:pPr>
            <w:r>
              <w:rPr>
                <w:b/>
              </w:rPr>
              <w:t>For the Six Months Ended</w:t>
            </w:r>
          </w:p>
        </w:tc>
        <w:tc>
          <w:tcPr>
            <w:tcW w:w="114" w:type="dxa"/>
            <w:tcBorders/>
            <w:vAlign w:val="center"/>
          </w:tcPr>
          <w:p>
            <w:pPr>
              <w:pStyle w:val="TableContents"/>
              <w:bidi w:val="0"/>
              <w:spacing w:before="0" w:after="283"/>
              <w:jc w:val="left"/>
              <w:rPr/>
            </w:pPr>
            <w:r>
              <w:rPr/>
              <w:t> </w:t>
            </w:r>
          </w:p>
        </w:tc>
      </w:tr>
      <w:tr>
        <w:trPr/>
        <w:tc>
          <w:tcPr>
            <w:tcW w:w="4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4" w:type="dxa"/>
            <w:tcBorders/>
            <w:vAlign w:val="center"/>
          </w:tcPr>
          <w:p>
            <w:pPr>
              <w:pStyle w:val="TableContents"/>
              <w:bidi w:val="0"/>
              <w:spacing w:before="0" w:after="283"/>
              <w:jc w:val="left"/>
              <w:rPr/>
            </w:pPr>
            <w:r>
              <w:rPr/>
              <w:t> </w:t>
            </w:r>
          </w:p>
        </w:tc>
      </w:tr>
      <w:tr>
        <w:trPr/>
        <w:tc>
          <w:tcPr>
            <w:tcW w:w="42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left"/>
              <w:rPr/>
            </w:pPr>
            <w:r>
              <w:rPr/>
              <w:t> </w:t>
            </w:r>
            <w:bookmarkStart w:id="91" w:name="xdx_400_eus-gaap--RevenuesAbstract_iB_z8"/>
            <w:bookmarkEnd w:id="91"/>
          </w:p>
        </w:tc>
      </w:tr>
      <w:tr>
        <w:trPr/>
        <w:tc>
          <w:tcPr>
            <w:tcW w:w="4213"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2" w:name="xdx_40E_eus-gaap--RevenueFromContractWit"/>
            <w:bookmarkEnd w:id="92"/>
          </w:p>
        </w:tc>
      </w:tr>
      <w:tr>
        <w:trPr/>
        <w:tc>
          <w:tcPr>
            <w:tcW w:w="4213" w:type="dxa"/>
            <w:tcBorders/>
            <w:shd w:fill="FFFFFF" w:val="clear"/>
            <w:vAlign w:val="center"/>
          </w:tcPr>
          <w:p>
            <w:pPr>
              <w:pStyle w:val="TableContents"/>
              <w:bidi w:val="0"/>
              <w:spacing w:before="0" w:after="283"/>
              <w:jc w:val="left"/>
              <w:rPr/>
            </w:pPr>
            <w:r>
              <w:rPr/>
              <w:t>Product sales,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5" w:type="dxa"/>
            <w:tcBorders/>
            <w:shd w:fill="FFFFFF" w:val="clear"/>
            <w:vAlign w:val="center"/>
          </w:tcPr>
          <w:p>
            <w:pPr>
              <w:pStyle w:val="TableContents"/>
              <w:bidi w:val="0"/>
              <w:spacing w:before="0" w:after="283"/>
              <w:jc w:val="right"/>
              <w:rPr/>
            </w:pPr>
            <w:r>
              <w:rPr/>
              <w:t>48,871,000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5" w:type="dxa"/>
            <w:tcBorders/>
            <w:shd w:fill="FFFFFF" w:val="clear"/>
            <w:vAlign w:val="center"/>
          </w:tcPr>
          <w:p>
            <w:pPr>
              <w:pStyle w:val="TableContents"/>
              <w:bidi w:val="0"/>
              <w:spacing w:before="0" w:after="283"/>
              <w:jc w:val="right"/>
              <w:rPr/>
            </w:pPr>
            <w:r>
              <w:rPr/>
              <w:t>29,542,000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83,379,000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49,995,000</w:t>
            </w:r>
          </w:p>
        </w:tc>
        <w:tc>
          <w:tcPr>
            <w:tcW w:w="114" w:type="dxa"/>
            <w:tcBorders/>
            <w:shd w:fill="FFFFFF" w:val="clear"/>
            <w:vAlign w:val="center"/>
          </w:tcPr>
          <w:p>
            <w:pPr>
              <w:pStyle w:val="TableContents"/>
              <w:bidi w:val="0"/>
              <w:spacing w:before="0" w:after="283"/>
              <w:jc w:val="left"/>
              <w:rPr/>
            </w:pPr>
            <w:r>
              <w:rPr/>
              <w:t> </w:t>
            </w:r>
            <w:bookmarkStart w:id="93" w:name="xdx_40C_eus-gaap--RevenueFromContractWit"/>
            <w:bookmarkEnd w:id="93"/>
          </w:p>
        </w:tc>
      </w:tr>
      <w:tr>
        <w:trPr/>
        <w:tc>
          <w:tcPr>
            <w:tcW w:w="4213" w:type="dxa"/>
            <w:tcBorders/>
            <w:shd w:fill="CCEEFF" w:val="clear"/>
            <w:vAlign w:val="center"/>
          </w:tcPr>
          <w:p>
            <w:pPr>
              <w:pStyle w:val="TableContents"/>
              <w:bidi w:val="0"/>
              <w:spacing w:before="0" w:after="283"/>
              <w:jc w:val="left"/>
              <w:rPr/>
            </w:pPr>
            <w:r>
              <w:rPr/>
              <w:t>Other revenues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68,000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3,928,000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9,578,000</w:t>
            </w:r>
          </w:p>
        </w:tc>
        <w:tc>
          <w:tcPr>
            <w:tcW w:w="114" w:type="dxa"/>
            <w:tcBorders/>
            <w:shd w:fill="CCEEFF" w:val="clear"/>
            <w:vAlign w:val="center"/>
          </w:tcPr>
          <w:p>
            <w:pPr>
              <w:pStyle w:val="TableContents"/>
              <w:bidi w:val="0"/>
              <w:spacing w:before="0" w:after="283"/>
              <w:jc w:val="left"/>
              <w:rPr/>
            </w:pPr>
            <w:r>
              <w:rPr/>
              <w:t> </w:t>
            </w:r>
            <w:bookmarkStart w:id="94" w:name="xdx_40F_eus-gaap--RevenueFromContractWit"/>
            <w:bookmarkEnd w:id="94"/>
          </w:p>
        </w:tc>
      </w:tr>
      <w:tr>
        <w:trPr/>
        <w:tc>
          <w:tcPr>
            <w:tcW w:w="4213"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48,939,000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33,470,000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83,526,000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59,573,000</w:t>
            </w:r>
          </w:p>
        </w:tc>
        <w:tc>
          <w:tcPr>
            <w:tcW w:w="114" w:type="dxa"/>
            <w:tcBorders/>
            <w:shd w:fill="FFFFFF" w:val="clear"/>
            <w:vAlign w:val="center"/>
          </w:tcPr>
          <w:p>
            <w:pPr>
              <w:pStyle w:val="TableContents"/>
              <w:bidi w:val="0"/>
              <w:spacing w:before="0" w:after="283"/>
              <w:jc w:val="left"/>
              <w:rPr/>
            </w:pPr>
            <w:r>
              <w:rPr/>
              <w:t> </w:t>
            </w:r>
            <w:bookmarkStart w:id="95" w:name="xdx_40C_eus-gaap--CostOfGoodsAndServices"/>
            <w:bookmarkEnd w:id="95"/>
          </w:p>
        </w:tc>
      </w:tr>
      <w:tr>
        <w:trPr/>
        <w:tc>
          <w:tcPr>
            <w:tcW w:w="4213"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(12,539,000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(23,092,000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(18,271,000</w:t>
            </w:r>
          </w:p>
        </w:tc>
        <w:tc>
          <w:tcPr>
            <w:tcW w:w="114" w:type="dxa"/>
            <w:tcBorders/>
            <w:shd w:fill="CCEEFF" w:val="clear"/>
            <w:vAlign w:val="center"/>
          </w:tcPr>
          <w:p>
            <w:pPr>
              <w:pStyle w:val="TableContents"/>
              <w:bidi w:val="0"/>
              <w:spacing w:before="0" w:after="283"/>
              <w:jc w:val="left"/>
              <w:rPr/>
            </w:pPr>
            <w:r>
              <w:rPr/>
              <w:t>)</w:t>
            </w:r>
            <w:bookmarkStart w:id="96" w:name="xdx_404_eus-gaap--GrossProfit_iT_mtCzS1o"/>
            <w:bookmarkEnd w:id="96"/>
          </w:p>
        </w:tc>
      </w:tr>
      <w:tr>
        <w:trPr/>
        <w:tc>
          <w:tcPr>
            <w:tcW w:w="4213"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36,400,000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23,470,000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60,434,000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41,302,000</w:t>
            </w:r>
          </w:p>
        </w:tc>
        <w:tc>
          <w:tcPr>
            <w:tcW w:w="114" w:type="dxa"/>
            <w:tcBorders/>
            <w:shd w:fill="FFFFFF" w:val="clear"/>
            <w:vAlign w:val="center"/>
          </w:tcPr>
          <w:p>
            <w:pPr>
              <w:pStyle w:val="TableContents"/>
              <w:bidi w:val="0"/>
              <w:spacing w:before="0" w:after="283"/>
              <w:jc w:val="left"/>
              <w:rPr/>
            </w:pPr>
            <w:r>
              <w:rPr/>
              <w:t> </w:t>
            </w:r>
            <w:bookmarkStart w:id="97" w:name="xdx_400_eus-gaap--OperatingExpensesAbstr"/>
            <w:bookmarkEnd w:id="97"/>
          </w:p>
        </w:tc>
      </w:tr>
      <w:tr>
        <w:trPr/>
        <w:tc>
          <w:tcPr>
            <w:tcW w:w="421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98" w:name="xdx_40D_eus-gaap--SellingGeneralAndAdmin"/>
            <w:bookmarkEnd w:id="98"/>
          </w:p>
        </w:tc>
      </w:tr>
      <w:tr>
        <w:trPr/>
        <w:tc>
          <w:tcPr>
            <w:tcW w:w="4213"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31,817,000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19,957,000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60,630,000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35,845,000</w:t>
            </w:r>
          </w:p>
        </w:tc>
        <w:tc>
          <w:tcPr>
            <w:tcW w:w="114" w:type="dxa"/>
            <w:tcBorders/>
            <w:shd w:fill="FFFFFF" w:val="clear"/>
            <w:vAlign w:val="center"/>
          </w:tcPr>
          <w:p>
            <w:pPr>
              <w:pStyle w:val="TableContents"/>
              <w:bidi w:val="0"/>
              <w:spacing w:before="0" w:after="283"/>
              <w:jc w:val="left"/>
              <w:rPr/>
            </w:pPr>
            <w:r>
              <w:rPr/>
              <w:t> </w:t>
            </w:r>
            <w:bookmarkStart w:id="99" w:name="xdx_405_eus-gaap--ResearchAndDevelopment"/>
            <w:bookmarkEnd w:id="99"/>
          </w:p>
        </w:tc>
      </w:tr>
      <w:tr>
        <w:trPr/>
        <w:tc>
          <w:tcPr>
            <w:tcW w:w="4213"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3,053,000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1,161,000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5,202,000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1,895,000</w:t>
            </w:r>
          </w:p>
        </w:tc>
        <w:tc>
          <w:tcPr>
            <w:tcW w:w="114" w:type="dxa"/>
            <w:tcBorders/>
            <w:shd w:fill="CCEEFF" w:val="clear"/>
            <w:vAlign w:val="center"/>
          </w:tcPr>
          <w:p>
            <w:pPr>
              <w:pStyle w:val="TableContents"/>
              <w:bidi w:val="0"/>
              <w:spacing w:before="0" w:after="283"/>
              <w:jc w:val="left"/>
              <w:rPr/>
            </w:pPr>
            <w:r>
              <w:rPr/>
              <w:t> </w:t>
            </w:r>
            <w:bookmarkStart w:id="100" w:name="xdx_40F_eus-gaap--OperatingExpenses_i01T"/>
            <w:bookmarkEnd w:id="100"/>
          </w:p>
        </w:tc>
      </w:tr>
      <w:tr>
        <w:trPr/>
        <w:tc>
          <w:tcPr>
            <w:tcW w:w="421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34,870,000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21,118,000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65,832,000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37,740,000</w:t>
            </w:r>
          </w:p>
        </w:tc>
        <w:tc>
          <w:tcPr>
            <w:tcW w:w="114" w:type="dxa"/>
            <w:tcBorders/>
            <w:shd w:fill="FFFFFF" w:val="clear"/>
            <w:vAlign w:val="center"/>
          </w:tcPr>
          <w:p>
            <w:pPr>
              <w:pStyle w:val="TableContents"/>
              <w:bidi w:val="0"/>
              <w:spacing w:before="0" w:after="283"/>
              <w:jc w:val="left"/>
              <w:rPr/>
            </w:pPr>
            <w:r>
              <w:rPr/>
              <w:t> </w:t>
            </w:r>
            <w:bookmarkStart w:id="101" w:name="xdx_408_eus-gaap--OperatingIncomeLoss_iT"/>
            <w:bookmarkEnd w:id="101"/>
          </w:p>
        </w:tc>
      </w:tr>
      <w:tr>
        <w:trPr/>
        <w:tc>
          <w:tcPr>
            <w:tcW w:w="4213" w:type="dxa"/>
            <w:tcBorders/>
            <w:shd w:fill="CCEEFF" w:val="clear"/>
            <w:vAlign w:val="center"/>
          </w:tcPr>
          <w:p>
            <w:pPr>
              <w:pStyle w:val="TableContents"/>
              <w:bidi w:val="0"/>
              <w:spacing w:before="0" w:after="283"/>
              <w:jc w:val="left"/>
              <w:rPr/>
            </w:pPr>
            <w:r>
              <w:rPr/>
              <w:t>Income (loss) from operations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1,530,000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2,352,000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(5,398,000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3,562,000</w:t>
            </w:r>
          </w:p>
        </w:tc>
        <w:tc>
          <w:tcPr>
            <w:tcW w:w="114" w:type="dxa"/>
            <w:tcBorders/>
            <w:shd w:fill="CCEEFF" w:val="clear"/>
            <w:vAlign w:val="center"/>
          </w:tcPr>
          <w:p>
            <w:pPr>
              <w:pStyle w:val="TableContents"/>
              <w:bidi w:val="0"/>
              <w:spacing w:before="0" w:after="283"/>
              <w:jc w:val="left"/>
              <w:rPr/>
            </w:pPr>
            <w:r>
              <w:rPr/>
              <w:t> </w:t>
            </w:r>
            <w:bookmarkStart w:id="102" w:name="xdx_404_eus-gaap--NonoperatingIncomeExpe"/>
            <w:bookmarkEnd w:id="102"/>
          </w:p>
        </w:tc>
      </w:tr>
      <w:tr>
        <w:trPr/>
        <w:tc>
          <w:tcPr>
            <w:tcW w:w="4213"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03" w:name="xdx_400_eus-gaap--InterestExpenseNonoper"/>
            <w:bookmarkEnd w:id="103"/>
          </w:p>
        </w:tc>
      </w:tr>
      <w:tr>
        <w:trPr/>
        <w:tc>
          <w:tcPr>
            <w:tcW w:w="4213"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(5,471,000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(5,704,000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(10,886,000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(10,451,000</w:t>
            </w:r>
          </w:p>
        </w:tc>
        <w:tc>
          <w:tcPr>
            <w:tcW w:w="114" w:type="dxa"/>
            <w:tcBorders/>
            <w:shd w:fill="CCEEFF" w:val="clear"/>
            <w:vAlign w:val="center"/>
          </w:tcPr>
          <w:p>
            <w:pPr>
              <w:pStyle w:val="TableContents"/>
              <w:bidi w:val="0"/>
              <w:spacing w:before="0" w:after="283"/>
              <w:jc w:val="left"/>
              <w:rPr/>
            </w:pPr>
            <w:r>
              <w:rPr/>
              <w:t>)</w:t>
            </w:r>
            <w:bookmarkStart w:id="104" w:name="xdx_400_eus-gaap--GainLossOnInvestments_"/>
            <w:bookmarkEnd w:id="104"/>
          </w:p>
        </w:tc>
      </w:tr>
      <w:tr>
        <w:trPr/>
        <w:tc>
          <w:tcPr>
            <w:tcW w:w="4213" w:type="dxa"/>
            <w:tcBorders/>
            <w:shd w:fill="FFFFFF" w:val="clear"/>
            <w:vAlign w:val="center"/>
          </w:tcPr>
          <w:p>
            <w:pPr>
              <w:pStyle w:val="TableContents"/>
              <w:bidi w:val="0"/>
              <w:spacing w:before="0" w:after="283"/>
              <w:jc w:val="left"/>
              <w:rPr/>
            </w:pPr>
            <w:r>
              <w:rPr/>
              <w:t>Investment (loss) gain from Eton Pharmaceuticals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(1,923,000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(714,000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(3,171,000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1,328,000</w:t>
            </w:r>
          </w:p>
        </w:tc>
        <w:tc>
          <w:tcPr>
            <w:tcW w:w="114" w:type="dxa"/>
            <w:tcBorders/>
            <w:shd w:fill="FFFFFF" w:val="clear"/>
            <w:vAlign w:val="center"/>
          </w:tcPr>
          <w:p>
            <w:pPr>
              <w:pStyle w:val="TableContents"/>
              <w:bidi w:val="0"/>
              <w:spacing w:before="0" w:after="283"/>
              <w:jc w:val="left"/>
              <w:rPr/>
            </w:pPr>
            <w:r>
              <w:rPr/>
              <w:t> </w:t>
            </w:r>
            <w:bookmarkStart w:id="105" w:name="xdx_40C_eus-gaap--GainsLossesOnExtinguis"/>
            <w:bookmarkEnd w:id="105"/>
          </w:p>
        </w:tc>
      </w:tr>
      <w:tr>
        <w:trPr/>
        <w:tc>
          <w:tcPr>
            <w:tcW w:w="4213"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(5,465,000</w:t>
            </w:r>
          </w:p>
        </w:tc>
        <w:tc>
          <w:tcPr>
            <w:tcW w:w="114" w:type="dxa"/>
            <w:tcBorders/>
            <w:shd w:fill="CCEEFF" w:val="clear"/>
            <w:vAlign w:val="center"/>
          </w:tcPr>
          <w:p>
            <w:pPr>
              <w:pStyle w:val="TableContents"/>
              <w:bidi w:val="0"/>
              <w:spacing w:before="0" w:after="283"/>
              <w:jc w:val="left"/>
              <w:rPr/>
            </w:pPr>
            <w:r>
              <w:rPr/>
              <w:t>)</w:t>
            </w:r>
            <w:bookmarkStart w:id="106" w:name="xdx_40F_eus-gaap--OtherNonoperatingIncom"/>
            <w:bookmarkEnd w:id="106"/>
          </w:p>
        </w:tc>
      </w:tr>
      <w:tr>
        <w:trPr/>
        <w:tc>
          <w:tcPr>
            <w:tcW w:w="4213" w:type="dxa"/>
            <w:tcBorders/>
            <w:shd w:fill="FFFFFF" w:val="clear"/>
            <w:vAlign w:val="center"/>
          </w:tcPr>
          <w:p>
            <w:pPr>
              <w:pStyle w:val="TableContents"/>
              <w:bidi w:val="0"/>
              <w:spacing w:before="0" w:after="283"/>
              <w:jc w:val="left"/>
              <w:rPr/>
            </w:pPr>
            <w:r>
              <w:rPr/>
              <w:t>Other income (expenses), net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46,000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FFFFFF" w:val="clear"/>
            <w:tcMar>
              <w:bottom w:w="28" w:type="dxa"/>
            </w:tcMar>
            <w:vAlign w:val="center"/>
          </w:tcPr>
          <w:p>
            <w:pPr>
              <w:pStyle w:val="TableContents"/>
              <w:bidi w:val="0"/>
              <w:spacing w:before="0" w:after="283"/>
              <w:jc w:val="right"/>
              <w:rPr/>
            </w:pPr>
            <w:r>
              <w:rPr/>
              <w:t>(178,000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(149,000</w:t>
            </w:r>
          </w:p>
        </w:tc>
        <w:tc>
          <w:tcPr>
            <w:tcW w:w="114" w:type="dxa"/>
            <w:tcBorders/>
            <w:shd w:fill="FFFFFF" w:val="clear"/>
            <w:vAlign w:val="center"/>
          </w:tcPr>
          <w:p>
            <w:pPr>
              <w:pStyle w:val="TableContents"/>
              <w:bidi w:val="0"/>
              <w:spacing w:before="0" w:after="283"/>
              <w:jc w:val="left"/>
              <w:rPr/>
            </w:pPr>
            <w:r>
              <w:rPr/>
              <w:t>)</w:t>
            </w:r>
            <w:bookmarkStart w:id="107" w:name="xdx_40E_eus-gaap--NonoperatingIncomeExpe"/>
            <w:bookmarkEnd w:id="107"/>
          </w:p>
        </w:tc>
      </w:tr>
      <w:tr>
        <w:trPr/>
        <w:tc>
          <w:tcPr>
            <w:tcW w:w="4213" w:type="dxa"/>
            <w:tcBorders/>
            <w:shd w:fill="CCEEFF" w:val="clear"/>
            <w:vAlign w:val="center"/>
          </w:tcPr>
          <w:p>
            <w:pPr>
              <w:pStyle w:val="TableContents"/>
              <w:bidi w:val="0"/>
              <w:spacing w:before="0" w:after="283"/>
              <w:jc w:val="left"/>
              <w:rPr/>
            </w:pPr>
            <w:r>
              <w:rPr/>
              <w:t>Total other expense, net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(7,348,000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(6,596,000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(13,985,000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(14,737,000</w:t>
            </w:r>
          </w:p>
        </w:tc>
        <w:tc>
          <w:tcPr>
            <w:tcW w:w="114" w:type="dxa"/>
            <w:tcBorders/>
            <w:shd w:fill="CCEEFF" w:val="clear"/>
            <w:vAlign w:val="center"/>
          </w:tcPr>
          <w:p>
            <w:pPr>
              <w:pStyle w:val="TableContents"/>
              <w:bidi w:val="0"/>
              <w:spacing w:before="0" w:after="283"/>
              <w:jc w:val="left"/>
              <w:rPr/>
            </w:pPr>
            <w:r>
              <w:rPr/>
              <w:t>)</w:t>
            </w:r>
            <w:bookmarkStart w:id="108" w:name="xdx_40A_eus-gaap--IncomeLossFromContinui"/>
            <w:bookmarkEnd w:id="108"/>
          </w:p>
        </w:tc>
      </w:tr>
      <w:tr>
        <w:trPr/>
        <w:tc>
          <w:tcPr>
            <w:tcW w:w="4213"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(5,818,000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5" w:type="dxa"/>
            <w:tcBorders/>
            <w:shd w:fill="FFFFFF" w:val="clear"/>
            <w:vAlign w:val="center"/>
          </w:tcPr>
          <w:p>
            <w:pPr>
              <w:pStyle w:val="TableContents"/>
              <w:bidi w:val="0"/>
              <w:spacing w:before="0" w:after="283"/>
              <w:jc w:val="right"/>
              <w:rPr/>
            </w:pPr>
            <w:r>
              <w:rPr/>
              <w:t>(4,244,000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(19,383,000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(11,175,000</w:t>
            </w:r>
          </w:p>
        </w:tc>
        <w:tc>
          <w:tcPr>
            <w:tcW w:w="114" w:type="dxa"/>
            <w:tcBorders/>
            <w:shd w:fill="FFFFFF" w:val="clear"/>
            <w:vAlign w:val="center"/>
          </w:tcPr>
          <w:p>
            <w:pPr>
              <w:pStyle w:val="TableContents"/>
              <w:bidi w:val="0"/>
              <w:spacing w:before="0" w:after="283"/>
              <w:jc w:val="left"/>
              <w:rPr/>
            </w:pPr>
            <w:r>
              <w:rPr/>
              <w:t>)</w:t>
            </w:r>
            <w:bookmarkStart w:id="109" w:name="xdx_403_eus-gaap--IncomeTaxExpenseBenefi"/>
            <w:bookmarkEnd w:id="109"/>
          </w:p>
        </w:tc>
      </w:tr>
      <w:tr>
        <w:trPr/>
        <w:tc>
          <w:tcPr>
            <w:tcW w:w="4213" w:type="dxa"/>
            <w:tcBorders/>
            <w:shd w:fill="CCEEFF" w:val="clear"/>
            <w:vAlign w:val="center"/>
          </w:tcPr>
          <w:p>
            <w:pPr>
              <w:pStyle w:val="TableContents"/>
              <w:bidi w:val="0"/>
              <w:spacing w:before="0" w:after="283"/>
              <w:jc w:val="left"/>
              <w:rPr/>
            </w:pPr>
            <w:r>
              <w:rPr/>
              <w:t>Income tax (expense) benefit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(655,000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5" w:type="dxa"/>
            <w:tcBorders>
              <w:bottom w:val="single" w:sz="12" w:space="0" w:color="000000"/>
            </w:tcBorders>
            <w:shd w:fill="CCEEFF" w:val="clear"/>
            <w:tcMar>
              <w:bottom w:w="28" w:type="dxa"/>
            </w:tcMar>
            <w:vAlign w:val="center"/>
          </w:tcPr>
          <w:p>
            <w:pPr>
              <w:pStyle w:val="TableContents"/>
              <w:bidi w:val="0"/>
              <w:spacing w:before="0" w:after="283"/>
              <w:jc w:val="right"/>
              <w:rPr/>
            </w:pPr>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303,000</w:t>
            </w:r>
          </w:p>
        </w:tc>
        <w:tc>
          <w:tcPr>
            <w:tcW w:w="114" w:type="dxa"/>
            <w:tcBorders/>
            <w:shd w:fill="CCEEFF" w:val="clear"/>
            <w:vAlign w:val="center"/>
          </w:tcPr>
          <w:p>
            <w:pPr>
              <w:pStyle w:val="TableContents"/>
              <w:bidi w:val="0"/>
              <w:spacing w:before="0" w:after="283"/>
              <w:jc w:val="left"/>
              <w:rPr/>
            </w:pPr>
            <w:r>
              <w:rPr/>
              <w:t> </w:t>
            </w:r>
            <w:bookmarkStart w:id="110" w:name="xdx_404_eus-gaap--NetIncomeLoss_iT_mtCzU"/>
            <w:bookmarkEnd w:id="110"/>
          </w:p>
        </w:tc>
      </w:tr>
      <w:tr>
        <w:trPr/>
        <w:tc>
          <w:tcPr>
            <w:tcW w:w="421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5" w:type="dxa"/>
            <w:tcBorders>
              <w:bottom w:val="double" w:sz="6" w:space="0" w:color="000000"/>
            </w:tcBorders>
            <w:shd w:fill="FFFFFF" w:val="clear"/>
            <w:tcMar>
              <w:bottom w:w="28" w:type="dxa"/>
            </w:tcMar>
            <w:vAlign w:val="center"/>
          </w:tcPr>
          <w:p>
            <w:pPr>
              <w:pStyle w:val="TableContents"/>
              <w:bidi w:val="0"/>
              <w:spacing w:before="0" w:after="283"/>
              <w:jc w:val="right"/>
              <w:rPr/>
            </w:pPr>
            <w:r>
              <w:rPr/>
              <w:t>(6,473,000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5" w:type="dxa"/>
            <w:tcBorders>
              <w:bottom w:val="double" w:sz="6" w:space="0" w:color="000000"/>
            </w:tcBorders>
            <w:shd w:fill="FFFFFF" w:val="clear"/>
            <w:tcMar>
              <w:bottom w:w="28" w:type="dxa"/>
            </w:tcMar>
            <w:vAlign w:val="center"/>
          </w:tcPr>
          <w:p>
            <w:pPr>
              <w:pStyle w:val="TableContents"/>
              <w:bidi w:val="0"/>
              <w:spacing w:before="0" w:after="283"/>
              <w:jc w:val="right"/>
              <w:rPr/>
            </w:pPr>
            <w:r>
              <w:rPr/>
              <w:t>(4,229,000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(20,038,000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(10,872,000</w:t>
            </w:r>
          </w:p>
        </w:tc>
        <w:tc>
          <w:tcPr>
            <w:tcW w:w="114" w:type="dxa"/>
            <w:tcBorders/>
            <w:shd w:fill="FFFFFF" w:val="clear"/>
            <w:vAlign w:val="center"/>
          </w:tcPr>
          <w:p>
            <w:pPr>
              <w:pStyle w:val="TableContents"/>
              <w:bidi w:val="0"/>
              <w:spacing w:before="0" w:after="283"/>
              <w:jc w:val="left"/>
              <w:rPr/>
            </w:pPr>
            <w:r>
              <w:rPr/>
              <w:t>)</w:t>
            </w:r>
          </w:p>
        </w:tc>
      </w:tr>
      <w:tr>
        <w:trPr/>
        <w:tc>
          <w:tcPr>
            <w:tcW w:w="4213" w:type="dxa"/>
            <w:tcBorders/>
            <w:shd w:fill="CCEEFF" w:val="clear"/>
            <w:vAlign w:val="center"/>
          </w:tcPr>
          <w:p>
            <w:pPr>
              <w:pStyle w:val="TableContents"/>
              <w:bidi w:val="0"/>
              <w:spacing w:before="0" w:after="283"/>
              <w:jc w:val="left"/>
              <w:rPr/>
            </w:pPr>
            <w:r>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1" w:name="xdx_909_eus-gaap--EarningsPerShareDilute"/>
            <w:bookmarkStart w:id="112" w:name="xdx_907_eus-gaap--EarningsPerShareBasic_"/>
            <w:bookmarkEnd w:id="111"/>
            <w:bookmarkEnd w:id="112"/>
            <w:r>
              <w:rPr/>
              <w:t>(0.18</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3" w:name="xdx_908_eus-gaap--EarningsPerShareDilute"/>
            <w:bookmarkStart w:id="114" w:name="xdx_905_eus-gaap--EarningsPerShareBasic_"/>
            <w:bookmarkEnd w:id="113"/>
            <w:bookmarkEnd w:id="114"/>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5" w:name="xdx_90B_eus-gaap--EarningsPerShareDilute"/>
            <w:bookmarkStart w:id="116" w:name="xdx_902_eus-gaap--EarningsPerShareBasic_"/>
            <w:bookmarkEnd w:id="115"/>
            <w:bookmarkEnd w:id="116"/>
            <w:r>
              <w:rPr/>
              <w:t>(0.56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 w:name="xdx_90D_eus-gaap--EarningsPerShareDilute"/>
            <w:bookmarkStart w:id="118" w:name="xdx_900_eus-gaap--EarningsPerShareBasic_"/>
            <w:bookmarkEnd w:id="117"/>
            <w:bookmarkEnd w:id="118"/>
            <w:r>
              <w:rPr/>
              <w:t>(0.36</w:t>
            </w:r>
          </w:p>
        </w:tc>
        <w:tc>
          <w:tcPr>
            <w:tcW w:w="114" w:type="dxa"/>
            <w:tcBorders/>
            <w:shd w:fill="CCEEFF" w:val="clear"/>
            <w:vAlign w:val="center"/>
          </w:tcPr>
          <w:p>
            <w:pPr>
              <w:pStyle w:val="TableContents"/>
              <w:bidi w:val="0"/>
              <w:spacing w:before="0" w:after="283"/>
              <w:jc w:val="left"/>
              <w:rPr/>
            </w:pPr>
            <w:r>
              <w:rPr/>
              <w:t>)</w:t>
            </w:r>
          </w:p>
        </w:tc>
      </w:tr>
      <w:tr>
        <w:trPr/>
        <w:tc>
          <w:tcPr>
            <w:tcW w:w="4213" w:type="dxa"/>
            <w:tcBorders/>
            <w:shd w:fill="FFFFFF" w:val="cle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19" w:name="xdx_903_eus-gaap--WeightedAverageNumberO"/>
            <w:bookmarkStart w:id="120" w:name="xdx_90D_eus-gaap--WeightedAverageNumberO"/>
            <w:bookmarkEnd w:id="119"/>
            <w:bookmarkEnd w:id="120"/>
            <w:r>
              <w:rPr/>
              <w:t>35,618,977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1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1" w:name="xdx_90B_eus-gaap--WeightedAverageNumberO"/>
            <w:bookmarkStart w:id="122" w:name="xdx_90D_eus-gaap--WeightedAverageNumberO"/>
            <w:bookmarkEnd w:id="121"/>
            <w:bookmarkEnd w:id="122"/>
            <w:r>
              <w:rPr/>
              <w:t>30,458,677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3" w:name="xdx_90B_eus-gaap--WeightedAverageNumberO"/>
            <w:bookmarkStart w:id="124" w:name="xdx_902_eus-gaap--WeightedAverageNumberO"/>
            <w:bookmarkEnd w:id="123"/>
            <w:bookmarkEnd w:id="124"/>
            <w:r>
              <w:rPr/>
              <w:t>35,544,312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5" w:name="xdx_909_eus-gaap--WeightedAverageNumberO"/>
            <w:bookmarkStart w:id="126" w:name="xdx_900_eus-gaap--WeightedAverageNumberO"/>
            <w:bookmarkEnd w:id="125"/>
            <w:bookmarkEnd w:id="126"/>
            <w:r>
              <w:rPr/>
              <w:t>30,379,354</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HARROW,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periods ended June 30, 2024 and 2023</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7" w:name="xdx_306_114_zJmCq8KZlI59"/>
      <w:bookmarkStart w:id="128" w:name="xdx_306_114_zJmCq8KZlI59"/>
      <w:bookmarkEnd w:id="128"/>
    </w:p>
    <w:tbl>
      <w:tblPr>
        <w:tblW w:w="11750"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60"/>
        <w:gridCol w:w="60"/>
        <w:gridCol w:w="140"/>
        <w:gridCol w:w="1220"/>
        <w:gridCol w:w="95"/>
        <w:gridCol w:w="60"/>
        <w:gridCol w:w="140"/>
        <w:gridCol w:w="1295"/>
        <w:gridCol w:w="95"/>
        <w:gridCol w:w="60"/>
        <w:gridCol w:w="140"/>
        <w:gridCol w:w="1400"/>
        <w:gridCol w:w="95"/>
        <w:gridCol w:w="60"/>
        <w:gridCol w:w="213"/>
        <w:gridCol w:w="1337"/>
        <w:gridCol w:w="95"/>
        <w:gridCol w:w="60"/>
        <w:gridCol w:w="140"/>
        <w:gridCol w:w="134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7_us-gaap--StatementEquityComponen"/>
            <w:bookmarkEnd w:id="129"/>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7_us-gaap--StatementEquityComponen"/>
            <w:bookmarkEnd w:id="130"/>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E_us-gaap--StatementEquityComponen"/>
            <w:bookmarkEnd w:id="131"/>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B9_us-gaap--StatementEquityComponen"/>
            <w:bookmarkEnd w:id="132"/>
          </w:p>
        </w:tc>
        <w:tc>
          <w:tcPr>
            <w:tcW w:w="154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 w:name="xdx_4B2_us-gaap--StatementEquityComponen"/>
            <w:bookmarkEnd w:id="133"/>
          </w:p>
        </w:tc>
        <w:tc>
          <w:tcPr>
            <w:tcW w:w="155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 w:name="xdx_4B9_zV6H9moqFmEc"/>
            <w:bookmarkEnd w:id="134"/>
          </w:p>
        </w:tc>
        <w:tc>
          <w:tcPr>
            <w:tcW w:w="14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b/>
              </w:rPr>
            </w:pPr>
            <w:r>
              <w:rPr>
                <w:b/>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b/>
              </w:rPr>
            </w:pPr>
            <w:r>
              <w:rPr>
                <w:b/>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35" w:name="xdx_43C_c20230101__20230630_eus-gaap--St"/>
            <w:bookmarkEnd w:id="135"/>
          </w:p>
        </w:tc>
      </w:tr>
      <w:tr>
        <w:trPr/>
        <w:tc>
          <w:tcPr>
            <w:tcW w:w="1340" w:type="dxa"/>
            <w:tcBorders/>
            <w:shd w:fill="CCEEFF" w:val="clear"/>
            <w:vAlign w:val="center"/>
          </w:tcPr>
          <w:p>
            <w:pPr>
              <w:pStyle w:val="TableContents"/>
              <w:bidi w:val="0"/>
              <w:spacing w:before="0" w:after="283"/>
              <w:jc w:val="left"/>
              <w:rPr/>
            </w:pPr>
            <w:r>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 w:name="xdx_98E_eus-gaap--SharesOutstanding_iS_c"/>
            <w:bookmarkEnd w:id="136"/>
          </w:p>
        </w:tc>
        <w:tc>
          <w:tcPr>
            <w:tcW w:w="1100" w:type="dxa"/>
            <w:tcBorders/>
            <w:shd w:fill="CCEEFF" w:val="clear"/>
            <w:vAlign w:val="center"/>
          </w:tcPr>
          <w:p>
            <w:pPr>
              <w:pStyle w:val="TableContents"/>
              <w:bidi w:val="0"/>
              <w:spacing w:before="0" w:after="283"/>
              <w:jc w:val="right"/>
              <w:rPr/>
            </w:pPr>
            <w:r>
              <w:rPr/>
              <w:t>29,901,530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137,058,000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(109,493,000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27,595,000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    </w:t>
            </w:r>
            <w:r>
              <w:rPr/>
              <w:t>27,240,000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7" w:name="xdx_403_eus-gaap--StockIssuedDuringPerio"/>
            <w:bookmarkEnd w:id="137"/>
          </w:p>
        </w:tc>
      </w:tr>
      <w:tr>
        <w:trPr/>
        <w:tc>
          <w:tcPr>
            <w:tcW w:w="1340" w:type="dxa"/>
            <w:tcBorders/>
            <w:shd w:fill="FFFFFF" w:val="clear"/>
            <w:vAlign w:val="center"/>
          </w:tcPr>
          <w:p>
            <w:pPr>
              <w:pStyle w:val="TableContents"/>
              <w:bidi w:val="0"/>
              <w:spacing w:before="0" w:after="283"/>
              <w:jc w:val="left"/>
              <w:rPr/>
            </w:pPr>
            <w:r>
              <w:rPr/>
              <w:t>Exercise of consultant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8" w:name="xdx_985_eus-gaap--StockIssuedDuringPerio"/>
            <w:bookmarkEnd w:id="138"/>
          </w:p>
        </w:tc>
        <w:tc>
          <w:tcPr>
            <w:tcW w:w="1100" w:type="dxa"/>
            <w:tcBorders/>
            <w:shd w:fill="FFFFFF" w:val="cle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85,000</w:t>
            </w:r>
          </w:p>
        </w:tc>
        <w:tc>
          <w:tcPr>
            <w:tcW w:w="110" w:type="dxa"/>
            <w:tcBorders/>
            <w:shd w:fill="FFFFFF" w:val="clear"/>
            <w:vAlign w:val="center"/>
          </w:tcPr>
          <w:p>
            <w:pPr>
              <w:pStyle w:val="TableContents"/>
              <w:bidi w:val="0"/>
              <w:spacing w:before="0" w:after="283"/>
              <w:jc w:val="left"/>
              <w:rPr/>
            </w:pPr>
            <w:r>
              <w:rPr/>
              <w:t> </w:t>
            </w:r>
            <w:bookmarkStart w:id="139" w:name="xdx_40C_eus-gaap--StockIssuedDuringPerio"/>
            <w:bookmarkEnd w:id="139"/>
          </w:p>
        </w:tc>
      </w:tr>
      <w:tr>
        <w:trPr/>
        <w:tc>
          <w:tcPr>
            <w:tcW w:w="1340" w:type="dxa"/>
            <w:tcBorders/>
            <w:shd w:fill="CCEEFF" w:val="clear"/>
            <w:vAlign w:val="center"/>
          </w:tcPr>
          <w:p>
            <w:pPr>
              <w:pStyle w:val="TableContents"/>
              <w:bidi w:val="0"/>
              <w:spacing w:before="0" w:after="283"/>
              <w:jc w:val="left"/>
              <w:rPr/>
            </w:pPr>
            <w:r>
              <w:rPr/>
              <w:t>Exercise of employee stock-based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0" w:name="xdx_984_eus-gaap--StockIssuedDuringPerio"/>
            <w:bookmarkEnd w:id="140"/>
          </w:p>
        </w:tc>
        <w:tc>
          <w:tcPr>
            <w:tcW w:w="1100" w:type="dxa"/>
            <w:tcBorders/>
            <w:shd w:fill="CCEEFF" w:val="clear"/>
            <w:vAlign w:val="center"/>
          </w:tcPr>
          <w:p>
            <w:pPr>
              <w:pStyle w:val="TableContents"/>
              <w:bidi w:val="0"/>
              <w:spacing w:before="0" w:after="283"/>
              <w:jc w:val="right"/>
              <w:rPr/>
            </w:pPr>
            <w:r>
              <w:rPr/>
              <w:t>216,816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252,000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252,000</w:t>
            </w:r>
          </w:p>
        </w:tc>
        <w:tc>
          <w:tcPr>
            <w:tcW w:w="110" w:type="dxa"/>
            <w:tcBorders/>
            <w:shd w:fill="CCEEFF" w:val="clear"/>
            <w:vAlign w:val="center"/>
          </w:tcPr>
          <w:p>
            <w:pPr>
              <w:pStyle w:val="TableContents"/>
              <w:bidi w:val="0"/>
              <w:spacing w:before="0" w:after="283"/>
              <w:jc w:val="left"/>
              <w:rPr/>
            </w:pPr>
            <w:r>
              <w:rPr/>
              <w:t> </w:t>
            </w:r>
            <w:bookmarkStart w:id="141" w:name="xdx_404_eus-gaap--StockIssuedDuringPerio"/>
            <w:bookmarkEnd w:id="141"/>
          </w:p>
        </w:tc>
      </w:tr>
      <w:tr>
        <w:trPr/>
        <w:tc>
          <w:tcPr>
            <w:tcW w:w="1340" w:type="dxa"/>
            <w:tcBorders/>
            <w:shd w:fill="FFFFFF" w:val="clear"/>
            <w:vAlign w:val="center"/>
          </w:tcPr>
          <w:p>
            <w:pPr>
              <w:pStyle w:val="TableContents"/>
              <w:bidi w:val="0"/>
              <w:spacing w:before="0" w:after="283"/>
              <w:jc w:val="left"/>
              <w:rPr/>
            </w:pPr>
            <w:r>
              <w:rPr/>
              <w:t>Vesting of RSUs and PSUs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2" w:name="xdx_98A_eus-gaap--StockIssuedDuringPerio"/>
            <w:bookmarkEnd w:id="142"/>
          </w:p>
        </w:tc>
        <w:tc>
          <w:tcPr>
            <w:tcW w:w="1100" w:type="dxa"/>
            <w:tcBorders/>
            <w:shd w:fill="FFFFFF" w:val="clear"/>
            <w:vAlign w:val="center"/>
          </w:tcPr>
          <w:p>
            <w:pPr>
              <w:pStyle w:val="TableContents"/>
              <w:bidi w:val="0"/>
              <w:spacing w:before="0" w:after="283"/>
              <w:jc w:val="right"/>
              <w:rPr/>
            </w:pPr>
            <w:r>
              <w:rPr/>
              <w:t>242,760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3" w:name="xdx_401_eus-gaap--StockIssuedDuringPerio"/>
            <w:bookmarkEnd w:id="143"/>
          </w:p>
        </w:tc>
      </w:tr>
      <w:tr>
        <w:trPr/>
        <w:tc>
          <w:tcPr>
            <w:tcW w:w="1340" w:type="dxa"/>
            <w:tcBorders/>
            <w:shd w:fill="CCEEFF" w:val="clear"/>
            <w:vAlign w:val="center"/>
          </w:tcPr>
          <w:p>
            <w:pPr>
              <w:pStyle w:val="TableContents"/>
              <w:bidi w:val="0"/>
              <w:spacing w:before="0" w:after="283"/>
              <w:jc w:val="left"/>
              <w:rPr/>
            </w:pPr>
            <w:r>
              <w:rPr/>
              <w:t>Shares withheld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1_eus-gaap--StockIssuedDuringPerio"/>
            <w:bookmarkEnd w:id="144"/>
          </w:p>
        </w:tc>
        <w:tc>
          <w:tcPr>
            <w:tcW w:w="1100" w:type="dxa"/>
            <w:tcBorders/>
            <w:shd w:fill="CCEEFF" w:val="clear"/>
            <w:vAlign w:val="center"/>
          </w:tcPr>
          <w:p>
            <w:pPr>
              <w:pStyle w:val="TableContents"/>
              <w:bidi w:val="0"/>
              <w:spacing w:before="0" w:after="283"/>
              <w:jc w:val="right"/>
              <w:rPr/>
            </w:pPr>
            <w:r>
              <w:rPr/>
              <w:t>(94,168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(1,698,000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(1,698,000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(1,698,000</w:t>
            </w:r>
          </w:p>
        </w:tc>
        <w:tc>
          <w:tcPr>
            <w:tcW w:w="110" w:type="dxa"/>
            <w:tcBorders/>
            <w:shd w:fill="CCEEFF" w:val="clear"/>
            <w:vAlign w:val="center"/>
          </w:tcPr>
          <w:p>
            <w:pPr>
              <w:pStyle w:val="TableContents"/>
              <w:bidi w:val="0"/>
              <w:spacing w:before="0" w:after="283"/>
              <w:jc w:val="left"/>
              <w:rPr/>
            </w:pPr>
            <w:r>
              <w:rPr/>
              <w:t>)</w:t>
            </w:r>
            <w:bookmarkStart w:id="145" w:name="xdx_40E_eus-gaap--AdjustmentsToAdditiona"/>
            <w:bookmarkEnd w:id="145"/>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7,045,000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7,045,000</w:t>
            </w:r>
          </w:p>
        </w:tc>
        <w:tc>
          <w:tcPr>
            <w:tcW w:w="110" w:type="dxa"/>
            <w:tcBorders/>
            <w:shd w:fill="FFFFFF" w:val="clear"/>
            <w:vAlign w:val="center"/>
          </w:tcPr>
          <w:p>
            <w:pPr>
              <w:pStyle w:val="TableContents"/>
              <w:bidi w:val="0"/>
              <w:spacing w:before="0" w:after="283"/>
              <w:jc w:val="left"/>
              <w:rPr/>
            </w:pPr>
            <w:r>
              <w:rPr/>
              <w:t> </w:t>
            </w:r>
            <w:bookmarkStart w:id="146" w:name="xdx_40C_eus-gaap--NetIncomeLoss_zMrUOsje"/>
            <w:bookmarkEnd w:id="146"/>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(10,872,000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(10,872,000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(10,872,000</w:t>
            </w:r>
          </w:p>
        </w:tc>
        <w:tc>
          <w:tcPr>
            <w:tcW w:w="110" w:type="dxa"/>
            <w:tcBorders/>
            <w:shd w:fill="CCEEFF" w:val="clear"/>
            <w:vAlign w:val="center"/>
          </w:tcPr>
          <w:p>
            <w:pPr>
              <w:pStyle w:val="TableContents"/>
              <w:bidi w:val="0"/>
              <w:spacing w:before="0" w:after="283"/>
              <w:jc w:val="left"/>
              <w:rPr/>
            </w:pPr>
            <w:r>
              <w:rPr/>
              <w:t>)</w:t>
            </w:r>
            <w:bookmarkStart w:id="147" w:name="xdx_432_c20230101__20230630_eus-gaap--St"/>
            <w:bookmarkEnd w:id="147"/>
          </w:p>
        </w:tc>
      </w:tr>
      <w:tr>
        <w:trPr/>
        <w:tc>
          <w:tcPr>
            <w:tcW w:w="1340" w:type="dxa"/>
            <w:tcBorders/>
            <w:shd w:fill="FFFFFF" w:val="clear"/>
            <w:vAlign w:val="center"/>
          </w:tcPr>
          <w:p>
            <w:pPr>
              <w:pStyle w:val="TableContents"/>
              <w:bidi w:val="0"/>
              <w:spacing w:before="0" w:after="283"/>
              <w:jc w:val="left"/>
              <w:rPr/>
            </w:pPr>
            <w:r>
              <w:rPr/>
              <w:t>Balance at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8" w:name="xdx_985_eus-gaap--SharesOutstanding_iE_c"/>
            <w:bookmarkEnd w:id="14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30,276,938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142,742,000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(120,365,000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pPr>
            <w:r>
              <w:rPr/>
              <w:t>22,407,000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FFFFFF" w:val="clear"/>
            <w:tcMar>
              <w:bottom w:w="28" w:type="dxa"/>
            </w:tcMar>
            <w:vAlign w:val="center"/>
          </w:tcPr>
          <w:p>
            <w:pPr>
              <w:pStyle w:val="TableContents"/>
              <w:bidi w:val="0"/>
              <w:spacing w:before="0" w:after="283"/>
              <w:jc w:val="right"/>
              <w:rPr/>
            </w:pPr>
            <w:r>
              <w:rPr/>
              <w:t>22,052,000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9" w:name="xdx_43C_c20240101__20240630_eus-gaap--St"/>
            <w:bookmarkEnd w:id="149"/>
          </w:p>
        </w:tc>
      </w:tr>
      <w:tr>
        <w:trPr/>
        <w:tc>
          <w:tcPr>
            <w:tcW w:w="1340" w:type="dxa"/>
            <w:tcBorders/>
            <w:shd w:fill="FFFFFF" w:val="clear"/>
            <w:vAlign w:val="center"/>
          </w:tcPr>
          <w:p>
            <w:pPr>
              <w:pStyle w:val="TableContents"/>
              <w:bidi w:val="0"/>
              <w:spacing w:before="0" w:after="283"/>
              <w:jc w:val="left"/>
              <w:rPr/>
            </w:pPr>
            <w:r>
              <w:rPr/>
              <w:t>Balance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0" w:name="xdx_985_eus-gaap--SharesOutstanding_iS_c"/>
            <w:bookmarkEnd w:id="150"/>
          </w:p>
        </w:tc>
        <w:tc>
          <w:tcPr>
            <w:tcW w:w="1100" w:type="dxa"/>
            <w:tcBorders/>
            <w:shd w:fill="FFFFFF" w:val="clear"/>
            <w:vAlign w:val="center"/>
          </w:tcPr>
          <w:p>
            <w:pPr>
              <w:pStyle w:val="TableContents"/>
              <w:bidi w:val="0"/>
              <w:spacing w:before="0" w:after="283"/>
              <w:jc w:val="right"/>
              <w:rPr/>
            </w:pPr>
            <w:r>
              <w:rPr/>
              <w:t>35,168,260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204,635,000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(133,904,000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400" w:type="dxa"/>
            <w:tcBorders/>
            <w:shd w:fill="FFFFFF" w:val="clear"/>
            <w:vAlign w:val="center"/>
          </w:tcPr>
          <w:p>
            <w:pPr>
              <w:pStyle w:val="TableContents"/>
              <w:bidi w:val="0"/>
              <w:spacing w:before="0" w:after="283"/>
              <w:jc w:val="right"/>
              <w:rPr/>
            </w:pPr>
            <w:r>
              <w:rPr/>
              <w:t>70,766,000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337"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right"/>
              <w:rPr/>
            </w:pPr>
            <w:r>
              <w:rPr/>
              <w:t>70,411,000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1" w:name="xdx_40B_eus-gaap--StockIssuedDuringPerio"/>
            <w:bookmarkEnd w:id="151"/>
          </w:p>
        </w:tc>
      </w:tr>
      <w:tr>
        <w:trPr/>
        <w:tc>
          <w:tcPr>
            <w:tcW w:w="1340" w:type="dxa"/>
            <w:tcBorders/>
            <w:shd w:fill="FFFFFF" w:val="clear"/>
            <w:vAlign w:val="center"/>
          </w:tcPr>
          <w:p>
            <w:pPr>
              <w:pStyle w:val="TableContents"/>
              <w:bidi w:val="0"/>
              <w:spacing w:before="0" w:after="283"/>
              <w:jc w:val="left"/>
              <w:rPr/>
            </w:pPr>
            <w:r>
              <w:rPr/>
              <w:t>Exercise of employee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2" w:name="xdx_98E_eus-gaap--StockIssuedDuringPerio"/>
            <w:bookmarkEnd w:id="152"/>
          </w:p>
        </w:tc>
        <w:tc>
          <w:tcPr>
            <w:tcW w:w="1100" w:type="dxa"/>
            <w:tcBorders/>
            <w:shd w:fill="FFFFFF" w:val="clear"/>
            <w:vAlign w:val="center"/>
          </w:tcPr>
          <w:p>
            <w:pPr>
              <w:pStyle w:val="TableContents"/>
              <w:bidi w:val="0"/>
              <w:spacing w:before="0" w:after="283"/>
              <w:jc w:val="right"/>
              <w:rPr/>
            </w:pPr>
            <w:r>
              <w:rPr/>
              <w:t>87,195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521,000</w:t>
            </w:r>
          </w:p>
        </w:tc>
        <w:tc>
          <w:tcPr>
            <w:tcW w:w="110" w:type="dxa"/>
            <w:tcBorders/>
            <w:shd w:fill="FFFFFF" w:val="clear"/>
            <w:vAlign w:val="center"/>
          </w:tcPr>
          <w:p>
            <w:pPr>
              <w:pStyle w:val="TableContents"/>
              <w:bidi w:val="0"/>
              <w:spacing w:before="0" w:after="283"/>
              <w:jc w:val="left"/>
              <w:rPr/>
            </w:pPr>
            <w:r>
              <w:rPr/>
              <w:t> </w:t>
            </w:r>
            <w:bookmarkStart w:id="153" w:name="xdx_400_eus-gaap--StockIssuedDuringPerio"/>
            <w:bookmarkEnd w:id="153"/>
          </w:p>
        </w:tc>
      </w:tr>
      <w:tr>
        <w:trPr/>
        <w:tc>
          <w:tcPr>
            <w:tcW w:w="1340" w:type="dxa"/>
            <w:tcBorders/>
            <w:shd w:fill="CCEEFF" w:val="clear"/>
            <w:vAlign w:val="center"/>
          </w:tcPr>
          <w:p>
            <w:pPr>
              <w:pStyle w:val="TableContents"/>
              <w:bidi w:val="0"/>
              <w:spacing w:before="0" w:after="283"/>
              <w:jc w:val="left"/>
              <w:rPr/>
            </w:pPr>
            <w:r>
              <w:rPr/>
              <w:t>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0_eus-gaap--StockIssuedDuringPerio"/>
            <w:bookmarkEnd w:id="154"/>
          </w:p>
        </w:tc>
        <w:tc>
          <w:tcPr>
            <w:tcW w:w="1100" w:type="dxa"/>
            <w:tcBorders/>
            <w:shd w:fill="CCEEFF" w:val="clear"/>
            <w:vAlign w:val="center"/>
          </w:tcPr>
          <w:p>
            <w:pPr>
              <w:pStyle w:val="TableContents"/>
              <w:bidi w:val="0"/>
              <w:spacing w:before="0" w:after="283"/>
              <w:jc w:val="right"/>
              <w:rPr/>
            </w:pPr>
            <w:r>
              <w:rPr/>
              <w:t>332,517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5" w:name="xdx_40A_eus-gaap--StockIssuedDuringPerio"/>
            <w:bookmarkEnd w:id="155"/>
          </w:p>
        </w:tc>
      </w:tr>
      <w:tr>
        <w:trPr/>
        <w:tc>
          <w:tcPr>
            <w:tcW w:w="1340" w:type="dxa"/>
            <w:tcBorders/>
            <w:shd w:fill="FFFFFF" w:val="clear"/>
            <w:vAlign w:val="center"/>
          </w:tcPr>
          <w:p>
            <w:pPr>
              <w:pStyle w:val="TableContents"/>
              <w:bidi w:val="0"/>
              <w:spacing w:before="0" w:after="283"/>
              <w:jc w:val="left"/>
              <w:rPr/>
            </w:pPr>
            <w:r>
              <w:rPr/>
              <w:t>Shares withheld related to net share settlement of equity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6" w:name="xdx_989_eus-gaap--StockIssuedDuringPerio"/>
            <w:bookmarkEnd w:id="156"/>
          </w:p>
        </w:tc>
        <w:tc>
          <w:tcPr>
            <w:tcW w:w="1100" w:type="dxa"/>
            <w:tcBorders/>
            <w:shd w:fill="FFFFFF" w:val="clear"/>
            <w:vAlign w:val="center"/>
          </w:tcPr>
          <w:p>
            <w:pPr>
              <w:pStyle w:val="TableContents"/>
              <w:bidi w:val="0"/>
              <w:spacing w:before="0" w:after="283"/>
              <w:jc w:val="right"/>
              <w:rPr/>
            </w:pPr>
            <w:r>
              <w:rPr/>
              <w:t>(108,480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(1,157,000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(1,157,000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(1,157,000</w:t>
            </w:r>
          </w:p>
        </w:tc>
        <w:tc>
          <w:tcPr>
            <w:tcW w:w="110" w:type="dxa"/>
            <w:tcBorders/>
            <w:shd w:fill="FFFFFF" w:val="clear"/>
            <w:vAlign w:val="center"/>
          </w:tcPr>
          <w:p>
            <w:pPr>
              <w:pStyle w:val="TableContents"/>
              <w:bidi w:val="0"/>
              <w:spacing w:before="0" w:after="283"/>
              <w:jc w:val="left"/>
              <w:rPr/>
            </w:pPr>
            <w:r>
              <w:rPr/>
              <w:t>)</w:t>
            </w:r>
            <w:bookmarkStart w:id="157" w:name="xdx_409_eus-gaap--AdjustmentsToAdditiona"/>
            <w:bookmarkEnd w:id="157"/>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8,440,000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8,440,000</w:t>
            </w:r>
          </w:p>
        </w:tc>
        <w:tc>
          <w:tcPr>
            <w:tcW w:w="110" w:type="dxa"/>
            <w:tcBorders/>
            <w:shd w:fill="CCEEFF" w:val="clear"/>
            <w:vAlign w:val="center"/>
          </w:tcPr>
          <w:p>
            <w:pPr>
              <w:pStyle w:val="TableContents"/>
              <w:bidi w:val="0"/>
              <w:spacing w:before="0" w:after="283"/>
              <w:jc w:val="left"/>
              <w:rPr/>
            </w:pPr>
            <w:r>
              <w:rPr/>
              <w:t> </w:t>
            </w:r>
            <w:bookmarkStart w:id="158" w:name="xdx_401_eus-gaap--NetIncomeLoss_zyFl3nOd"/>
            <w:bookmarkEnd w:id="158"/>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(20,038,000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(20,038,000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(20,038,000</w:t>
            </w:r>
          </w:p>
        </w:tc>
        <w:tc>
          <w:tcPr>
            <w:tcW w:w="110" w:type="dxa"/>
            <w:tcBorders/>
            <w:shd w:fill="FFFFFF" w:val="clear"/>
            <w:vAlign w:val="center"/>
          </w:tcPr>
          <w:p>
            <w:pPr>
              <w:pStyle w:val="TableContents"/>
              <w:bidi w:val="0"/>
              <w:spacing w:before="0" w:after="283"/>
              <w:jc w:val="left"/>
              <w:rPr/>
            </w:pPr>
            <w:r>
              <w:rPr/>
              <w:t>)</w:t>
            </w:r>
            <w:bookmarkStart w:id="159" w:name="xdx_43E_c20240101__20240630_eus-gaap--St"/>
            <w:bookmarkEnd w:id="159"/>
          </w:p>
        </w:tc>
      </w:tr>
      <w:tr>
        <w:trPr/>
        <w:tc>
          <w:tcPr>
            <w:tcW w:w="1340" w:type="dxa"/>
            <w:tcBorders/>
            <w:shd w:fill="CCEEFF" w:val="clear"/>
            <w:vAlign w:val="center"/>
          </w:tcPr>
          <w:p>
            <w:pPr>
              <w:pStyle w:val="TableContents"/>
              <w:bidi w:val="0"/>
              <w:spacing w:before="0" w:after="283"/>
              <w:jc w:val="left"/>
              <w:rPr/>
            </w:pPr>
            <w:r>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60" w:name="xdx_98F_eus-gaap--SharesOutstanding_iE_c"/>
            <w:bookmarkEnd w:id="160"/>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35,479,492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212,439,000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(153,942,000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58,532,000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6" w:space="0" w:color="000000"/>
            </w:tcBorders>
            <w:shd w:fill="CCEEFF" w:val="clear"/>
            <w:tcMar>
              <w:bottom w:w="28" w:type="dxa"/>
            </w:tcMar>
            <w:vAlign w:val="center"/>
          </w:tcPr>
          <w:p>
            <w:pPr>
              <w:pStyle w:val="TableContents"/>
              <w:bidi w:val="0"/>
              <w:spacing w:before="0" w:after="283"/>
              <w:jc w:val="right"/>
              <w:rPr/>
            </w:pPr>
            <w:r>
              <w:rPr/>
              <w:t>58,177,000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161" w:name="xdx_30F_114_zI53ZnMRTnR6"/>
      <w:bookmarkStart w:id="162" w:name="xdx_30F_114_zI53ZnMRTnR6"/>
      <w:bookmarkEnd w:id="162"/>
    </w:p>
    <w:tbl>
      <w:tblPr>
        <w:tblW w:w="11430" w:type="dxa"/>
        <w:jc w:val="left"/>
        <w:tblInd w:w="0" w:type="dxa"/>
        <w:tblLayout w:type="fixed"/>
        <w:tblCellMar>
          <w:top w:w="0" w:type="dxa"/>
          <w:left w:w="0" w:type="dxa"/>
          <w:bottom w:w="0" w:type="dxa"/>
          <w:right w:w="0" w:type="dxa"/>
        </w:tblCellMar>
      </w:tblPr>
      <w:tblGrid>
        <w:gridCol w:w="1340"/>
        <w:gridCol w:w="60"/>
        <w:gridCol w:w="60"/>
        <w:gridCol w:w="1100"/>
        <w:gridCol w:w="95"/>
        <w:gridCol w:w="60"/>
        <w:gridCol w:w="140"/>
        <w:gridCol w:w="680"/>
        <w:gridCol w:w="60"/>
        <w:gridCol w:w="60"/>
        <w:gridCol w:w="140"/>
        <w:gridCol w:w="1220"/>
        <w:gridCol w:w="95"/>
        <w:gridCol w:w="60"/>
        <w:gridCol w:w="140"/>
        <w:gridCol w:w="1295"/>
        <w:gridCol w:w="95"/>
        <w:gridCol w:w="60"/>
        <w:gridCol w:w="140"/>
        <w:gridCol w:w="1220"/>
        <w:gridCol w:w="95"/>
        <w:gridCol w:w="60"/>
        <w:gridCol w:w="213"/>
        <w:gridCol w:w="1337"/>
        <w:gridCol w:w="95"/>
        <w:gridCol w:w="60"/>
        <w:gridCol w:w="144"/>
        <w:gridCol w:w="1196"/>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B7_us-gaap--StatementEquityComponen"/>
            <w:bookmarkEnd w:id="163"/>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4" w:name="xdx_4B5_us-gaap--StatementEquityComponen"/>
            <w:bookmarkEnd w:id="164"/>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5" w:name="xdx_4BE_us-gaap--StatementEquityComponen"/>
            <w:bookmarkEnd w:id="165"/>
          </w:p>
        </w:tc>
        <w:tc>
          <w:tcPr>
            <w:tcW w:w="143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6" w:name="xdx_4BB_us-gaap--StatementEquityComponen"/>
            <w:bookmarkEnd w:id="166"/>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7" w:name="xdx_4B2_us-gaap--StatementEquityComponen"/>
            <w:bookmarkEnd w:id="167"/>
          </w:p>
        </w:tc>
        <w:tc>
          <w:tcPr>
            <w:tcW w:w="155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9_z2gdftng28w7"/>
            <w:bookmarkEnd w:id="168"/>
          </w:p>
        </w:tc>
        <w:tc>
          <w:tcPr>
            <w:tcW w:w="1340" w:type="dxa"/>
            <w:gridSpan w:val="2"/>
            <w:tcBorders>
              <w:bottom w:val="single" w:sz="12" w:space="0" w:color="000000"/>
            </w:tcBorders>
            <w:tcMar>
              <w:bottom w:w="28" w:type="dxa"/>
            </w:tcMar>
            <w:vAlign w:val="center"/>
          </w:tcPr>
          <w:p>
            <w:pPr>
              <w:pStyle w:val="TableContents"/>
              <w:bidi w:val="0"/>
              <w:spacing w:before="0" w:after="283"/>
              <w:jc w:val="center"/>
              <w:rPr/>
            </w:pPr>
            <w:r>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Harrow, 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b/>
              </w:rPr>
            </w:pPr>
            <w:r>
              <w:rPr>
                <w:b/>
              </w:rPr>
              <w:t>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Stockholders’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vAlign w:val="center"/>
          </w:tcPr>
          <w:p>
            <w:pPr>
              <w:pStyle w:val="TableContents"/>
              <w:bidi w:val="0"/>
              <w:spacing w:before="0" w:after="283"/>
              <w:jc w:val="center"/>
              <w:rPr>
                <w:b/>
              </w:rPr>
            </w:pPr>
            <w:r>
              <w:rPr>
                <w:b/>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69" w:name="xdx_435_c20230401__20230630_eus-gaap--St"/>
            <w:bookmarkEnd w:id="169"/>
          </w:p>
        </w:tc>
      </w:tr>
      <w:tr>
        <w:trPr/>
        <w:tc>
          <w:tcPr>
            <w:tcW w:w="1340" w:type="dxa"/>
            <w:tcBorders/>
            <w:shd w:fill="CCEEFF" w:val="clear"/>
            <w:vAlign w:val="center"/>
          </w:tcPr>
          <w:p>
            <w:pPr>
              <w:pStyle w:val="TableContents"/>
              <w:bidi w:val="0"/>
              <w:spacing w:before="0" w:after="283"/>
              <w:jc w:val="left"/>
              <w:rPr/>
            </w:pPr>
            <w:r>
              <w:rPr/>
              <w:t>Balance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C_eus-gaap--SharesOutstanding_iS_c"/>
            <w:bookmarkEnd w:id="170"/>
          </w:p>
        </w:tc>
        <w:tc>
          <w:tcPr>
            <w:tcW w:w="1100" w:type="dxa"/>
            <w:tcBorders/>
            <w:shd w:fill="CCEEFF" w:val="clear"/>
            <w:vAlign w:val="center"/>
          </w:tcPr>
          <w:p>
            <w:pPr>
              <w:pStyle w:val="TableContents"/>
              <w:bidi w:val="0"/>
              <w:spacing w:before="0" w:after="283"/>
              <w:jc w:val="right"/>
              <w:rPr/>
            </w:pPr>
            <w:r>
              <w:rPr/>
              <w:t>30,056,370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137,989,000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(116,136,000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  </w:t>
            </w:r>
            <w:r>
              <w:rPr/>
              <w:t>21,883,000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337" w:type="dxa"/>
            <w:tcBorders/>
            <w:shd w:fill="CCEEFF" w:val="cle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 </w:t>
            </w:r>
            <w:r>
              <w:rPr/>
              <w:t>21,528,000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Issuance of common stock in connection with: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1" w:name="xdx_403_eus-gaap--StockIssuedDuringPerio"/>
            <w:bookmarkEnd w:id="171"/>
          </w:p>
        </w:tc>
      </w:tr>
      <w:tr>
        <w:trPr/>
        <w:tc>
          <w:tcPr>
            <w:tcW w:w="1340" w:type="dxa"/>
            <w:tcBorders/>
            <w:shd w:fill="FFFFFF" w:val="clear"/>
            <w:vAlign w:val="center"/>
          </w:tcPr>
          <w:p>
            <w:pPr>
              <w:pStyle w:val="TableContents"/>
              <w:bidi w:val="0"/>
              <w:spacing w:before="0" w:after="283"/>
              <w:jc w:val="left"/>
              <w:rPr/>
            </w:pPr>
            <w:r>
              <w:rPr/>
              <w:t>Exercise of consultant stock-based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D_eus-gaap--StockIssuedDuringPerio"/>
            <w:bookmarkEnd w:id="172"/>
          </w:p>
        </w:tc>
        <w:tc>
          <w:tcPr>
            <w:tcW w:w="1100" w:type="dxa"/>
            <w:tcBorders/>
            <w:shd w:fill="FFFFFF" w:val="cle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85,000</w:t>
            </w:r>
          </w:p>
        </w:tc>
        <w:tc>
          <w:tcPr>
            <w:tcW w:w="110" w:type="dxa"/>
            <w:tcBorders/>
            <w:shd w:fill="FFFFFF" w:val="clear"/>
            <w:vAlign w:val="center"/>
          </w:tcPr>
          <w:p>
            <w:pPr>
              <w:pStyle w:val="TableContents"/>
              <w:bidi w:val="0"/>
              <w:spacing w:before="0" w:after="283"/>
              <w:jc w:val="left"/>
              <w:rPr/>
            </w:pPr>
            <w:r>
              <w:rPr/>
              <w:t> </w:t>
            </w:r>
            <w:bookmarkStart w:id="173" w:name="xdx_40C_eus-gaap--StockIssuedDuringPerio"/>
            <w:bookmarkEnd w:id="173"/>
          </w:p>
        </w:tc>
      </w:tr>
      <w:tr>
        <w:trPr/>
        <w:tc>
          <w:tcPr>
            <w:tcW w:w="1340" w:type="dxa"/>
            <w:tcBorders/>
            <w:shd w:fill="CCEEFF" w:val="clear"/>
            <w:vAlign w:val="center"/>
          </w:tcPr>
          <w:p>
            <w:pPr>
              <w:pStyle w:val="TableContents"/>
              <w:bidi w:val="0"/>
              <w:spacing w:before="0" w:after="283"/>
              <w:jc w:val="left"/>
              <w:rPr/>
            </w:pPr>
            <w:r>
              <w:rPr/>
              <w:t>Exercise of employee stock-based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1_eus-gaap--StockIssuedDuringPerio"/>
            <w:bookmarkEnd w:id="174"/>
          </w:p>
        </w:tc>
        <w:tc>
          <w:tcPr>
            <w:tcW w:w="1100" w:type="dxa"/>
            <w:tcBorders/>
            <w:shd w:fill="CCEEFF" w:val="clear"/>
            <w:vAlign w:val="center"/>
          </w:tcPr>
          <w:p>
            <w:pPr>
              <w:pStyle w:val="TableContents"/>
              <w:bidi w:val="0"/>
              <w:spacing w:before="0" w:after="283"/>
              <w:jc w:val="right"/>
              <w:rPr/>
            </w:pPr>
            <w:r>
              <w:rPr/>
              <w:t>119,274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104,000</w:t>
            </w:r>
          </w:p>
        </w:tc>
        <w:tc>
          <w:tcPr>
            <w:tcW w:w="110" w:type="dxa"/>
            <w:tcBorders/>
            <w:shd w:fill="CCEEFF" w:val="clear"/>
            <w:vAlign w:val="center"/>
          </w:tcPr>
          <w:p>
            <w:pPr>
              <w:pStyle w:val="TableContents"/>
              <w:bidi w:val="0"/>
              <w:spacing w:before="0" w:after="283"/>
              <w:jc w:val="left"/>
              <w:rPr/>
            </w:pPr>
            <w:r>
              <w:rPr/>
              <w:t> </w:t>
            </w:r>
            <w:bookmarkStart w:id="175" w:name="xdx_404_eus-gaap--StockIssuedDuringPerio"/>
            <w:bookmarkEnd w:id="175"/>
          </w:p>
        </w:tc>
      </w:tr>
      <w:tr>
        <w:trPr/>
        <w:tc>
          <w:tcPr>
            <w:tcW w:w="1340" w:type="dxa"/>
            <w:tcBorders/>
            <w:shd w:fill="FFFFFF" w:val="clear"/>
            <w:vAlign w:val="center"/>
          </w:tcPr>
          <w:p>
            <w:pPr>
              <w:pStyle w:val="TableContents"/>
              <w:bidi w:val="0"/>
              <w:spacing w:before="0" w:after="283"/>
              <w:jc w:val="left"/>
              <w:rPr/>
            </w:pPr>
            <w:r>
              <w:rPr/>
              <w:t>Vesting of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 w:name="xdx_981_eus-gaap--StockIssuedDuringPerio"/>
            <w:bookmarkEnd w:id="176"/>
          </w:p>
        </w:tc>
        <w:tc>
          <w:tcPr>
            <w:tcW w:w="1100" w:type="dxa"/>
            <w:tcBorders/>
            <w:shd w:fill="FFFFFF" w:val="clear"/>
            <w:vAlign w:val="center"/>
          </w:tcPr>
          <w:p>
            <w:pPr>
              <w:pStyle w:val="TableContents"/>
              <w:bidi w:val="0"/>
              <w:spacing w:before="0" w:after="283"/>
              <w:jc w:val="right"/>
              <w:rPr/>
            </w:pPr>
            <w:r>
              <w:rPr/>
              <w:t>131,760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7" w:name="xdx_401_eus-gaap--StockIssuedDuringPerio"/>
            <w:bookmarkEnd w:id="177"/>
          </w:p>
        </w:tc>
      </w:tr>
      <w:tr>
        <w:trPr/>
        <w:tc>
          <w:tcPr>
            <w:tcW w:w="1340" w:type="dxa"/>
            <w:tcBorders/>
            <w:shd w:fill="CCEEFF" w:val="clear"/>
            <w:vAlign w:val="center"/>
          </w:tcPr>
          <w:p>
            <w:pPr>
              <w:pStyle w:val="TableContents"/>
              <w:bidi w:val="0"/>
              <w:spacing w:before="0" w:after="283"/>
              <w:jc w:val="left"/>
              <w:rPr/>
            </w:pPr>
            <w:r>
              <w:rPr/>
              <w:t>Shares withheld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 w:name="xdx_98F_eus-gaap--StockIssuedDuringPerio"/>
            <w:bookmarkEnd w:id="178"/>
          </w:p>
        </w:tc>
        <w:tc>
          <w:tcPr>
            <w:tcW w:w="1100" w:type="dxa"/>
            <w:tcBorders/>
            <w:shd w:fill="CCEEFF" w:val="clear"/>
            <w:vAlign w:val="center"/>
          </w:tcPr>
          <w:p>
            <w:pPr>
              <w:pStyle w:val="TableContents"/>
              <w:bidi w:val="0"/>
              <w:spacing w:before="0" w:after="283"/>
              <w:jc w:val="right"/>
              <w:rPr/>
            </w:pPr>
            <w:r>
              <w:rPr/>
              <w:t>(40,466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(848,000</w:t>
            </w:r>
          </w:p>
        </w:tc>
        <w:tc>
          <w:tcPr>
            <w:tcW w:w="110" w:type="dxa"/>
            <w:tcBorders/>
            <w:shd w:fill="CCEEFF" w:val="clear"/>
            <w:vAlign w:val="center"/>
          </w:tcPr>
          <w:p>
            <w:pPr>
              <w:pStyle w:val="TableContents"/>
              <w:bidi w:val="0"/>
              <w:spacing w:before="0" w:after="283"/>
              <w:jc w:val="left"/>
              <w:rPr/>
            </w:pPr>
            <w:r>
              <w:rPr/>
              <w:t>)</w:t>
            </w:r>
            <w:bookmarkStart w:id="179" w:name="xdx_40E_eus-gaap--AdjustmentsToAdditiona"/>
            <w:bookmarkEnd w:id="179"/>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5,412,000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5,412,000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5,412,000</w:t>
            </w:r>
          </w:p>
        </w:tc>
        <w:tc>
          <w:tcPr>
            <w:tcW w:w="110" w:type="dxa"/>
            <w:tcBorders/>
            <w:shd w:fill="FFFFFF" w:val="clear"/>
            <w:vAlign w:val="center"/>
          </w:tcPr>
          <w:p>
            <w:pPr>
              <w:pStyle w:val="TableContents"/>
              <w:bidi w:val="0"/>
              <w:spacing w:before="0" w:after="283"/>
              <w:jc w:val="left"/>
              <w:rPr/>
            </w:pPr>
            <w:r>
              <w:rPr/>
              <w:t> </w:t>
            </w:r>
            <w:bookmarkStart w:id="180" w:name="xdx_40C_eus-gaap--NetIncomeLoss_zpeYIZzL"/>
            <w:bookmarkEnd w:id="180"/>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(4,229,000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(4,229,000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(4,229,000</w:t>
            </w:r>
          </w:p>
        </w:tc>
        <w:tc>
          <w:tcPr>
            <w:tcW w:w="110" w:type="dxa"/>
            <w:tcBorders/>
            <w:shd w:fill="CCEEFF" w:val="clear"/>
            <w:vAlign w:val="center"/>
          </w:tcPr>
          <w:p>
            <w:pPr>
              <w:pStyle w:val="TableContents"/>
              <w:bidi w:val="0"/>
              <w:spacing w:before="0" w:after="283"/>
              <w:jc w:val="left"/>
              <w:rPr/>
            </w:pPr>
            <w:r>
              <w:rPr/>
              <w:t>)</w:t>
            </w:r>
            <w:bookmarkStart w:id="181" w:name="xdx_433_c20230401__20230630_eus-gaap--St"/>
            <w:bookmarkEnd w:id="181"/>
          </w:p>
        </w:tc>
      </w:tr>
      <w:tr>
        <w:trPr/>
        <w:tc>
          <w:tcPr>
            <w:tcW w:w="1340" w:type="dxa"/>
            <w:tcBorders/>
            <w:shd w:fill="FFFFFF" w:val="clear"/>
            <w:vAlign w:val="center"/>
          </w:tcPr>
          <w:p>
            <w:pPr>
              <w:pStyle w:val="TableContents"/>
              <w:bidi w:val="0"/>
              <w:spacing w:before="0" w:after="283"/>
              <w:jc w:val="left"/>
              <w:rPr/>
            </w:pPr>
            <w:r>
              <w:rPr/>
              <w:t>Balance at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2" w:name="xdx_98E_eus-gaap--SharesOutstanding_iE_c"/>
            <w:bookmarkEnd w:id="18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30,276,938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142,742,000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(120,365,000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22,407,000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FFFFFF" w:val="clear"/>
            <w:tcMar>
              <w:bottom w:w="28" w:type="dxa"/>
            </w:tcMar>
            <w:vAlign w:val="center"/>
          </w:tcPr>
          <w:p>
            <w:pPr>
              <w:pStyle w:val="TableContents"/>
              <w:bidi w:val="0"/>
              <w:spacing w:before="0" w:after="283"/>
              <w:jc w:val="right"/>
              <w:rPr/>
            </w:pPr>
            <w:r>
              <w:rPr/>
              <w:t>22,052,000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3" w:name="xdx_43D_c20240401__20240630_eus-gaap--St"/>
            <w:bookmarkEnd w:id="183"/>
          </w:p>
        </w:tc>
      </w:tr>
      <w:tr>
        <w:trPr/>
        <w:tc>
          <w:tcPr>
            <w:tcW w:w="1340" w:type="dxa"/>
            <w:tcBorders/>
            <w:shd w:fill="FFFFFF" w:val="clear"/>
            <w:vAlign w:val="center"/>
          </w:tcPr>
          <w:p>
            <w:pPr>
              <w:pStyle w:val="TableContents"/>
              <w:bidi w:val="0"/>
              <w:spacing w:before="0" w:after="283"/>
              <w:jc w:val="left"/>
              <w:rPr/>
            </w:pPr>
            <w:r>
              <w:rPr/>
              <w:t>Balance at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4" w:name="xdx_988_eus-gaap--SharesOutstanding_iS_c"/>
            <w:bookmarkEnd w:id="184"/>
          </w:p>
        </w:tc>
        <w:tc>
          <w:tcPr>
            <w:tcW w:w="1100" w:type="dxa"/>
            <w:tcBorders/>
            <w:shd w:fill="FFFFFF" w:val="clear"/>
            <w:vAlign w:val="center"/>
          </w:tcPr>
          <w:p>
            <w:pPr>
              <w:pStyle w:val="TableContents"/>
              <w:bidi w:val="0"/>
              <w:spacing w:before="0" w:after="283"/>
              <w:jc w:val="right"/>
              <w:rPr/>
            </w:pPr>
            <w:r>
              <w:rPr/>
              <w:t>35,380,955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207,995,000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(147,469,000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60,561,000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337"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96" w:type="dxa"/>
            <w:tcBorders/>
            <w:shd w:fill="FFFFFF" w:val="clear"/>
            <w:vAlign w:val="center"/>
          </w:tcPr>
          <w:p>
            <w:pPr>
              <w:pStyle w:val="TableContents"/>
              <w:bidi w:val="0"/>
              <w:spacing w:before="0" w:after="283"/>
              <w:jc w:val="right"/>
              <w:rPr/>
            </w:pPr>
            <w:r>
              <w:rPr/>
              <w:t>60,206,000</w:t>
            </w:r>
          </w:p>
        </w:tc>
        <w:tc>
          <w:tcPr>
            <w:tcW w:w="110" w:type="dxa"/>
            <w:tcBorders/>
            <w:shd w:fill="FFFFFF" w:val="clear"/>
            <w:vAlign w:val="center"/>
          </w:tcPr>
          <w:p>
            <w:pPr>
              <w:pStyle w:val="TableContents"/>
              <w:bidi w:val="0"/>
              <w:spacing w:before="0" w:after="283"/>
              <w:jc w:val="left"/>
              <w:rPr/>
            </w:pPr>
            <w:r>
              <w:rPr/>
              <w:t> </w:t>
            </w:r>
            <w:bookmarkStart w:id="185" w:name="xdx_430_c20240401__20240630_eus-gaap--St"/>
            <w:bookmarkEnd w:id="185"/>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6" w:name="xdx_98C_eus-gaap--SharesOutstanding_iS_c"/>
            <w:bookmarkEnd w:id="186"/>
          </w:p>
        </w:tc>
        <w:tc>
          <w:tcPr>
            <w:tcW w:w="1100" w:type="dxa"/>
            <w:tcBorders/>
            <w:shd w:fill="FFFFFF" w:val="clear"/>
            <w:vAlign w:val="center"/>
          </w:tcPr>
          <w:p>
            <w:pPr>
              <w:pStyle w:val="TableContents"/>
              <w:bidi w:val="0"/>
              <w:spacing w:before="0" w:after="283"/>
              <w:jc w:val="right"/>
              <w:rPr/>
            </w:pPr>
            <w:r>
              <w:rPr/>
              <w:t>35,380,955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207,995,000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(147,469,000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60,561,000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w:t>
            </w:r>
          </w:p>
        </w:tc>
        <w:tc>
          <w:tcPr>
            <w:tcW w:w="1337" w:type="dxa"/>
            <w:tcBorders/>
            <w:shd w:fill="FFFFFF" w:val="clear"/>
            <w:vAlign w:val="center"/>
          </w:tcPr>
          <w:p>
            <w:pPr>
              <w:pStyle w:val="TableContents"/>
              <w:bidi w:val="0"/>
              <w:spacing w:before="0" w:after="283"/>
              <w:jc w:val="right"/>
              <w:rPr/>
            </w:pPr>
            <w:r>
              <w:rPr/>
              <w:t>(355,000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196" w:type="dxa"/>
            <w:tcBorders/>
            <w:shd w:fill="FFFFFF" w:val="clear"/>
            <w:vAlign w:val="center"/>
          </w:tcPr>
          <w:p>
            <w:pPr>
              <w:pStyle w:val="TableContents"/>
              <w:bidi w:val="0"/>
              <w:spacing w:before="0" w:after="283"/>
              <w:jc w:val="right"/>
              <w:rPr/>
            </w:pPr>
            <w:r>
              <w:rPr/>
              <w:t>60,206,000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Issuance of common stock in connection with: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87" w:name="xdx_40B_eus-gaap--StockIssuedDuringPerio"/>
            <w:bookmarkEnd w:id="187"/>
          </w:p>
        </w:tc>
      </w:tr>
      <w:tr>
        <w:trPr/>
        <w:tc>
          <w:tcPr>
            <w:tcW w:w="1340" w:type="dxa"/>
            <w:tcBorders/>
            <w:shd w:fill="CCEEFF" w:val="clear"/>
            <w:vAlign w:val="center"/>
          </w:tcPr>
          <w:p>
            <w:pPr>
              <w:pStyle w:val="TableContents"/>
              <w:bidi w:val="0"/>
              <w:spacing w:before="0" w:after="283"/>
              <w:jc w:val="left"/>
              <w:rPr/>
            </w:pPr>
            <w:r>
              <w:rPr/>
              <w:t>Exercise of employee stock-based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3_eus-gaap--StockIssuedDuringPerio"/>
            <w:bookmarkEnd w:id="188"/>
          </w:p>
        </w:tc>
        <w:tc>
          <w:tcPr>
            <w:tcW w:w="1100" w:type="dxa"/>
            <w:tcBorders/>
            <w:shd w:fill="CCEEFF" w:val="clear"/>
            <w:vAlign w:val="center"/>
          </w:tcPr>
          <w:p>
            <w:pPr>
              <w:pStyle w:val="TableContents"/>
              <w:bidi w:val="0"/>
              <w:spacing w:before="0" w:after="283"/>
              <w:jc w:val="right"/>
              <w:rPr/>
            </w:pPr>
            <w:r>
              <w:rPr/>
              <w:t>41,020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173,000</w:t>
            </w:r>
          </w:p>
        </w:tc>
        <w:tc>
          <w:tcPr>
            <w:tcW w:w="110" w:type="dxa"/>
            <w:tcBorders/>
            <w:shd w:fill="CCEEFF" w:val="clear"/>
            <w:vAlign w:val="center"/>
          </w:tcPr>
          <w:p>
            <w:pPr>
              <w:pStyle w:val="TableContents"/>
              <w:bidi w:val="0"/>
              <w:spacing w:before="0" w:after="283"/>
              <w:jc w:val="left"/>
              <w:rPr/>
            </w:pPr>
            <w:r>
              <w:rPr/>
              <w:t> </w:t>
            </w:r>
            <w:bookmarkStart w:id="189" w:name="xdx_400_eus-gaap--StockIssuedDuringPerio"/>
            <w:bookmarkEnd w:id="189"/>
          </w:p>
        </w:tc>
      </w:tr>
      <w:tr>
        <w:trPr/>
        <w:tc>
          <w:tcPr>
            <w:tcW w:w="1340" w:type="dxa"/>
            <w:tcBorders/>
            <w:shd w:fill="FFFFFF" w:val="clear"/>
            <w:vAlign w:val="center"/>
          </w:tcPr>
          <w:p>
            <w:pPr>
              <w:pStyle w:val="TableContents"/>
              <w:bidi w:val="0"/>
              <w:spacing w:before="0" w:after="283"/>
              <w:jc w:val="left"/>
              <w:rPr/>
            </w:pPr>
            <w:r>
              <w:rPr/>
              <w:t>Vesting of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0" w:name="xdx_987_eus-gaap--StockIssuedDuringPerio"/>
            <w:bookmarkEnd w:id="190"/>
          </w:p>
        </w:tc>
        <w:tc>
          <w:tcPr>
            <w:tcW w:w="1100" w:type="dxa"/>
            <w:tcBorders/>
            <w:shd w:fill="FFFFFF" w:val="clear"/>
            <w:vAlign w:val="center"/>
          </w:tcPr>
          <w:p>
            <w:pPr>
              <w:pStyle w:val="TableContents"/>
              <w:bidi w:val="0"/>
              <w:spacing w:before="0" w:after="283"/>
              <w:jc w:val="right"/>
              <w:rPr/>
            </w:pPr>
            <w:r>
              <w:rPr/>
              <w:t>57,517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1" w:name="xdx_409_eus-gaap--AdjustmentsToAdditiona"/>
            <w:bookmarkEnd w:id="191"/>
          </w:p>
        </w:tc>
      </w:tr>
      <w:tr>
        <w:trPr/>
        <w:tc>
          <w:tcPr>
            <w:tcW w:w="134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4,271,000</w:t>
            </w:r>
          </w:p>
        </w:tc>
        <w:tc>
          <w:tcPr>
            <w:tcW w:w="110" w:type="dxa"/>
            <w:tcBorders/>
            <w:shd w:fill="CCEEFF" w:val="clear"/>
            <w:vAlign w:val="center"/>
          </w:tcPr>
          <w:p>
            <w:pPr>
              <w:pStyle w:val="TableContents"/>
              <w:bidi w:val="0"/>
              <w:spacing w:before="0" w:after="283"/>
              <w:jc w:val="left"/>
              <w:rPr/>
            </w:pPr>
            <w:r>
              <w:rPr/>
              <w:t> </w:t>
            </w:r>
            <w:bookmarkStart w:id="192" w:name="xdx_401_eus-gaap--NetIncomeLoss_zK5a1hnB"/>
            <w:bookmarkEnd w:id="192"/>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(6,473,000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(6,473,000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(6,473,000</w:t>
            </w:r>
          </w:p>
        </w:tc>
        <w:tc>
          <w:tcPr>
            <w:tcW w:w="110" w:type="dxa"/>
            <w:tcBorders/>
            <w:shd w:fill="FFFFFF" w:val="clear"/>
            <w:vAlign w:val="center"/>
          </w:tcPr>
          <w:p>
            <w:pPr>
              <w:pStyle w:val="TableContents"/>
              <w:bidi w:val="0"/>
              <w:spacing w:before="0" w:after="283"/>
              <w:jc w:val="left"/>
              <w:rPr/>
            </w:pPr>
            <w:r>
              <w:rPr/>
              <w:t>)</w:t>
            </w:r>
            <w:bookmarkStart w:id="193" w:name="xdx_43C_c20240101__20240630_eus-gaap--St"/>
            <w:bookmarkEnd w:id="193"/>
          </w:p>
        </w:tc>
      </w:tr>
      <w:tr>
        <w:trPr/>
        <w:tc>
          <w:tcPr>
            <w:tcW w:w="1340" w:type="dxa"/>
            <w:tcBorders/>
            <w:shd w:fill="CCEEFF" w:val="clear"/>
            <w:vAlign w:val="center"/>
          </w:tcPr>
          <w:p>
            <w:pPr>
              <w:pStyle w:val="TableContents"/>
              <w:bidi w:val="0"/>
              <w:spacing w:before="0" w:after="283"/>
              <w:jc w:val="left"/>
              <w:rPr/>
            </w:pPr>
            <w:r>
              <w:rPr/>
              <w:t>Balance at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4" w:name="xdx_98A_eus-gaap--SharesOutstanding_iE_c"/>
            <w:bookmarkEnd w:id="19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35,479,492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212,439,000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(153,942,000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58,532,000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58,177,000</w:t>
            </w:r>
          </w:p>
        </w:tc>
        <w:tc>
          <w:tcPr>
            <w:tcW w:w="110" w:type="dxa"/>
            <w:tcBorders/>
            <w:shd w:fill="CCEEFF" w:val="clear"/>
            <w:vAlign w:val="center"/>
          </w:tcPr>
          <w:p>
            <w:pPr>
              <w:pStyle w:val="TableContents"/>
              <w:bidi w:val="0"/>
              <w:spacing w:before="0" w:after="283"/>
              <w:jc w:val="left"/>
              <w:rPr/>
            </w:pPr>
            <w:r>
              <w:rPr/>
              <w:t> </w:t>
            </w:r>
            <w:bookmarkStart w:id="195" w:name="xdx_435_c20240101__20240630_eus-gaap--St"/>
            <w:bookmarkEnd w:id="195"/>
          </w:p>
        </w:tc>
      </w:tr>
      <w:tr>
        <w:trPr/>
        <w:tc>
          <w:tcPr>
            <w:tcW w:w="134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 w:name="xdx_980_eus-gaap--SharesOutstanding_iE_c"/>
            <w:bookmarkEnd w:id="19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35,479,492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212,439,000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(153,942,000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58,532,000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shd w:fill="CCEEFF" w:val="clear"/>
            <w:tcMar>
              <w:bottom w:w="28" w:type="dxa"/>
            </w:tcMar>
            <w:vAlign w:val="center"/>
          </w:tcPr>
          <w:p>
            <w:pPr>
              <w:pStyle w:val="TableContents"/>
              <w:bidi w:val="0"/>
              <w:spacing w:before="0" w:after="283"/>
              <w:jc w:val="right"/>
              <w:rPr/>
            </w:pPr>
            <w:r>
              <w:rPr/>
              <w:t>(355,000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58,177,000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CONDENSED CONSOLIDATED STATEMENTS OF CASH FLOWS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7" w:name="xdx_305_112_zVyCtDfVXC29"/>
      <w:bookmarkStart w:id="198" w:name="xdx_305_112_zVyCtDfVXC29"/>
      <w:bookmarkEnd w:id="198"/>
    </w:p>
    <w:tbl>
      <w:tblPr>
        <w:tblW w:w="10205" w:type="dxa"/>
        <w:jc w:val="left"/>
        <w:tblInd w:w="0" w:type="dxa"/>
        <w:tblLayout w:type="fixed"/>
        <w:tblCellMar>
          <w:top w:w="0" w:type="dxa"/>
          <w:left w:w="0" w:type="dxa"/>
          <w:bottom w:w="0" w:type="dxa"/>
          <w:right w:w="0" w:type="dxa"/>
        </w:tblCellMar>
      </w:tblPr>
      <w:tblGrid>
        <w:gridCol w:w="7130"/>
        <w:gridCol w:w="60"/>
        <w:gridCol w:w="140"/>
        <w:gridCol w:w="1175"/>
        <w:gridCol w:w="95"/>
        <w:gridCol w:w="60"/>
        <w:gridCol w:w="140"/>
        <w:gridCol w:w="1295"/>
        <w:gridCol w:w="110"/>
      </w:tblGrid>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9" w:name="xdx_492_20240101__20240630_zORD1LIhhM27"/>
            <w:bookmarkEnd w:id="199"/>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 w:name="xdx_49A_20230101__20230630_zXCYrl8VH48h"/>
            <w:bookmarkEnd w:id="200"/>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01" w:name="xdx_400_eus-gaap--NetCashProvidedByUsedI"/>
            <w:bookmarkEnd w:id="201"/>
          </w:p>
        </w:tc>
      </w:tr>
      <w:tr>
        <w:trPr/>
        <w:tc>
          <w:tcPr>
            <w:tcW w:w="7130"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2" w:name="xdx_40C_eus-gaap--NetIncomeLoss_i01_pp0p"/>
            <w:bookmarkEnd w:id="202"/>
          </w:p>
        </w:tc>
      </w:tr>
      <w:tr>
        <w:trPr/>
        <w:tc>
          <w:tcPr>
            <w:tcW w:w="71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(20,038,000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(10,872,000</w:t>
            </w:r>
          </w:p>
        </w:tc>
        <w:tc>
          <w:tcPr>
            <w:tcW w:w="110" w:type="dxa"/>
            <w:tcBorders/>
            <w:shd w:fill="FFFFFF" w:val="clear"/>
            <w:vAlign w:val="center"/>
          </w:tcPr>
          <w:p>
            <w:pPr>
              <w:pStyle w:val="TableContents"/>
              <w:bidi w:val="0"/>
              <w:spacing w:before="0" w:after="283"/>
              <w:jc w:val="left"/>
              <w:rPr/>
            </w:pPr>
            <w:r>
              <w:rPr/>
              <w:t>)</w:t>
            </w:r>
            <w:bookmarkStart w:id="203" w:name="xdx_403_eus-gaap--AdjustmentsToReconcile"/>
            <w:bookmarkEnd w:id="203"/>
          </w:p>
        </w:tc>
      </w:tr>
      <w:tr>
        <w:trPr/>
        <w:tc>
          <w:tcPr>
            <w:tcW w:w="71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4" w:name="xdx_404_eus-gaap--DepreciationAndAmortiz"/>
            <w:bookmarkEnd w:id="204"/>
          </w:p>
        </w:tc>
      </w:tr>
      <w:tr>
        <w:trPr/>
        <w:tc>
          <w:tcPr>
            <w:tcW w:w="7130" w:type="dxa"/>
            <w:tcBorders/>
            <w:shd w:fill="FFFFFF" w:val="clear"/>
            <w:vAlign w:val="center"/>
          </w:tcPr>
          <w:p>
            <w:pPr>
              <w:pStyle w:val="TableContents"/>
              <w:bidi w:val="0"/>
              <w:spacing w:before="0" w:after="283"/>
              <w:jc w:val="left"/>
              <w:rPr/>
            </w:pPr>
            <w:r>
              <w:rPr/>
              <w:t>Depreciation and amortization of property, plant and equipment and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885,000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690,000</w:t>
            </w:r>
          </w:p>
        </w:tc>
        <w:tc>
          <w:tcPr>
            <w:tcW w:w="110" w:type="dxa"/>
            <w:tcBorders/>
            <w:shd w:fill="FFFFFF" w:val="clear"/>
            <w:vAlign w:val="center"/>
          </w:tcPr>
          <w:p>
            <w:pPr>
              <w:pStyle w:val="TableContents"/>
              <w:bidi w:val="0"/>
              <w:spacing w:before="0" w:after="283"/>
              <w:jc w:val="left"/>
              <w:rPr/>
            </w:pPr>
            <w:r>
              <w:rPr/>
              <w:t> </w:t>
            </w:r>
            <w:bookmarkStart w:id="205" w:name="xdx_408_eus-gaap--AmortizationOfIntangib"/>
            <w:bookmarkEnd w:id="205"/>
          </w:p>
        </w:tc>
      </w:tr>
      <w:tr>
        <w:trPr/>
        <w:tc>
          <w:tcPr>
            <w:tcW w:w="713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5,103,000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5,050,000</w:t>
            </w:r>
          </w:p>
        </w:tc>
        <w:tc>
          <w:tcPr>
            <w:tcW w:w="110" w:type="dxa"/>
            <w:tcBorders/>
            <w:shd w:fill="CCEEFF" w:val="clear"/>
            <w:vAlign w:val="center"/>
          </w:tcPr>
          <w:p>
            <w:pPr>
              <w:pStyle w:val="TableContents"/>
              <w:bidi w:val="0"/>
              <w:spacing w:before="0" w:after="283"/>
              <w:jc w:val="left"/>
              <w:rPr/>
            </w:pPr>
            <w:r>
              <w:rPr/>
              <w:t> </w:t>
            </w:r>
            <w:bookmarkStart w:id="206" w:name="xdx_40A_eus-gaap--OperatingLeaseRightOfU"/>
            <w:bookmarkEnd w:id="206"/>
          </w:p>
        </w:tc>
      </w:tr>
      <w:tr>
        <w:trPr/>
        <w:tc>
          <w:tcPr>
            <w:tcW w:w="7130" w:type="dxa"/>
            <w:tcBorders/>
            <w:shd w:fill="FFFFFF" w:val="clear"/>
            <w:vAlign w:val="center"/>
          </w:tcPr>
          <w:p>
            <w:pPr>
              <w:pStyle w:val="TableContents"/>
              <w:bidi w:val="0"/>
              <w:spacing w:before="0" w:after="283"/>
              <w:jc w:val="left"/>
              <w:rPr/>
            </w:pPr>
            <w:r>
              <w:rPr/>
              <w:t>Amortization of 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357,000</w:t>
            </w:r>
          </w:p>
        </w:tc>
        <w:tc>
          <w:tcPr>
            <w:tcW w:w="110" w:type="dxa"/>
            <w:tcBorders/>
            <w:shd w:fill="FFFFFF" w:val="clear"/>
            <w:vAlign w:val="center"/>
          </w:tcPr>
          <w:p>
            <w:pPr>
              <w:pStyle w:val="TableContents"/>
              <w:bidi w:val="0"/>
              <w:spacing w:before="0" w:after="283"/>
              <w:jc w:val="left"/>
              <w:rPr/>
            </w:pPr>
            <w:r>
              <w:rPr/>
              <w:t> </w:t>
            </w:r>
            <w:bookmarkStart w:id="207" w:name="xdx_405_eus-gaap--ProvisionForDoubtfulAc"/>
            <w:bookmarkEnd w:id="207"/>
          </w:p>
        </w:tc>
      </w:tr>
      <w:tr>
        <w:trPr/>
        <w:tc>
          <w:tcPr>
            <w:tcW w:w="7130" w:type="dxa"/>
            <w:tcBorders/>
            <w:shd w:fill="CCEEFF" w:val="clear"/>
            <w:vAlign w:val="center"/>
          </w:tcPr>
          <w:p>
            <w:pPr>
              <w:pStyle w:val="TableContents"/>
              <w:bidi w:val="0"/>
              <w:spacing w:before="0" w:after="283"/>
              <w:jc w:val="left"/>
              <w:rPr/>
            </w:pPr>
            <w:r>
              <w:rPr/>
              <w:t>(Recovery of) 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29,000</w:t>
            </w:r>
          </w:p>
        </w:tc>
        <w:tc>
          <w:tcPr>
            <w:tcW w:w="110" w:type="dxa"/>
            <w:tcBorders/>
            <w:shd w:fill="CCEEFF" w:val="clear"/>
            <w:vAlign w:val="center"/>
          </w:tcPr>
          <w:p>
            <w:pPr>
              <w:pStyle w:val="TableContents"/>
              <w:bidi w:val="0"/>
              <w:spacing w:before="0" w:after="283"/>
              <w:jc w:val="left"/>
              <w:rPr/>
            </w:pPr>
            <w:r>
              <w:rPr/>
              <w:t> </w:t>
            </w:r>
            <w:bookmarkStart w:id="208" w:name="xdx_40D_eus-gaap--AmortizationOfFinancin"/>
            <w:bookmarkEnd w:id="208"/>
          </w:p>
        </w:tc>
      </w:tr>
      <w:tr>
        <w:trPr/>
        <w:tc>
          <w:tcPr>
            <w:tcW w:w="7130" w:type="dxa"/>
            <w:tcBorders/>
            <w:shd w:fill="FFFFFF" w:val="clear"/>
            <w:vAlign w:val="center"/>
          </w:tcPr>
          <w:p>
            <w:pPr>
              <w:pStyle w:val="TableContents"/>
              <w:bidi w:val="0"/>
              <w:spacing w:before="0" w:after="283"/>
              <w:jc w:val="left"/>
              <w:rPr/>
            </w:pPr>
            <w:r>
              <w:rPr/>
              <w:t>Amortization of debt issuance costs and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1,951,000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1,623,000</w:t>
            </w:r>
          </w:p>
        </w:tc>
        <w:tc>
          <w:tcPr>
            <w:tcW w:w="110" w:type="dxa"/>
            <w:tcBorders/>
            <w:shd w:fill="FFFFFF" w:val="clear"/>
            <w:vAlign w:val="center"/>
          </w:tcPr>
          <w:p>
            <w:pPr>
              <w:pStyle w:val="TableContents"/>
              <w:bidi w:val="0"/>
              <w:spacing w:before="0" w:after="283"/>
              <w:jc w:val="left"/>
              <w:rPr/>
            </w:pPr>
            <w:r>
              <w:rPr/>
              <w:t> </w:t>
            </w:r>
            <w:bookmarkStart w:id="209" w:name="xdx_401_eus-gaap--GainLossOnInvestments_"/>
            <w:bookmarkEnd w:id="209"/>
          </w:p>
        </w:tc>
      </w:tr>
      <w:tr>
        <w:trPr/>
        <w:tc>
          <w:tcPr>
            <w:tcW w:w="7130" w:type="dxa"/>
            <w:tcBorders/>
            <w:shd w:fill="CCEEFF" w:val="clear"/>
            <w:vAlign w:val="center"/>
          </w:tcPr>
          <w:p>
            <w:pPr>
              <w:pStyle w:val="TableContents"/>
              <w:bidi w:val="0"/>
              <w:spacing w:before="0" w:after="283"/>
              <w:jc w:val="left"/>
              <w:rPr/>
            </w:pPr>
            <w:r>
              <w:rPr/>
              <w:t>Investment loss (gain) from investment in Eton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3,171,000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(1,328,000</w:t>
            </w:r>
          </w:p>
        </w:tc>
        <w:tc>
          <w:tcPr>
            <w:tcW w:w="110" w:type="dxa"/>
            <w:tcBorders/>
            <w:shd w:fill="CCEEFF" w:val="clear"/>
            <w:vAlign w:val="center"/>
          </w:tcPr>
          <w:p>
            <w:pPr>
              <w:pStyle w:val="TableContents"/>
              <w:bidi w:val="0"/>
              <w:spacing w:before="0" w:after="283"/>
              <w:jc w:val="left"/>
              <w:rPr/>
            </w:pPr>
            <w:r>
              <w:rPr/>
              <w:t>)</w:t>
            </w:r>
            <w:bookmarkStart w:id="210" w:name="xdx_40D_eus-gaap--GainsLossesOnExtinguis"/>
            <w:bookmarkEnd w:id="210"/>
          </w:p>
        </w:tc>
      </w:tr>
      <w:tr>
        <w:trPr/>
        <w:tc>
          <w:tcPr>
            <w:tcW w:w="7130"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5,465,000</w:t>
            </w:r>
          </w:p>
        </w:tc>
        <w:tc>
          <w:tcPr>
            <w:tcW w:w="110" w:type="dxa"/>
            <w:tcBorders/>
            <w:shd w:fill="FFFFFF" w:val="clear"/>
            <w:vAlign w:val="center"/>
          </w:tcPr>
          <w:p>
            <w:pPr>
              <w:pStyle w:val="TableContents"/>
              <w:bidi w:val="0"/>
              <w:spacing w:before="0" w:after="283"/>
              <w:jc w:val="left"/>
              <w:rPr/>
            </w:pPr>
            <w:r>
              <w:rPr/>
              <w:t> </w:t>
            </w:r>
            <w:bookmarkStart w:id="211" w:name="xdx_404_eus-gaap--ShareBasedCompensation"/>
            <w:bookmarkEnd w:id="211"/>
          </w:p>
        </w:tc>
      </w:tr>
      <w:tr>
        <w:trPr/>
        <w:tc>
          <w:tcPr>
            <w:tcW w:w="71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8,440,000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7,045,000</w:t>
            </w:r>
          </w:p>
        </w:tc>
        <w:tc>
          <w:tcPr>
            <w:tcW w:w="110" w:type="dxa"/>
            <w:tcBorders/>
            <w:shd w:fill="CCEEFF" w:val="clear"/>
            <w:vAlign w:val="center"/>
          </w:tcPr>
          <w:p>
            <w:pPr>
              <w:pStyle w:val="TableContents"/>
              <w:bidi w:val="0"/>
              <w:spacing w:before="0" w:after="283"/>
              <w:jc w:val="left"/>
              <w:rPr/>
            </w:pPr>
            <w:r>
              <w:rPr/>
              <w:t> </w:t>
            </w:r>
            <w:bookmarkStart w:id="212" w:name="xdx_40E_eus-gaap--DeferredIncomeTaxExpen"/>
            <w:bookmarkEnd w:id="212"/>
          </w:p>
        </w:tc>
      </w:tr>
      <w:tr>
        <w:trPr/>
        <w:tc>
          <w:tcPr>
            <w:tcW w:w="7130"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(288,000</w:t>
            </w:r>
          </w:p>
        </w:tc>
        <w:tc>
          <w:tcPr>
            <w:tcW w:w="110" w:type="dxa"/>
            <w:tcBorders/>
            <w:shd w:fill="FFFFFF" w:val="clear"/>
            <w:vAlign w:val="center"/>
          </w:tcPr>
          <w:p>
            <w:pPr>
              <w:pStyle w:val="TableContents"/>
              <w:bidi w:val="0"/>
              <w:spacing w:before="0" w:after="283"/>
              <w:jc w:val="left"/>
              <w:rPr/>
            </w:pPr>
            <w:r>
              <w:rPr/>
              <w:t>)</w:t>
            </w:r>
            <w:bookmarkStart w:id="213" w:name="xdx_404_eus-gaap--IncreaseDecreaseInOper"/>
            <w:bookmarkEnd w:id="213"/>
          </w:p>
        </w:tc>
      </w:tr>
      <w:tr>
        <w:trPr/>
        <w:tc>
          <w:tcPr>
            <w:tcW w:w="713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4" w:name="xdx_406_eus-gaap--IncreaseDecreaseInAcco"/>
            <w:bookmarkEnd w:id="214"/>
          </w:p>
        </w:tc>
      </w:tr>
      <w:tr>
        <w:trPr/>
        <w:tc>
          <w:tcPr>
            <w:tcW w:w="713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(15,631,000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(12,038,000</w:t>
            </w:r>
          </w:p>
        </w:tc>
        <w:tc>
          <w:tcPr>
            <w:tcW w:w="110" w:type="dxa"/>
            <w:tcBorders/>
            <w:shd w:fill="FFFFFF" w:val="clear"/>
            <w:vAlign w:val="center"/>
          </w:tcPr>
          <w:p>
            <w:pPr>
              <w:pStyle w:val="TableContents"/>
              <w:bidi w:val="0"/>
              <w:spacing w:before="0" w:after="283"/>
              <w:jc w:val="left"/>
              <w:rPr/>
            </w:pPr>
            <w:r>
              <w:rPr/>
              <w:t>)</w:t>
            </w:r>
            <w:bookmarkStart w:id="215" w:name="xdx_401_eus-gaap--IncreaseDecreaseInInve"/>
            <w:bookmarkEnd w:id="215"/>
          </w:p>
        </w:tc>
      </w:tr>
      <w:tr>
        <w:trPr/>
        <w:tc>
          <w:tcPr>
            <w:tcW w:w="713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(2,014,000</w:t>
            </w:r>
          </w:p>
        </w:tc>
        <w:tc>
          <w:tcPr>
            <w:tcW w:w="110" w:type="dxa"/>
            <w:tcBorders/>
            <w:shd w:fill="CCEEFF" w:val="clear"/>
            <w:vAlign w:val="center"/>
          </w:tcPr>
          <w:p>
            <w:pPr>
              <w:pStyle w:val="TableContents"/>
              <w:bidi w:val="0"/>
              <w:spacing w:before="0" w:after="283"/>
              <w:jc w:val="left"/>
              <w:rPr/>
            </w:pPr>
            <w:r>
              <w:rPr/>
              <w:t>)</w:t>
            </w:r>
            <w:bookmarkStart w:id="216" w:name="xdx_404_eus-gaap--IncreaseDecreaseInPrep"/>
            <w:bookmarkEnd w:id="216"/>
          </w:p>
        </w:tc>
      </w:tr>
      <w:tr>
        <w:trPr/>
        <w:tc>
          <w:tcPr>
            <w:tcW w:w="713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2,579,000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(201,000</w:t>
            </w:r>
          </w:p>
        </w:tc>
        <w:tc>
          <w:tcPr>
            <w:tcW w:w="110" w:type="dxa"/>
            <w:tcBorders/>
            <w:shd w:fill="FFFFFF" w:val="clear"/>
            <w:vAlign w:val="center"/>
          </w:tcPr>
          <w:p>
            <w:pPr>
              <w:pStyle w:val="TableContents"/>
              <w:bidi w:val="0"/>
              <w:spacing w:before="0" w:after="283"/>
              <w:jc w:val="left"/>
              <w:rPr/>
            </w:pPr>
            <w:r>
              <w:rPr/>
              <w:t>)</w:t>
            </w:r>
            <w:bookmarkStart w:id="217" w:name="xdx_403_eus-gaap--IncreaseDecreaseInAcco"/>
            <w:bookmarkEnd w:id="217"/>
          </w:p>
        </w:tc>
      </w:tr>
      <w:tr>
        <w:trPr/>
        <w:tc>
          <w:tcPr>
            <w:tcW w:w="7130" w:type="dxa"/>
            <w:tcBorders/>
            <w:shd w:fill="CCEEFF" w:val="clear"/>
            <w:vAlign w:val="center"/>
          </w:tcPr>
          <w:p>
            <w:pPr>
              <w:pStyle w:val="TableContents"/>
              <w:bidi w:val="0"/>
              <w:spacing w:before="0" w:after="283"/>
              <w:jc w:val="left"/>
              <w:rPr/>
            </w:pPr>
            <w:r>
              <w:rPr/>
              <w:t>Accounts payable, accrued expenses, accrued rebates and copay assistance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3,361,000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3,584,000</w:t>
            </w:r>
          </w:p>
        </w:tc>
        <w:tc>
          <w:tcPr>
            <w:tcW w:w="110" w:type="dxa"/>
            <w:tcBorders/>
            <w:shd w:fill="CCEEFF" w:val="clear"/>
            <w:vAlign w:val="center"/>
          </w:tcPr>
          <w:p>
            <w:pPr>
              <w:pStyle w:val="TableContents"/>
              <w:bidi w:val="0"/>
              <w:spacing w:before="0" w:after="283"/>
              <w:jc w:val="left"/>
              <w:rPr/>
            </w:pPr>
            <w:r>
              <w:rPr/>
              <w:t> </w:t>
            </w:r>
            <w:bookmarkStart w:id="218" w:name="xdx_40F_eus-gaap--IncreaseDecreaseInEmpl"/>
            <w:bookmarkEnd w:id="218"/>
          </w:p>
        </w:tc>
      </w:tr>
      <w:tr>
        <w:trPr/>
        <w:tc>
          <w:tcPr>
            <w:tcW w:w="7130" w:type="dxa"/>
            <w:tcBorders/>
            <w:shd w:fill="FFFFFF" w:val="clear"/>
            <w:vAlign w:val="center"/>
          </w:tcPr>
          <w:p>
            <w:pPr>
              <w:pStyle w:val="TableContents"/>
              <w:bidi w:val="0"/>
              <w:spacing w:before="0" w:after="283"/>
              <w:jc w:val="left"/>
              <w:rPr/>
            </w:pPr>
            <w:r>
              <w:rPr/>
              <w:t>Accrued payroll and related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(769,000</w:t>
            </w:r>
          </w:p>
        </w:tc>
        <w:tc>
          <w:tcPr>
            <w:tcW w:w="110" w:type="dxa"/>
            <w:tcBorders/>
            <w:shd w:fill="FFFFFF" w:val="clear"/>
            <w:vAlign w:val="center"/>
          </w:tcPr>
          <w:p>
            <w:pPr>
              <w:pStyle w:val="TableContents"/>
              <w:bidi w:val="0"/>
              <w:spacing w:before="0" w:after="283"/>
              <w:jc w:val="left"/>
              <w:rPr/>
            </w:pPr>
            <w:r>
              <w:rPr/>
              <w:t>)</w:t>
            </w:r>
            <w:bookmarkStart w:id="219" w:name="xdx_403_eus-gaap--IncreaseDecreaseInCont"/>
            <w:bookmarkEnd w:id="219"/>
          </w:p>
        </w:tc>
      </w:tr>
      <w:tr>
        <w:trPr/>
        <w:tc>
          <w:tcPr>
            <w:tcW w:w="7130" w:type="dxa"/>
            <w:tcBorders/>
            <w:shd w:fill="CCEEFF" w:val="clear"/>
            <w:vAlign w:val="center"/>
          </w:tcPr>
          <w:p>
            <w:pPr>
              <w:pStyle w:val="TableContents"/>
              <w:bidi w:val="0"/>
              <w:spacing w:before="0" w:after="283"/>
              <w:jc w:val="left"/>
              <w:rPr/>
            </w:pPr>
            <w:r>
              <w:rPr/>
              <w:t>Deferred revenue and 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173,000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19,000</w:t>
            </w:r>
          </w:p>
        </w:tc>
        <w:tc>
          <w:tcPr>
            <w:tcW w:w="110" w:type="dxa"/>
            <w:tcBorders/>
            <w:shd w:fill="CCEEFF" w:val="clear"/>
            <w:vAlign w:val="center"/>
          </w:tcPr>
          <w:p>
            <w:pPr>
              <w:pStyle w:val="TableContents"/>
              <w:bidi w:val="0"/>
              <w:spacing w:before="0" w:after="283"/>
              <w:jc w:val="left"/>
              <w:rPr/>
            </w:pPr>
            <w:r>
              <w:rPr/>
              <w:t> </w:t>
            </w:r>
            <w:bookmarkStart w:id="220" w:name="xdx_400_eus-gaap--NetCashProvidedByUsedI"/>
            <w:bookmarkEnd w:id="220"/>
          </w:p>
        </w:tc>
      </w:tr>
      <w:tr>
        <w:trPr/>
        <w:tc>
          <w:tcPr>
            <w:tcW w:w="713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(7,374,000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(3,648,000</w:t>
            </w:r>
          </w:p>
        </w:tc>
        <w:tc>
          <w:tcPr>
            <w:tcW w:w="110" w:type="dxa"/>
            <w:tcBorders/>
            <w:shd w:fill="FFFFFF" w:val="clear"/>
            <w:vAlign w:val="center"/>
          </w:tcPr>
          <w:p>
            <w:pPr>
              <w:pStyle w:val="TableContents"/>
              <w:bidi w:val="0"/>
              <w:spacing w:before="0" w:after="283"/>
              <w:jc w:val="left"/>
              <w:rPr/>
            </w:pPr>
            <w:r>
              <w:rPr/>
              <w:t>)</w:t>
            </w:r>
            <w:bookmarkStart w:id="221" w:name="xdx_406_eus-gaap--NetCashProvidedByUsedI"/>
            <w:bookmarkEnd w:id="221"/>
          </w:p>
        </w:tc>
      </w:tr>
      <w:tr>
        <w:trPr/>
        <w:tc>
          <w:tcPr>
            <w:tcW w:w="7130"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2" w:name="xdx_40C_eus-gaap--ProceedsFromSaleMaturi"/>
            <w:bookmarkEnd w:id="222"/>
          </w:p>
        </w:tc>
      </w:tr>
      <w:tr>
        <w:trPr/>
        <w:tc>
          <w:tcPr>
            <w:tcW w:w="7130" w:type="dxa"/>
            <w:tcBorders/>
            <w:shd w:fill="FFFFFF" w:val="clear"/>
            <w:vAlign w:val="center"/>
          </w:tcPr>
          <w:p>
            <w:pPr>
              <w:pStyle w:val="TableContents"/>
              <w:bidi w:val="0"/>
              <w:spacing w:before="0" w:after="283"/>
              <w:jc w:val="left"/>
              <w:rPr/>
            </w:pPr>
            <w:r>
              <w:rPr/>
              <w:t>Net proceeds on sale of Eton Pharmaceuticals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3" w:name="xdx_404_eus-gaap--PaymentsToAcquireIntan"/>
            <w:bookmarkEnd w:id="223"/>
          </w:p>
        </w:tc>
      </w:tr>
      <w:tr>
        <w:trPr/>
        <w:tc>
          <w:tcPr>
            <w:tcW w:w="7130" w:type="dxa"/>
            <w:tcBorders/>
            <w:shd w:fill="CCEEFF" w:val="clear"/>
            <w:vAlign w:val="center"/>
          </w:tcPr>
          <w:p>
            <w:pPr>
              <w:pStyle w:val="TableContents"/>
              <w:bidi w:val="0"/>
              <w:spacing w:before="0" w:after="283"/>
              <w:jc w:val="left"/>
              <w:rPr/>
            </w:pPr>
            <w:r>
              <w:rPr/>
              <w:t>Investment in patent and trademark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4" w:name="xdx_40D_ecustom--PurchaseOfProductAndRel"/>
            <w:bookmarkEnd w:id="224"/>
          </w:p>
        </w:tc>
      </w:tr>
      <w:tr>
        <w:trPr/>
        <w:tc>
          <w:tcPr>
            <w:tcW w:w="7130" w:type="dxa"/>
            <w:tcBorders/>
            <w:shd w:fill="FFFFFF" w:val="clear"/>
            <w:vAlign w:val="center"/>
          </w:tcPr>
          <w:p>
            <w:pPr>
              <w:pStyle w:val="TableContents"/>
              <w:bidi w:val="0"/>
              <w:spacing w:before="0" w:after="283"/>
              <w:jc w:val="left"/>
              <w:rPr/>
            </w:pPr>
            <w:r>
              <w:rPr/>
              <w:t>Purchase of product NDAs and related patents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(131,473,000</w:t>
            </w:r>
          </w:p>
        </w:tc>
        <w:tc>
          <w:tcPr>
            <w:tcW w:w="110" w:type="dxa"/>
            <w:tcBorders/>
            <w:shd w:fill="FFFFFF" w:val="clear"/>
            <w:vAlign w:val="center"/>
          </w:tcPr>
          <w:p>
            <w:pPr>
              <w:pStyle w:val="TableContents"/>
              <w:bidi w:val="0"/>
              <w:spacing w:before="0" w:after="283"/>
              <w:jc w:val="left"/>
              <w:rPr/>
            </w:pPr>
            <w:r>
              <w:rPr/>
              <w:t>)</w:t>
            </w:r>
            <w:bookmarkStart w:id="225" w:name="xdx_40B_eus-gaap--PaymentsToAcquirePrope"/>
            <w:bookmarkEnd w:id="225"/>
          </w:p>
        </w:tc>
      </w:tr>
      <w:tr>
        <w:trPr/>
        <w:tc>
          <w:tcPr>
            <w:tcW w:w="7130" w:type="dxa"/>
            <w:tcBorders/>
            <w:shd w:fill="CCEEFF" w:val="clear"/>
            <w:vAlign w:val="center"/>
          </w:tcPr>
          <w:p>
            <w:pPr>
              <w:pStyle w:val="TableContents"/>
              <w:bidi w:val="0"/>
              <w:spacing w:before="0" w:after="283"/>
              <w:jc w:val="left"/>
              <w:rPr/>
            </w:pPr>
            <w:r>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(436,000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(746,000</w:t>
            </w:r>
          </w:p>
        </w:tc>
        <w:tc>
          <w:tcPr>
            <w:tcW w:w="110" w:type="dxa"/>
            <w:tcBorders/>
            <w:shd w:fill="CCEEFF" w:val="clear"/>
            <w:vAlign w:val="center"/>
          </w:tcPr>
          <w:p>
            <w:pPr>
              <w:pStyle w:val="TableContents"/>
              <w:bidi w:val="0"/>
              <w:spacing w:before="0" w:after="283"/>
              <w:jc w:val="left"/>
              <w:rPr/>
            </w:pPr>
            <w:r>
              <w:rPr/>
              <w:t>)</w:t>
            </w:r>
            <w:bookmarkStart w:id="226" w:name="xdx_409_eus-gaap--NetCashProvidedByUsedI"/>
            <w:bookmarkEnd w:id="226"/>
          </w:p>
        </w:tc>
      </w:tr>
      <w:tr>
        <w:trPr/>
        <w:tc>
          <w:tcPr>
            <w:tcW w:w="713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4,993,000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(132,219,000</w:t>
            </w:r>
          </w:p>
        </w:tc>
        <w:tc>
          <w:tcPr>
            <w:tcW w:w="110" w:type="dxa"/>
            <w:tcBorders/>
            <w:shd w:fill="FFFFFF" w:val="clear"/>
            <w:vAlign w:val="center"/>
          </w:tcPr>
          <w:p>
            <w:pPr>
              <w:pStyle w:val="TableContents"/>
              <w:bidi w:val="0"/>
              <w:spacing w:before="0" w:after="283"/>
              <w:jc w:val="left"/>
              <w:rPr/>
            </w:pPr>
            <w:r>
              <w:rPr/>
              <w:t>)</w:t>
            </w:r>
            <w:bookmarkStart w:id="227" w:name="xdx_403_eus-gaap--NetCashProvidedByUsedI"/>
            <w:bookmarkEnd w:id="227"/>
          </w:p>
        </w:tc>
      </w:tr>
      <w:tr>
        <w:trPr/>
        <w:tc>
          <w:tcPr>
            <w:tcW w:w="7130"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8" w:name="xdx_40D_eus-gaap--ProceedsFromNotesPayab"/>
            <w:bookmarkEnd w:id="228"/>
          </w:p>
        </w:tc>
      </w:tr>
      <w:tr>
        <w:trPr/>
        <w:tc>
          <w:tcPr>
            <w:tcW w:w="7130" w:type="dxa"/>
            <w:tcBorders/>
            <w:shd w:fill="FFFFFF" w:val="clear"/>
            <w:vAlign w:val="center"/>
          </w:tcPr>
          <w:p>
            <w:pPr>
              <w:pStyle w:val="TableContents"/>
              <w:bidi w:val="0"/>
              <w:spacing w:before="0" w:after="283"/>
              <w:jc w:val="left"/>
              <w:rPr/>
            </w:pPr>
            <w:r>
              <w:rPr/>
              <w:t>Proceeds from 11.875% notes payable, net of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4,961,000</w:t>
            </w:r>
          </w:p>
        </w:tc>
        <w:tc>
          <w:tcPr>
            <w:tcW w:w="110" w:type="dxa"/>
            <w:tcBorders/>
            <w:shd w:fill="FFFFFF" w:val="clear"/>
            <w:vAlign w:val="center"/>
          </w:tcPr>
          <w:p>
            <w:pPr>
              <w:pStyle w:val="TableContents"/>
              <w:bidi w:val="0"/>
              <w:spacing w:before="0" w:after="283"/>
              <w:jc w:val="left"/>
              <w:rPr/>
            </w:pPr>
            <w:r>
              <w:rPr/>
              <w:t> </w:t>
            </w:r>
            <w:bookmarkStart w:id="229" w:name="xdx_40B_ecustom--ProceedsFromRepaymentsO"/>
            <w:bookmarkEnd w:id="229"/>
          </w:p>
        </w:tc>
      </w:tr>
      <w:tr>
        <w:trPr/>
        <w:tc>
          <w:tcPr>
            <w:tcW w:w="7130" w:type="dxa"/>
            <w:tcBorders/>
            <w:shd w:fill="CCEEFF" w:val="clear"/>
            <w:vAlign w:val="center"/>
          </w:tcPr>
          <w:p>
            <w:pPr>
              <w:pStyle w:val="TableContents"/>
              <w:bidi w:val="0"/>
              <w:spacing w:before="0" w:after="283"/>
              <w:jc w:val="left"/>
              <w:rPr/>
            </w:pPr>
            <w:r>
              <w:rPr/>
              <w:t>Proceeds from Oaktree Loan, net of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61,585,000</w:t>
            </w:r>
          </w:p>
        </w:tc>
        <w:tc>
          <w:tcPr>
            <w:tcW w:w="110" w:type="dxa"/>
            <w:tcBorders/>
            <w:shd w:fill="CCEEFF" w:val="clear"/>
            <w:vAlign w:val="center"/>
          </w:tcPr>
          <w:p>
            <w:pPr>
              <w:pStyle w:val="TableContents"/>
              <w:bidi w:val="0"/>
              <w:spacing w:before="0" w:after="283"/>
              <w:jc w:val="left"/>
              <w:rPr/>
            </w:pPr>
            <w:r>
              <w:rPr/>
              <w:t> </w:t>
            </w:r>
            <w:bookmarkStart w:id="230" w:name="xdx_406_eus-gaap--PaymentsOfDebtIssuance"/>
            <w:bookmarkEnd w:id="230"/>
          </w:p>
        </w:tc>
      </w:tr>
      <w:tr>
        <w:trPr/>
        <w:tc>
          <w:tcPr>
            <w:tcW w:w="7130" w:type="dxa"/>
            <w:tcBorders/>
            <w:shd w:fill="FFFFFF" w:val="clear"/>
            <w:vAlign w:val="center"/>
          </w:tcPr>
          <w:p>
            <w:pPr>
              <w:pStyle w:val="TableContents"/>
              <w:bidi w:val="0"/>
              <w:spacing w:before="0" w:after="283"/>
              <w:jc w:val="left"/>
              <w:rPr/>
            </w:pPr>
            <w:r>
              <w:rPr/>
              <w:t>Payment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31" w:name="xdx_40E_ecustom--PaymentOfPayrollTaxesUp"/>
            <w:bookmarkEnd w:id="231"/>
          </w:p>
        </w:tc>
      </w:tr>
      <w:tr>
        <w:trPr/>
        <w:tc>
          <w:tcPr>
            <w:tcW w:w="7130" w:type="dxa"/>
            <w:tcBorders/>
            <w:shd w:fill="CCEEFF" w:val="clear"/>
            <w:vAlign w:val="center"/>
          </w:tcPr>
          <w:p>
            <w:pPr>
              <w:pStyle w:val="TableContents"/>
              <w:bidi w:val="0"/>
              <w:spacing w:before="0" w:after="283"/>
              <w:jc w:val="left"/>
              <w:rPr/>
            </w:pPr>
            <w:r>
              <w:rPr/>
              <w:t>Payment of payroll taxes upon vesting of PSUs, RSUs and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(1,157,000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(661,000</w:t>
            </w:r>
          </w:p>
        </w:tc>
        <w:tc>
          <w:tcPr>
            <w:tcW w:w="110" w:type="dxa"/>
            <w:tcBorders/>
            <w:shd w:fill="CCEEFF" w:val="clear"/>
            <w:vAlign w:val="center"/>
          </w:tcPr>
          <w:p>
            <w:pPr>
              <w:pStyle w:val="TableContents"/>
              <w:bidi w:val="0"/>
              <w:spacing w:before="0" w:after="283"/>
              <w:jc w:val="left"/>
              <w:rPr/>
            </w:pPr>
            <w:r>
              <w:rPr/>
              <w:t>)</w:t>
            </w:r>
            <w:bookmarkStart w:id="232" w:name="xdx_404_eus-gaap--ProceedsFromStockOptio"/>
            <w:bookmarkEnd w:id="232"/>
          </w:p>
        </w:tc>
      </w:tr>
      <w:tr>
        <w:trPr/>
        <w:tc>
          <w:tcPr>
            <w:tcW w:w="713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337,000</w:t>
            </w:r>
          </w:p>
        </w:tc>
        <w:tc>
          <w:tcPr>
            <w:tcW w:w="110" w:type="dxa"/>
            <w:tcBorders/>
            <w:shd w:fill="FFFFFF" w:val="clear"/>
            <w:vAlign w:val="center"/>
          </w:tcPr>
          <w:p>
            <w:pPr>
              <w:pStyle w:val="TableContents"/>
              <w:bidi w:val="0"/>
              <w:spacing w:before="0" w:after="283"/>
              <w:jc w:val="left"/>
              <w:rPr/>
            </w:pPr>
            <w:r>
              <w:rPr/>
              <w:t> </w:t>
            </w:r>
            <w:bookmarkStart w:id="233" w:name="xdx_405_eus-gaap--ProceedsFromIssuanceOf"/>
            <w:bookmarkEnd w:id="233"/>
          </w:p>
        </w:tc>
      </w:tr>
      <w:tr>
        <w:trPr/>
        <w:tc>
          <w:tcPr>
            <w:tcW w:w="7130" w:type="dxa"/>
            <w:tcBorders/>
            <w:shd w:fill="CCEEFF" w:val="clear"/>
            <w:vAlign w:val="center"/>
          </w:tcPr>
          <w:p>
            <w:pPr>
              <w:pStyle w:val="TableContents"/>
              <w:bidi w:val="0"/>
              <w:spacing w:before="0" w:after="283"/>
              <w:jc w:val="left"/>
              <w:rPr/>
            </w:pPr>
            <w:r>
              <w:rPr/>
              <w:t>Proceeds from B. Riley senior secured note, net of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55,879,000</w:t>
            </w:r>
          </w:p>
        </w:tc>
        <w:tc>
          <w:tcPr>
            <w:tcW w:w="110" w:type="dxa"/>
            <w:tcBorders/>
            <w:shd w:fill="CCEEFF" w:val="clear"/>
            <w:vAlign w:val="center"/>
          </w:tcPr>
          <w:p>
            <w:pPr>
              <w:pStyle w:val="TableContents"/>
              <w:bidi w:val="0"/>
              <w:spacing w:before="0" w:after="283"/>
              <w:jc w:val="left"/>
              <w:rPr/>
            </w:pPr>
            <w:r>
              <w:rPr/>
              <w:t> </w:t>
            </w:r>
            <w:bookmarkStart w:id="234" w:name="xdx_402_eus-gaap--RepaymentsOfSeniorDebt"/>
            <w:bookmarkEnd w:id="234"/>
          </w:p>
        </w:tc>
      </w:tr>
      <w:tr>
        <w:trPr/>
        <w:tc>
          <w:tcPr>
            <w:tcW w:w="7130" w:type="dxa"/>
            <w:tcBorders/>
            <w:shd w:fill="FFFFFF" w:val="clear"/>
            <w:vAlign w:val="center"/>
          </w:tcPr>
          <w:p>
            <w:pPr>
              <w:pStyle w:val="TableContents"/>
              <w:bidi w:val="0"/>
              <w:spacing w:before="0" w:after="283"/>
              <w:jc w:val="left"/>
              <w:rPr/>
            </w:pPr>
            <w:r>
              <w:rPr/>
              <w:t>Repayment of B. Riley senior secured note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(59,750,000</w:t>
            </w:r>
          </w:p>
        </w:tc>
        <w:tc>
          <w:tcPr>
            <w:tcW w:w="110" w:type="dxa"/>
            <w:tcBorders/>
            <w:shd w:fill="FFFFFF" w:val="clear"/>
            <w:vAlign w:val="center"/>
          </w:tcPr>
          <w:p>
            <w:pPr>
              <w:pStyle w:val="TableContents"/>
              <w:bidi w:val="0"/>
              <w:spacing w:before="0" w:after="283"/>
              <w:jc w:val="left"/>
              <w:rPr/>
            </w:pPr>
            <w:r>
              <w:rPr/>
              <w:t>)</w:t>
            </w:r>
            <w:bookmarkStart w:id="235" w:name="xdx_407_eus-gaap--NetCashProvidedByUsedI"/>
            <w:bookmarkEnd w:id="235"/>
          </w:p>
        </w:tc>
      </w:tr>
      <w:tr>
        <w:trPr/>
        <w:tc>
          <w:tcPr>
            <w:tcW w:w="7130" w:type="dxa"/>
            <w:tcBorders/>
            <w:shd w:fill="CCEEFF" w:val="clear"/>
            <w:vAlign w:val="center"/>
          </w:tcPr>
          <w:p>
            <w:pPr>
              <w:pStyle w:val="TableContents"/>
              <w:bidi w:val="0"/>
              <w:spacing w:before="0" w:after="283"/>
              <w:jc w:val="left"/>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(736,000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62,351,000</w:t>
            </w:r>
          </w:p>
        </w:tc>
        <w:tc>
          <w:tcPr>
            <w:tcW w:w="110" w:type="dxa"/>
            <w:tcBorders/>
            <w:shd w:fill="CCEEFF" w:val="clear"/>
            <w:vAlign w:val="center"/>
          </w:tcPr>
          <w:p>
            <w:pPr>
              <w:pStyle w:val="TableContents"/>
              <w:bidi w:val="0"/>
              <w:spacing w:before="0" w:after="283"/>
              <w:jc w:val="left"/>
              <w:rPr/>
            </w:pPr>
            <w:r>
              <w:rPr/>
              <w:t> </w:t>
            </w:r>
            <w:bookmarkStart w:id="236" w:name="xdx_40B_eus-gaap--CashCashEquivalentsRes"/>
            <w:bookmarkEnd w:id="236"/>
          </w:p>
        </w:tc>
      </w:tr>
      <w:tr>
        <w:trPr/>
        <w:tc>
          <w:tcPr>
            <w:tcW w:w="7130" w:type="dxa"/>
            <w:tcBorders/>
            <w:shd w:fill="FFFFFF" w:val="clear"/>
            <w:vAlign w:val="center"/>
          </w:tcPr>
          <w:p>
            <w:pPr>
              <w:pStyle w:val="TableContents"/>
              <w:bidi w:val="0"/>
              <w:spacing w:before="0" w:after="283"/>
              <w:jc w:val="left"/>
              <w:rPr/>
            </w:pPr>
            <w:r>
              <w:rPr/>
              <w:t>NET CHANGE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(3,117,000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(73,516,000</w:t>
            </w:r>
          </w:p>
        </w:tc>
        <w:tc>
          <w:tcPr>
            <w:tcW w:w="110" w:type="dxa"/>
            <w:tcBorders/>
            <w:shd w:fill="FFFFFF" w:val="clear"/>
            <w:vAlign w:val="center"/>
          </w:tcPr>
          <w:p>
            <w:pPr>
              <w:pStyle w:val="TableContents"/>
              <w:bidi w:val="0"/>
              <w:spacing w:before="0" w:after="283"/>
              <w:jc w:val="left"/>
              <w:rPr/>
            </w:pPr>
            <w:r>
              <w:rPr/>
              <w:t>)</w:t>
            </w:r>
            <w:bookmarkStart w:id="237" w:name="xdx_40F_eus-gaap--CashCashEquivalentsRes"/>
            <w:bookmarkEnd w:id="237"/>
          </w:p>
        </w:tc>
      </w:tr>
      <w:tr>
        <w:trPr/>
        <w:tc>
          <w:tcPr>
            <w:tcW w:w="7130"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74,085,000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96,270,000</w:t>
            </w:r>
          </w:p>
        </w:tc>
        <w:tc>
          <w:tcPr>
            <w:tcW w:w="110" w:type="dxa"/>
            <w:tcBorders/>
            <w:shd w:fill="CCEEFF" w:val="clear"/>
            <w:vAlign w:val="center"/>
          </w:tcPr>
          <w:p>
            <w:pPr>
              <w:pStyle w:val="TableContents"/>
              <w:bidi w:val="0"/>
              <w:spacing w:before="0" w:after="283"/>
              <w:jc w:val="left"/>
              <w:rPr/>
            </w:pPr>
            <w:r>
              <w:rPr/>
              <w:t> </w:t>
            </w:r>
            <w:bookmarkStart w:id="238" w:name="xdx_406_eus-gaap--CashCashEquivalentsRes"/>
            <w:bookmarkEnd w:id="238"/>
          </w:p>
        </w:tc>
      </w:tr>
      <w:tr>
        <w:trPr/>
        <w:tc>
          <w:tcPr>
            <w:tcW w:w="7130" w:type="dxa"/>
            <w:tcBorders/>
            <w:shd w:fill="FFFFFF" w:val="clear"/>
            <w:vAlign w:val="center"/>
          </w:tcPr>
          <w:p>
            <w:pPr>
              <w:pStyle w:val="TableContents"/>
              <w:bidi w:val="0"/>
              <w:spacing w:before="0" w:after="283"/>
              <w:jc w:val="left"/>
              <w:rPr/>
            </w:pPr>
            <w:r>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70,968,000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22,754,000</w:t>
            </w:r>
          </w:p>
        </w:tc>
        <w:tc>
          <w:tcPr>
            <w:tcW w:w="110" w:type="dxa"/>
            <w:tcBorders/>
            <w:shd w:fill="FFFFFF" w:val="clear"/>
            <w:vAlign w:val="center"/>
          </w:tcPr>
          <w:p>
            <w:pPr>
              <w:pStyle w:val="TableContents"/>
              <w:bidi w:val="0"/>
              <w:spacing w:before="0" w:after="283"/>
              <w:jc w:val="left"/>
              <w:rPr/>
            </w:pPr>
            <w:r>
              <w:rPr/>
              <w:t> </w:t>
            </w:r>
            <w:bookmarkStart w:id="239" w:name="xdx_404_eus-gaap--SupplementalCashFlowIn"/>
            <w:bookmarkEnd w:id="239"/>
          </w:p>
        </w:tc>
      </w:tr>
      <w:tr>
        <w:trPr/>
        <w:tc>
          <w:tcPr>
            <w:tcW w:w="7130"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0" w:name="xdx_40A_eus-gaap--IncomeTaxesPaidNet_i01"/>
            <w:bookmarkEnd w:id="240"/>
          </w:p>
        </w:tc>
      </w:tr>
      <w:tr>
        <w:trPr/>
        <w:tc>
          <w:tcPr>
            <w:tcW w:w="713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4,000</w:t>
            </w:r>
          </w:p>
        </w:tc>
        <w:tc>
          <w:tcPr>
            <w:tcW w:w="110" w:type="dxa"/>
            <w:tcBorders/>
            <w:shd w:fill="FFFFFF" w:val="clear"/>
            <w:vAlign w:val="center"/>
          </w:tcPr>
          <w:p>
            <w:pPr>
              <w:pStyle w:val="TableContents"/>
              <w:bidi w:val="0"/>
              <w:spacing w:before="0" w:after="283"/>
              <w:jc w:val="left"/>
              <w:rPr/>
            </w:pPr>
            <w:r>
              <w:rPr/>
              <w:t> </w:t>
            </w:r>
            <w:bookmarkStart w:id="241" w:name="xdx_408_eus-gaap--InterestPaidNet_i01_zC"/>
            <w:bookmarkEnd w:id="241"/>
          </w:p>
        </w:tc>
      </w:tr>
      <w:tr>
        <w:trPr/>
        <w:tc>
          <w:tcPr>
            <w:tcW w:w="713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10,316,000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8,076,000</w:t>
            </w:r>
          </w:p>
        </w:tc>
        <w:tc>
          <w:tcPr>
            <w:tcW w:w="110" w:type="dxa"/>
            <w:tcBorders/>
            <w:shd w:fill="CCEEFF" w:val="clear"/>
            <w:vAlign w:val="center"/>
          </w:tcPr>
          <w:p>
            <w:pPr>
              <w:pStyle w:val="TableContents"/>
              <w:bidi w:val="0"/>
              <w:spacing w:before="0" w:after="283"/>
              <w:jc w:val="left"/>
              <w:rPr/>
            </w:pPr>
            <w:r>
              <w:rPr/>
              <w:t> </w:t>
            </w:r>
            <w:bookmarkStart w:id="242" w:name="xdx_400_eus-gaap--CashFlowNoncashInvesti"/>
            <w:bookmarkEnd w:id="242"/>
          </w:p>
        </w:tc>
      </w:tr>
      <w:tr>
        <w:trPr/>
        <w:tc>
          <w:tcPr>
            <w:tcW w:w="7130" w:type="dxa"/>
            <w:tcBorders/>
            <w:shd w:fill="FFFFFF" w:val="clear"/>
            <w:vAlign w:val="center"/>
          </w:tcPr>
          <w:p>
            <w:pPr>
              <w:pStyle w:val="TableContents"/>
              <w:bidi w:val="0"/>
              <w:spacing w:before="0" w:after="283"/>
              <w:jc w:val="left"/>
              <w:rPr/>
            </w:pPr>
            <w:r>
              <w:rPr/>
              <w:t>SUPPLEMENTAL DISCLOSURES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43" w:name="xdx_400_ecustom--ReclassificationOfDefer"/>
            <w:bookmarkEnd w:id="243"/>
          </w:p>
        </w:tc>
      </w:tr>
      <w:tr>
        <w:trPr/>
        <w:tc>
          <w:tcPr>
            <w:tcW w:w="7130" w:type="dxa"/>
            <w:tcBorders/>
            <w:shd w:fill="CCEEFF" w:val="clear"/>
            <w:vAlign w:val="center"/>
          </w:tcPr>
          <w:p>
            <w:pPr>
              <w:pStyle w:val="TableContents"/>
              <w:bidi w:val="0"/>
              <w:spacing w:before="0" w:after="283"/>
              <w:jc w:val="left"/>
              <w:rPr/>
            </w:pPr>
            <w:r>
              <w:rPr/>
              <w:t>Reclassification of deferred 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1,950,000</w:t>
            </w:r>
          </w:p>
        </w:tc>
        <w:tc>
          <w:tcPr>
            <w:tcW w:w="110" w:type="dxa"/>
            <w:tcBorders/>
            <w:shd w:fill="CCEEFF" w:val="clear"/>
            <w:vAlign w:val="center"/>
          </w:tcPr>
          <w:p>
            <w:pPr>
              <w:pStyle w:val="TableContents"/>
              <w:bidi w:val="0"/>
              <w:spacing w:before="0" w:after="283"/>
              <w:jc w:val="left"/>
              <w:rPr/>
            </w:pPr>
            <w:r>
              <w:rPr/>
              <w:t> </w:t>
            </w:r>
            <w:bookmarkStart w:id="244" w:name="xdx_408_ecustom--AccrualOfExitFeeRelated"/>
            <w:bookmarkEnd w:id="244"/>
          </w:p>
        </w:tc>
      </w:tr>
      <w:tr>
        <w:trPr/>
        <w:tc>
          <w:tcPr>
            <w:tcW w:w="7130" w:type="dxa"/>
            <w:tcBorders/>
            <w:shd w:fill="FFFFFF" w:val="clear"/>
            <w:vAlign w:val="center"/>
          </w:tcPr>
          <w:p>
            <w:pPr>
              <w:pStyle w:val="TableContents"/>
              <w:bidi w:val="0"/>
              <w:spacing w:before="0" w:after="283"/>
              <w:jc w:val="left"/>
              <w:rPr/>
            </w:pPr>
            <w:r>
              <w:rPr/>
              <w:t>Accrual of exit fee related to Oaktree Loan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2,275,000</w:t>
            </w:r>
          </w:p>
        </w:tc>
        <w:tc>
          <w:tcPr>
            <w:tcW w:w="11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283"/>
              <w:jc w:val="left"/>
              <w:rPr/>
            </w:pPr>
            <w:r>
              <w:rPr/>
              <w:t>Purchase of property, plant and equipment included 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1_eus-gaap--CapitalExpendituresInc"/>
            <w:bookmarkEnd w:id="245"/>
          </w:p>
        </w:tc>
      </w:tr>
      <w:tr>
        <w:trPr/>
        <w:tc>
          <w:tcPr>
            <w:tcW w:w="713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44,000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115,000</w:t>
            </w:r>
          </w:p>
        </w:tc>
        <w:tc>
          <w:tcPr>
            <w:tcW w:w="110" w:type="dxa"/>
            <w:tcBorders/>
            <w:shd w:fill="FFFFFF" w:val="clear"/>
            <w:vAlign w:val="center"/>
          </w:tcPr>
          <w:p>
            <w:pPr>
              <w:pStyle w:val="TableContents"/>
              <w:bidi w:val="0"/>
              <w:spacing w:before="0" w:after="283"/>
              <w:jc w:val="left"/>
              <w:rPr/>
            </w:pPr>
            <w:r>
              <w:rPr/>
              <w:t> </w:t>
            </w:r>
            <w:bookmarkStart w:id="246" w:name="xdx_40A_eus-gaap--CapitalExpendituresInc"/>
            <w:bookmarkEnd w:id="246"/>
          </w:p>
        </w:tc>
      </w:tr>
      <w:tr>
        <w:trPr/>
        <w:tc>
          <w:tcPr>
            <w:tcW w:w="7130" w:type="dxa"/>
            <w:tcBorders/>
            <w:shd w:fill="CCEEFF" w:val="clear"/>
            <w:vAlign w:val="center"/>
          </w:tcPr>
          <w:p>
            <w:pPr>
              <w:pStyle w:val="TableContents"/>
              <w:bidi w:val="0"/>
              <w:spacing w:before="0" w:after="283"/>
              <w:jc w:val="left"/>
              <w:rPr/>
            </w:pPr>
            <w:r>
              <w:rPr/>
              <w:t>Purchase of property, plant and equipment included in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44,000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115,000</w:t>
            </w:r>
          </w:p>
        </w:tc>
        <w:tc>
          <w:tcPr>
            <w:tcW w:w="110" w:type="dxa"/>
            <w:tcBorders/>
            <w:shd w:fill="CCEEFF" w:val="clear"/>
            <w:vAlign w:val="center"/>
          </w:tcPr>
          <w:p>
            <w:pPr>
              <w:pStyle w:val="TableContents"/>
              <w:bidi w:val="0"/>
              <w:spacing w:before="0" w:after="283"/>
              <w:jc w:val="left"/>
              <w:rPr/>
            </w:pPr>
            <w:r>
              <w:rPr/>
              <w:t> </w:t>
            </w:r>
            <w:bookmarkStart w:id="247" w:name="xdx_407_eus-gaap--RightOfUseAssetObtaine"/>
            <w:bookmarkEnd w:id="247"/>
          </w:p>
        </w:tc>
      </w:tr>
      <w:tr>
        <w:trPr/>
        <w:tc>
          <w:tcPr>
            <w:tcW w:w="7130" w:type="dxa"/>
            <w:tcBorders/>
            <w:shd w:fill="CCEEFF" w:val="clear"/>
            <w:vAlign w:val="center"/>
          </w:tcPr>
          <w:p>
            <w:pPr>
              <w:pStyle w:val="TableContents"/>
              <w:bidi w:val="0"/>
              <w:spacing w:before="0" w:after="283"/>
              <w:jc w:val="left"/>
              <w:rPr/>
            </w:pPr>
            <w:r>
              <w:rPr/>
              <w:t>Right-of-use assets obtained in exchange for new operating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377,000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48" w:name="xdx_40B_ecustom--IncomeTaxesOwedForExerc"/>
            <w:bookmarkEnd w:id="248"/>
          </w:p>
        </w:tc>
      </w:tr>
      <w:tr>
        <w:trPr/>
        <w:tc>
          <w:tcPr>
            <w:tcW w:w="7130" w:type="dxa"/>
            <w:tcBorders/>
            <w:shd w:fill="FFFFFF" w:val="clear"/>
            <w:vAlign w:val="center"/>
          </w:tcPr>
          <w:p>
            <w:pPr>
              <w:pStyle w:val="TableContents"/>
              <w:bidi w:val="0"/>
              <w:spacing w:before="0" w:after="283"/>
              <w:jc w:val="left"/>
              <w:rPr/>
            </w:pPr>
            <w:r>
              <w:rPr/>
              <w:t>Income taxes owed for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1,037,000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9" w:name="xdx_80D_eus-gaap--BusinessDescriptionAnd"/>
      <w:bookmarkEnd w:id="249"/>
      <w:r>
        <w:rPr>
          <w:rFonts w:ascii="Times New Roman;Times;Serif" w:hAnsi="Times New Roman;Times;Serif"/>
          <w:b/>
          <w:i w:val="false"/>
          <w:caps w:val="false"/>
          <w:smallCaps w:val="false"/>
          <w:sz w:val="20"/>
        </w:rPr>
        <w:t xml:space="preserve">NOTE 1. </w:t>
      </w:r>
      <w:bookmarkStart w:id="250" w:name="xdx_82E_zXv8b0tnab43"/>
      <w:bookmarkEnd w:id="250"/>
      <w:r>
        <w:rPr>
          <w:rFonts w:ascii="Times New Roman;Times;Serif" w:hAnsi="Times New Roman;Times;Serif"/>
          <w:b/>
          <w:i w:val="false"/>
          <w:caps w:val="false"/>
          <w:smallCaps w:val="false"/>
          <w:sz w:val="20"/>
        </w:rPr>
        <w:t>DESCRIPTION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and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all of which are marketed under its Harrow name. The Company also owns and operates ImprimisRx, one of the nation’s leading ophthalmology-focused pharmaceutical-compounding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2024 are not necessarily indicative of the results that may be expected for the year ending December 31, 2024 or for any other period. For further information, refer to the Company’s audited consolidated financial statements and notes thereto included in the Company’s Annual Report on Form 10-K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the Company and its wholly-owned and majority- 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Harrow consolidates entities in which it has a controlling financial interest. The Company assesses control under the variable interest entity (“VIE”) model to determine whether the Company is the primary beneficiary of that entity. The Company consolidates </w:t>
      </w:r>
      <w:bookmarkStart w:id="251" w:name="xdx_90D_ecustom--ConsolidationBasisDescr"/>
      <w:bookmarkEnd w:id="251"/>
      <w:r>
        <w:rPr>
          <w:rFonts w:ascii="Times New Roman;Times;Serif" w:hAnsi="Times New Roman;Times;Serif"/>
          <w:b w:val="false"/>
          <w:i w:val="false"/>
          <w:caps w:val="false"/>
          <w:smallCaps w:val="false"/>
          <w:sz w:val="20"/>
        </w:rPr>
        <w:t>(i) entities in which it holds and/or controls, directly or indirectly, more than 50% of the voting rights, and (ii) VIEs for which the Company is deemed to be the primary beneficiary. All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2" w:name="xdx_803_eus-gaap--SignificantAccountingP"/>
      <w:bookmarkEnd w:id="252"/>
      <w:r>
        <w:rPr>
          <w:rFonts w:ascii="Times New Roman;Times;Serif" w:hAnsi="Times New Roman;Times;Serif"/>
          <w:b/>
          <w:i w:val="false"/>
          <w:caps w:val="false"/>
          <w:smallCaps w:val="false"/>
          <w:sz w:val="20"/>
        </w:rPr>
        <w:t xml:space="preserve">NOTE 2. </w:t>
      </w:r>
      <w:bookmarkStart w:id="253" w:name="xdx_82F_zuY0UWIKi7b3"/>
      <w:bookmarkEnd w:id="253"/>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an update for the three and six months ended June 30, 2024 to the significant accounting policies described in the Company’s Annual Report on Form 10-K for the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60_zSRe7y3gkGjj"/>
      <w:bookmarkStart w:id="255" w:name="xdx_841_ecustom--RisksUncertaintiesAndLi"/>
      <w:bookmarkEnd w:id="254"/>
      <w:bookmarkEnd w:id="255"/>
      <w:r>
        <w:rPr>
          <w:rFonts w:ascii="Times New Roman;Times;Serif" w:hAnsi="Times New Roman;Times;Serif"/>
          <w:b/>
          <w:i w:val="false"/>
          <w:caps w:val="false"/>
          <w:smallCaps w:val="false"/>
          <w:sz w:val="20"/>
        </w:rPr>
        <w:t>Risks, Uncertainties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certain regulatory standards, approvals, guidelines and inspections which could impact the Company’s ability to make, dispense, and sell certain products. If the Company was required to cease compounding and selling certain products as a result of regulatory guidelines or inspections, this may have a material impact on the Company’s financial condition, liquidity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6" w:name="xdx_86F_zhUgkKfWdd31"/>
      <w:bookmarkStart w:id="257" w:name="xdx_84A_eus-gaap--CreditLossFinancialIns"/>
      <w:bookmarkEnd w:id="256"/>
      <w:bookmarkEnd w:id="257"/>
      <w:r>
        <w:rPr>
          <w:rFonts w:ascii="Times New Roman;Times;Serif" w:hAnsi="Times New Roman;Times;Serif"/>
          <w:b/>
          <w:i w:val="false"/>
          <w:caps w:val="false"/>
          <w:smallCaps w:val="false"/>
          <w:sz w:val="20"/>
        </w:rPr>
        <w:t>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pStyle w:val="TextBody"/>
        <w:bidi w:val="0"/>
        <w:spacing w:before="0" w:after="0"/>
        <w:ind w:left="0" w:right="0" w:hanging="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determine the provision for credit losses for accounts receivable, the Company has disaggregated its accounts receivable by class of customer at the business component level, as management determined that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receivable balance on the Company’s condensed consolidated balance sheet as of June 30, 2024 was $</w:t>
      </w:r>
      <w:bookmarkStart w:id="258" w:name="xdx_907_eus-gaap--AccountsReceivableNet_"/>
      <w:bookmarkEnd w:id="258"/>
      <w:r>
        <w:rPr>
          <w:rFonts w:ascii="Times New Roman;Times;Serif" w:hAnsi="Times New Roman;Times;Serif"/>
          <w:b w:val="false"/>
          <w:i w:val="false"/>
          <w:caps w:val="false"/>
          <w:smallCaps w:val="false"/>
          <w:sz w:val="20"/>
        </w:rPr>
        <w:t>52,727,000, net of $</w:t>
      </w:r>
      <w:bookmarkStart w:id="259" w:name="xdx_904_eus-gaap--AllowanceForDoubtfulAc"/>
      <w:bookmarkEnd w:id="259"/>
      <w:r>
        <w:rPr>
          <w:rFonts w:ascii="Times New Roman;Times;Serif" w:hAnsi="Times New Roman;Times;Serif"/>
          <w:b w:val="false"/>
          <w:i w:val="false"/>
          <w:caps w:val="false"/>
          <w:smallCaps w:val="false"/>
          <w:sz w:val="20"/>
        </w:rPr>
        <w:t>235,000 of allowances. The following table provides a roll-forward of the allowance for credit losses that is deducted from the amortized cost basis of accounts receivable to present the net amount expected to be collected at June 30, 2024:</w:t>
      </w:r>
    </w:p>
    <w:p>
      <w:pPr>
        <w:pStyle w:val="TextBody"/>
        <w:bidi w:val="0"/>
        <w:spacing w:before="0" w:after="0"/>
        <w:ind w:left="0" w:right="0" w:hanging="0"/>
        <w:jc w:val="both"/>
        <w:rPr>
          <w:caps w:val="false"/>
          <w:smallCaps w:val="false"/>
        </w:rPr>
      </w:pPr>
      <w:bookmarkStart w:id="260" w:name="xdx_899_eus-gaap--AccountsReceivableAllo"/>
      <w:bookmarkEnd w:id="260"/>
      <w:r>
        <w:rPr>
          <w:caps w:val="false"/>
          <w:smallCaps w:val="false"/>
        </w:rPr>
        <w:t> </w:t>
      </w:r>
      <w:bookmarkStart w:id="261" w:name="xdx_8B5_zfT67CB4qB0b"/>
      <w:bookmarkEnd w:id="261"/>
      <w:r>
        <w:rPr>
          <w:rFonts w:ascii="Times New Roman;Times;Serif" w:hAnsi="Times New Roman;Times;Serif"/>
          <w:b w:val="false"/>
          <w:i w:val="false"/>
          <w:caps w:val="false"/>
          <w:smallCaps w:val="false"/>
          <w:sz w:val="20"/>
        </w:rPr>
        <w:t>SCHEDULE OF ACCOUNTS RECEIVABLE ALLOWANCE OF CREDIT LOSS</w:t>
      </w:r>
    </w:p>
    <w:tbl>
      <w:tblPr>
        <w:tblW w:w="4220" w:type="dxa"/>
        <w:jc w:val="left"/>
        <w:tblInd w:w="0" w:type="dxa"/>
        <w:tblLayout w:type="fixed"/>
        <w:tblCellMar>
          <w:top w:w="0" w:type="dxa"/>
          <w:left w:w="0" w:type="dxa"/>
          <w:bottom w:w="0" w:type="dxa"/>
          <w:right w:w="0" w:type="dxa"/>
        </w:tblCellMar>
      </w:tblPr>
      <w:tblGrid>
        <w:gridCol w:w="3110"/>
        <w:gridCol w:w="60"/>
        <w:gridCol w:w="140"/>
        <w:gridCol w:w="800"/>
        <w:gridCol w:w="110"/>
      </w:tblGrid>
      <w:tr>
        <w:trPr/>
        <w:tc>
          <w:tcPr>
            <w:tcW w:w="3110" w:type="dxa"/>
            <w:tcBorders/>
            <w:shd w:fill="CCEEFF" w:val="clear"/>
            <w:vAlign w:val="center"/>
          </w:tcPr>
          <w:p>
            <w:pPr>
              <w:pStyle w:val="TableContents"/>
              <w:bidi w:val="0"/>
              <w:spacing w:before="0" w:after="283"/>
              <w:jc w:val="left"/>
              <w:rPr/>
            </w:pPr>
            <w:r>
              <w:rPr/>
              <w:t>Balance at January 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62" w:name="xdx_98A_eus-gaap--AllowanceForDoubtfulAc"/>
            <w:bookmarkEnd w:id="262"/>
          </w:p>
        </w:tc>
        <w:tc>
          <w:tcPr>
            <w:tcW w:w="800" w:type="dxa"/>
            <w:tcBorders/>
            <w:shd w:fill="CCEEFF" w:val="clear"/>
            <w:vAlign w:val="center"/>
          </w:tcPr>
          <w:p>
            <w:pPr>
              <w:pStyle w:val="TableContents"/>
              <w:bidi w:val="0"/>
              <w:spacing w:before="0" w:after="283"/>
              <w:jc w:val="right"/>
              <w:rPr/>
            </w:pPr>
            <w:r>
              <w:rPr/>
              <w:t>371,000</w:t>
            </w:r>
          </w:p>
        </w:tc>
        <w:tc>
          <w:tcPr>
            <w:tcW w:w="11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Change in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263" w:name="xdx_982_eus-gaap--AllowanceForDoubtfulAc"/>
            <w:bookmarkEnd w:id="263"/>
          </w:p>
        </w:tc>
        <w:tc>
          <w:tcPr>
            <w:tcW w:w="800" w:type="dxa"/>
            <w:tcBorders/>
            <w:shd w:fill="FFFFFF" w:val="clear"/>
            <w:vAlign w:val="center"/>
          </w:tcPr>
          <w:p>
            <w:pPr>
              <w:pStyle w:val="TableContents"/>
              <w:bidi w:val="0"/>
              <w:spacing w:before="0" w:after="283"/>
              <w:jc w:val="right"/>
              <w:rPr/>
            </w:pPr>
            <w:r>
              <w:rPr/>
              <w:t>(96,000</w:t>
            </w:r>
          </w:p>
        </w:tc>
        <w:tc>
          <w:tcPr>
            <w:tcW w:w="110" w:type="dxa"/>
            <w:tcBorders/>
            <w:shd w:fill="FFFFFF" w:val="clear"/>
            <w:vAlign w:val="center"/>
          </w:tcPr>
          <w:p>
            <w:pPr>
              <w:pStyle w:val="TableContents"/>
              <w:bidi w:val="0"/>
              <w:spacing w:before="0" w:after="283"/>
              <w:jc w:val="left"/>
              <w:rPr/>
            </w:pPr>
            <w:r>
              <w:rPr/>
              <w:t>)</w:t>
            </w:r>
          </w:p>
        </w:tc>
      </w:tr>
      <w:tr>
        <w:trPr/>
        <w:tc>
          <w:tcPr>
            <w:tcW w:w="3110" w:type="dxa"/>
            <w:tcBorders/>
            <w:shd w:fill="CCEEFF" w:val="clear"/>
            <w:vAlign w:val="center"/>
          </w:tcPr>
          <w:p>
            <w:pPr>
              <w:pStyle w:val="TableContents"/>
              <w:bidi w:val="0"/>
              <w:spacing w:before="0" w:after="283"/>
              <w:jc w:val="left"/>
              <w:rPr/>
            </w:pPr>
            <w:r>
              <w:rPr/>
              <w:t>Write-offs, net of recoveries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264" w:name="xdx_98C_eus-gaap--AllowanceForDoubtfulAc"/>
            <w:bookmarkEnd w:id="264"/>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(40,000</w:t>
            </w:r>
          </w:p>
        </w:tc>
        <w:tc>
          <w:tcPr>
            <w:tcW w:w="110" w:type="dxa"/>
            <w:tcBorders/>
            <w:shd w:fill="CCEEFF" w:val="clear"/>
            <w:vAlign w:val="center"/>
          </w:tcPr>
          <w:p>
            <w:pPr>
              <w:pStyle w:val="TableContents"/>
              <w:bidi w:val="0"/>
              <w:spacing w:before="0" w:after="283"/>
              <w:jc w:val="left"/>
              <w:rPr/>
            </w:pPr>
            <w:r>
              <w:rPr/>
              <w:t>)</w:t>
            </w:r>
          </w:p>
        </w:tc>
      </w:tr>
      <w:tr>
        <w:trPr/>
        <w:tc>
          <w:tcPr>
            <w:tcW w:w="3110" w:type="dxa"/>
            <w:tcBorders/>
            <w:shd w:fill="FFFFFF" w:val="clear"/>
            <w:vAlign w:val="center"/>
          </w:tcPr>
          <w:p>
            <w:pPr>
              <w:pStyle w:val="TableContents"/>
              <w:bidi w:val="0"/>
              <w:spacing w:before="0" w:after="283"/>
              <w:jc w:val="left"/>
              <w:rPr/>
            </w:pPr>
            <w:r>
              <w:rPr/>
              <w:t>Balance at June 30,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265" w:name="xdx_984_eus-gaap--AllowanceForDoubtfulAc"/>
            <w:bookmarkEnd w:id="265"/>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235,000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66" w:name="xdx_8A5_z7fAa94rtRNk"/>
      <w:bookmarkEnd w:id="26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7" w:name="xdx_864_zqjqmlV87FTi"/>
      <w:bookmarkStart w:id="268" w:name="xdx_84D_eus-gaap--FairValueMeasurementPo"/>
      <w:bookmarkEnd w:id="267"/>
      <w:bookmarkEnd w:id="268"/>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the Company measured its investment in Eton Pharmaceuticals, Inc. (“Eton”) on a recurring basis. The Company’s investment in Eton was classified as a Level 1 as the fair value was determined using quoted market prices in active markets for the same securities. As of December 31, 2023, the fair market value of the Company’s investment in Eton was $</w:t>
      </w:r>
      <w:bookmarkStart w:id="269" w:name="xdx_90C_eus-gaap--InvestmentOwnedAtFairV"/>
      <w:bookmarkEnd w:id="269"/>
      <w:r>
        <w:rPr>
          <w:rFonts w:ascii="Times New Roman;Times;Serif" w:hAnsi="Times New Roman;Times;Serif"/>
          <w:b w:val="false"/>
          <w:i w:val="false"/>
          <w:caps w:val="false"/>
          <w:smallCaps w:val="false"/>
          <w:sz w:val="20"/>
        </w:rPr>
        <w:t xml:space="preserve">8,681,000. In April 2024, the Company sold all </w:t>
      </w:r>
      <w:bookmarkStart w:id="270" w:name="xdx_90A_eus-gaap--SaleOfStockNumberOfSha"/>
      <w:bookmarkEnd w:id="270"/>
      <w:r>
        <w:rPr>
          <w:rFonts w:ascii="Times New Roman;Times;Serif" w:hAnsi="Times New Roman;Times;Serif"/>
          <w:b w:val="false"/>
          <w:i w:val="false"/>
          <w:caps w:val="false"/>
          <w:smallCaps w:val="false"/>
          <w:sz w:val="20"/>
        </w:rPr>
        <w:t>1,982,000 shares of common stock it held of Eton in a block trade at a gross price of $</w:t>
      </w:r>
      <w:bookmarkStart w:id="271" w:name="xdx_903_eus-gaap--SaleOfStockPricePerSha"/>
      <w:bookmarkEnd w:id="271"/>
      <w:r>
        <w:rPr>
          <w:rFonts w:ascii="Times New Roman;Times;Serif" w:hAnsi="Times New Roman;Times;Serif"/>
          <w:b w:val="false"/>
          <w:i w:val="false"/>
          <w:caps w:val="false"/>
          <w:smallCaps w:val="false"/>
          <w:sz w:val="20"/>
        </w:rPr>
        <w:t>3.00 per share. After deducting trading expenses and commissions of approximately $</w:t>
      </w:r>
      <w:bookmarkStart w:id="272" w:name="xdx_906_eus-gaap--OtherExpenses_c2024040"/>
      <w:bookmarkEnd w:id="272"/>
      <w:r>
        <w:rPr>
          <w:rFonts w:ascii="Times New Roman;Times;Serif" w:hAnsi="Times New Roman;Times;Serif"/>
          <w:b w:val="false"/>
          <w:i w:val="false"/>
          <w:caps w:val="false"/>
          <w:smallCaps w:val="false"/>
          <w:sz w:val="20"/>
        </w:rPr>
        <w:t>436,000, the Company received net proceeds of $</w:t>
      </w:r>
      <w:bookmarkStart w:id="273" w:name="xdx_90A_eus-gaap--SaleOfStockConsiderati"/>
      <w:bookmarkEnd w:id="273"/>
      <w:r>
        <w:rPr>
          <w:rFonts w:ascii="Times New Roman;Times;Serif" w:hAnsi="Times New Roman;Times;Serif"/>
          <w:b w:val="false"/>
          <w:i w:val="false"/>
          <w:caps w:val="false"/>
          <w:smallCaps w:val="false"/>
          <w:sz w:val="20"/>
        </w:rPr>
        <w:t>5,510,000 and recorded a loss of $</w:t>
      </w:r>
      <w:bookmarkStart w:id="274" w:name="xdx_908_eus-gaap--GainLossOnInvestments_"/>
      <w:bookmarkEnd w:id="274"/>
      <w:r>
        <w:rPr>
          <w:rFonts w:ascii="Times New Roman;Times;Serif" w:hAnsi="Times New Roman;Times;Serif"/>
          <w:b w:val="false"/>
          <w:i w:val="false"/>
          <w:caps w:val="false"/>
          <w:smallCaps w:val="false"/>
          <w:sz w:val="20"/>
        </w:rPr>
        <w:t>3,171,000 related to the sale of its investment in Eton.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2026 Notes (as defined in Note 11) are carried at face value, including the unamortized premium, less unamortized debt issuance costs, the 2027 Notes (as described in Note 11) are carried at face value less unamortized debt issuance costs, and the Oaktree Loan (as defined in Note 11) is carried at face value less the original issue discount and unamortized debt issuance costs on the condensed consolidated balance sheets and the Company presents fair value for disclosure purposes only. The 2026 Notes and 2027 Notes are classified as Level 1 instruments as the fair value is determined using quoted market prices in active markets for the same securities. The Oaktree Loan is classified as a Level 2 instrument and its fair value is determined through an income approach that considers collateral coverage, yield calibration, yield analysis and any adjustments to implied yield associated with the Company’s fundamental measures.</w:t>
      </w:r>
    </w:p>
    <w:p>
      <w:pPr>
        <w:pStyle w:val="TextBody"/>
        <w:bidi w:val="0"/>
        <w:spacing w:before="0" w:after="0"/>
        <w:ind w:left="0" w:right="0" w:hanging="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5" w:name="xdx_891_eus-gaap--ScheduleOfCarryingValu"/>
      <w:bookmarkEnd w:id="275"/>
      <w:r>
        <w:rPr>
          <w:rFonts w:ascii="Times New Roman;Times;Serif" w:hAnsi="Times New Roman;Times;Serif"/>
          <w:b w:val="false"/>
          <w:i w:val="false"/>
          <w:caps w:val="false"/>
          <w:smallCaps w:val="false"/>
          <w:sz w:val="20"/>
        </w:rPr>
        <w:t>The following table presents the estimated fair values and the carrying values:</w:t>
      </w:r>
    </w:p>
    <w:p>
      <w:pPr>
        <w:pStyle w:val="TextBody"/>
        <w:bidi w:val="0"/>
        <w:spacing w:before="0" w:after="0"/>
        <w:ind w:left="0" w:right="0" w:hanging="0"/>
        <w:jc w:val="both"/>
        <w:rPr>
          <w:caps w:val="false"/>
          <w:smallCaps w:val="false"/>
        </w:rPr>
      </w:pPr>
      <w:r>
        <w:rPr>
          <w:caps w:val="false"/>
          <w:smallCaps w:val="false"/>
        </w:rPr>
        <w:t> </w:t>
      </w:r>
      <w:bookmarkStart w:id="276" w:name="xdx_8B8_zfXQhWGvyIt3"/>
      <w:bookmarkEnd w:id="276"/>
      <w:r>
        <w:rPr>
          <w:rFonts w:ascii="Times New Roman;Times;Serif" w:hAnsi="Times New Roman;Times;Serif"/>
          <w:b w:val="false"/>
          <w:i w:val="false"/>
          <w:caps w:val="false"/>
          <w:smallCaps w:val="false"/>
          <w:sz w:val="20"/>
        </w:rPr>
        <w:t>SCHEDULE OF ESTIMATED FAIR VALUE</w:t>
      </w:r>
    </w:p>
    <w:tbl>
      <w:tblPr>
        <w:tblW w:w="7428" w:type="dxa"/>
        <w:jc w:val="left"/>
        <w:tblInd w:w="0" w:type="dxa"/>
        <w:tblLayout w:type="fixed"/>
        <w:tblCellMar>
          <w:top w:w="0" w:type="dxa"/>
          <w:left w:w="0" w:type="dxa"/>
          <w:bottom w:w="0" w:type="dxa"/>
          <w:right w:w="0" w:type="dxa"/>
        </w:tblCellMar>
      </w:tblPr>
      <w:tblGrid>
        <w:gridCol w:w="1340"/>
        <w:gridCol w:w="60"/>
        <w:gridCol w:w="168"/>
        <w:gridCol w:w="1321"/>
        <w:gridCol w:w="60"/>
        <w:gridCol w:w="60"/>
        <w:gridCol w:w="140"/>
        <w:gridCol w:w="1100"/>
        <w:gridCol w:w="60"/>
        <w:gridCol w:w="60"/>
        <w:gridCol w:w="183"/>
        <w:gridCol w:w="1441"/>
        <w:gridCol w:w="60"/>
        <w:gridCol w:w="60"/>
        <w:gridCol w:w="140"/>
        <w:gridCol w:w="1100"/>
        <w:gridCol w:w="75"/>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4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2023</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pPr>
            <w:r>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2026 Notes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277" w:name="xdx_986_eus-gaap--DebtInstrumentCarrying"/>
            <w:bookmarkEnd w:id="277"/>
          </w:p>
        </w:tc>
        <w:tc>
          <w:tcPr>
            <w:tcW w:w="1321" w:type="dxa"/>
            <w:tcBorders/>
            <w:shd w:fill="CCEEFF" w:val="clear"/>
            <w:vAlign w:val="center"/>
          </w:tcPr>
          <w:p>
            <w:pPr>
              <w:pStyle w:val="TableContents"/>
              <w:bidi w:val="0"/>
              <w:spacing w:before="0" w:after="283"/>
              <w:jc w:val="right"/>
              <w:rPr/>
            </w:pPr>
            <w:r>
              <w:rPr/>
              <w:t>73,607,000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78" w:name="xdx_981_eus-gaap--DebtInstrumentFairValu"/>
            <w:bookmarkEnd w:id="278"/>
          </w:p>
        </w:tc>
        <w:tc>
          <w:tcPr>
            <w:tcW w:w="1100" w:type="dxa"/>
            <w:tcBorders/>
            <w:shd w:fill="CCEEFF" w:val="clear"/>
            <w:vAlign w:val="center"/>
          </w:tcPr>
          <w:p>
            <w:pPr>
              <w:pStyle w:val="TableContents"/>
              <w:bidi w:val="0"/>
              <w:spacing w:before="0" w:after="283"/>
              <w:jc w:val="right"/>
              <w:rPr/>
            </w:pPr>
            <w:r>
              <w:rPr/>
              <w:t>76,470,000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279" w:name="xdx_98F_eus-gaap--DebtInstrumentCarrying"/>
            <w:bookmarkEnd w:id="279"/>
          </w:p>
        </w:tc>
        <w:tc>
          <w:tcPr>
            <w:tcW w:w="1441" w:type="dxa"/>
            <w:tcBorders/>
            <w:shd w:fill="CCEEFF" w:val="clear"/>
            <w:vAlign w:val="center"/>
          </w:tcPr>
          <w:p>
            <w:pPr>
              <w:pStyle w:val="TableContents"/>
              <w:bidi w:val="0"/>
              <w:spacing w:before="0" w:after="283"/>
              <w:jc w:val="right"/>
              <w:rPr/>
            </w:pPr>
            <w:r>
              <w:rPr/>
              <w:t>73,218,000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80" w:name="xdx_98E_eus-gaap--DebtInstrumentFairValu"/>
            <w:bookmarkEnd w:id="280"/>
          </w:p>
        </w:tc>
        <w:tc>
          <w:tcPr>
            <w:tcW w:w="1100" w:type="dxa"/>
            <w:tcBorders/>
            <w:shd w:fill="CCEEFF" w:val="clear"/>
            <w:vAlign w:val="center"/>
          </w:tcPr>
          <w:p>
            <w:pPr>
              <w:pStyle w:val="TableContents"/>
              <w:bidi w:val="0"/>
              <w:spacing w:before="0" w:after="283"/>
              <w:jc w:val="right"/>
              <w:rPr/>
            </w:pPr>
            <w:r>
              <w:rPr/>
              <w:t>70,260,000</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2027 Notes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281" w:name="xdx_981_eus-gaap--DebtInstrumentCarrying"/>
            <w:bookmarkEnd w:id="281"/>
          </w:p>
        </w:tc>
        <w:tc>
          <w:tcPr>
            <w:tcW w:w="1321" w:type="dxa"/>
            <w:tcBorders/>
            <w:shd w:fill="FFFFFF" w:val="clear"/>
            <w:vAlign w:val="center"/>
          </w:tcPr>
          <w:p>
            <w:pPr>
              <w:pStyle w:val="TableContents"/>
              <w:bidi w:val="0"/>
              <w:spacing w:before="0" w:after="283"/>
              <w:jc w:val="right"/>
              <w:rPr/>
            </w:pPr>
            <w:r>
              <w:rPr/>
              <w:t>37,770,000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82" w:name="xdx_98C_eus-gaap--DebtInstrumentFairValu"/>
            <w:bookmarkEnd w:id="282"/>
          </w:p>
        </w:tc>
        <w:tc>
          <w:tcPr>
            <w:tcW w:w="1100" w:type="dxa"/>
            <w:tcBorders/>
            <w:shd w:fill="FFFFFF" w:val="clear"/>
            <w:vAlign w:val="center"/>
          </w:tcPr>
          <w:p>
            <w:pPr>
              <w:pStyle w:val="TableContents"/>
              <w:bidi w:val="0"/>
              <w:spacing w:before="0" w:after="283"/>
              <w:jc w:val="right"/>
              <w:rPr/>
            </w:pPr>
            <w:r>
              <w:rPr/>
              <w:t>43,019,000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bookmarkStart w:id="283" w:name="xdx_988_eus-gaap--DebtInstrumentCarrying"/>
            <w:bookmarkEnd w:id="283"/>
          </w:p>
        </w:tc>
        <w:tc>
          <w:tcPr>
            <w:tcW w:w="1441" w:type="dxa"/>
            <w:tcBorders/>
            <w:shd w:fill="FFFFFF" w:val="clear"/>
            <w:vAlign w:val="center"/>
          </w:tcPr>
          <w:p>
            <w:pPr>
              <w:pStyle w:val="TableContents"/>
              <w:bidi w:val="0"/>
              <w:spacing w:before="0" w:after="283"/>
              <w:jc w:val="right"/>
              <w:rPr/>
            </w:pPr>
            <w:r>
              <w:rPr/>
              <w:t>37,413,000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284" w:name="xdx_98B_eus-gaap--DebtInstrumentFairValu"/>
            <w:bookmarkEnd w:id="284"/>
          </w:p>
        </w:tc>
        <w:tc>
          <w:tcPr>
            <w:tcW w:w="1100" w:type="dxa"/>
            <w:tcBorders/>
            <w:shd w:fill="FFFFFF" w:val="clear"/>
            <w:vAlign w:val="center"/>
          </w:tcPr>
          <w:p>
            <w:pPr>
              <w:pStyle w:val="TableContents"/>
              <w:bidi w:val="0"/>
              <w:spacing w:before="0" w:after="283"/>
              <w:jc w:val="right"/>
              <w:rPr/>
            </w:pPr>
            <w:r>
              <w:rPr/>
              <w:t>40,363,000</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Oaktree Loan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285" w:name="xdx_982_eus-gaap--DebtInstrumentCarrying"/>
            <w:bookmarkEnd w:id="285"/>
          </w:p>
        </w:tc>
        <w:tc>
          <w:tcPr>
            <w:tcW w:w="1321" w:type="dxa"/>
            <w:tcBorders/>
            <w:shd w:fill="CCEEFF" w:val="clear"/>
            <w:vAlign w:val="center"/>
          </w:tcPr>
          <w:p>
            <w:pPr>
              <w:pStyle w:val="TableContents"/>
              <w:bidi w:val="0"/>
              <w:spacing w:before="0" w:after="283"/>
              <w:jc w:val="right"/>
              <w:rPr/>
            </w:pPr>
            <w:r>
              <w:rPr/>
              <w:t>73,646,000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86" w:name="xdx_98D_eus-gaap--DebtInstrumentFairValu"/>
            <w:bookmarkEnd w:id="286"/>
          </w:p>
        </w:tc>
        <w:tc>
          <w:tcPr>
            <w:tcW w:w="1100" w:type="dxa"/>
            <w:tcBorders/>
            <w:shd w:fill="CCEEFF" w:val="clear"/>
            <w:vAlign w:val="center"/>
          </w:tcPr>
          <w:p>
            <w:pPr>
              <w:pStyle w:val="TableContents"/>
              <w:bidi w:val="0"/>
              <w:spacing w:before="0" w:after="283"/>
              <w:jc w:val="right"/>
              <w:rPr/>
            </w:pPr>
            <w:r>
              <w:rPr/>
              <w:t>77,500,000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287" w:name="xdx_985_eus-gaap--DebtInstrumentCarrying"/>
            <w:bookmarkEnd w:id="287"/>
          </w:p>
        </w:tc>
        <w:tc>
          <w:tcPr>
            <w:tcW w:w="1441" w:type="dxa"/>
            <w:tcBorders/>
            <w:shd w:fill="CCEEFF" w:val="clear"/>
            <w:vAlign w:val="center"/>
          </w:tcPr>
          <w:p>
            <w:pPr>
              <w:pStyle w:val="TableContents"/>
              <w:bidi w:val="0"/>
              <w:spacing w:before="0" w:after="283"/>
              <w:jc w:val="right"/>
              <w:rPr/>
            </w:pPr>
            <w:r>
              <w:rPr/>
              <w:t>72,541,000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288" w:name="xdx_981_eus-gaap--DebtInstrumentFairValu"/>
            <w:bookmarkEnd w:id="288"/>
          </w:p>
        </w:tc>
        <w:tc>
          <w:tcPr>
            <w:tcW w:w="1100" w:type="dxa"/>
            <w:tcBorders/>
            <w:shd w:fill="CCEEFF" w:val="clear"/>
            <w:vAlign w:val="center"/>
          </w:tcPr>
          <w:p>
            <w:pPr>
              <w:pStyle w:val="TableContents"/>
              <w:bidi w:val="0"/>
              <w:spacing w:before="0" w:after="283"/>
              <w:jc w:val="right"/>
              <w:rPr/>
            </w:pPr>
            <w:r>
              <w:rPr/>
              <w:t>76,627,000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9" w:name="xdx_8A0_zCXX9IrL4TVe"/>
      <w:bookmarkEnd w:id="28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maturities of these instruments. Based on borrowing rates currently available to the Company, the carrying value of the operating lease liabilities approximate their respective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0" w:name="xdx_861_zvIObP216zdh"/>
      <w:bookmarkStart w:id="291" w:name="xdx_84F_eus-gaap--EarningsPerSharePolicy"/>
      <w:bookmarkEnd w:id="290"/>
      <w:bookmarkEnd w:id="291"/>
      <w:r>
        <w:rPr>
          <w:rFonts w:ascii="Times New Roman;Times;Serif" w:hAnsi="Times New Roman;Times;Serif"/>
          <w:b/>
          <w:i w:val="false"/>
          <w:caps w:val="false"/>
          <w:smallCaps w:val="false"/>
          <w:sz w:val="20"/>
        </w:rPr>
        <w:t>Basic and Diluted Net Loss per Common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and market-based vesting performance stock units (“PSUs”) outstanding during the period. Common equivalent shares (using the treasury stock method) from stock options, unvested RSUs, and unvested PSUs were </w:t>
      </w:r>
      <w:bookmarkStart w:id="292" w:name="xdx_907_eus-gaap--AntidilutiveSecurities"/>
      <w:bookmarkEnd w:id="292"/>
      <w:r>
        <w:rPr>
          <w:rFonts w:ascii="Times New Roman;Times;Serif" w:hAnsi="Times New Roman;Times;Serif"/>
          <w:b w:val="false"/>
          <w:i w:val="false"/>
          <w:caps w:val="false"/>
          <w:smallCaps w:val="false"/>
          <w:sz w:val="20"/>
        </w:rPr>
        <w:t xml:space="preserve">4,488,940 and </w:t>
      </w:r>
      <w:bookmarkStart w:id="293" w:name="xdx_909_eus-gaap--AntidilutiveSecurities"/>
      <w:bookmarkEnd w:id="293"/>
      <w:r>
        <w:rPr>
          <w:rFonts w:ascii="Times New Roman;Times;Serif" w:hAnsi="Times New Roman;Times;Serif"/>
          <w:b w:val="false"/>
          <w:i w:val="false"/>
          <w:caps w:val="false"/>
          <w:smallCaps w:val="false"/>
          <w:sz w:val="20"/>
        </w:rPr>
        <w:t xml:space="preserve">6,131,026 at June 30, 2024 and 2023, respectively, and are excluded in the calculation of diluted net loss per common share for the periods presented because the effect is anti-dilutive. Included in the basic and diluted net loss per share calculation were RSUs awarded to directors that had vested, but the issuance and delivery of the shares are deferred until the director ceases providing services. The number of shares underlying vested RSUs at June 30, 2024 and 2023 was </w:t>
      </w:r>
      <w:bookmarkStart w:id="294" w:name="xdx_901_eus-gaap--StockIssuedDuringPerio"/>
      <w:bookmarkEnd w:id="294"/>
      <w:r>
        <w:rPr>
          <w:rFonts w:ascii="Times New Roman;Times;Serif" w:hAnsi="Times New Roman;Times;Serif"/>
          <w:b w:val="false"/>
          <w:i w:val="false"/>
          <w:caps w:val="false"/>
          <w:smallCaps w:val="false"/>
          <w:sz w:val="20"/>
        </w:rPr>
        <w:t xml:space="preserve">181,038 and </w:t>
      </w:r>
      <w:bookmarkStart w:id="295" w:name="xdx_90E_eus-gaap--StockIssuedDuringPerio"/>
      <w:bookmarkEnd w:id="295"/>
      <w:r>
        <w:rPr>
          <w:rFonts w:ascii="Times New Roman;Times;Serif" w:hAnsi="Times New Roman;Times;Serif"/>
          <w:b w:val="false"/>
          <w:i w:val="false"/>
          <w:caps w:val="false"/>
          <w:smallCaps w:val="false"/>
          <w:sz w:val="20"/>
        </w:rPr>
        <w:t>234,027,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6" w:name="xdx_89C_eus-gaap--ScheduleOfEarningsPerS"/>
      <w:bookmarkEnd w:id="296"/>
      <w:r>
        <w:rPr>
          <w:rFonts w:ascii="Times New Roman;Times;Serif" w:hAnsi="Times New Roman;Times;Serif"/>
          <w:b w:val="false"/>
          <w:i w:val="false"/>
          <w:caps w:val="false"/>
          <w:smallCaps w:val="false"/>
          <w:sz w:val="20"/>
        </w:rPr>
        <w:t>The following table shows the computation of basic and diluted net loss per share of common stock:</w:t>
      </w:r>
    </w:p>
    <w:p>
      <w:pPr>
        <w:pStyle w:val="TextBody"/>
        <w:bidi w:val="0"/>
        <w:spacing w:before="0" w:after="0"/>
        <w:ind w:left="0" w:right="0" w:hanging="0"/>
        <w:jc w:val="both"/>
        <w:rPr>
          <w:caps w:val="false"/>
          <w:smallCaps w:val="false"/>
        </w:rPr>
      </w:pPr>
      <w:r>
        <w:rPr>
          <w:caps w:val="false"/>
          <w:smallCaps w:val="false"/>
        </w:rPr>
        <w:t> </w:t>
      </w:r>
      <w:bookmarkStart w:id="297" w:name="xdx_8BF_zfEFdIEjhWkb"/>
      <w:bookmarkEnd w:id="297"/>
      <w:r>
        <w:rPr>
          <w:rFonts w:ascii="Times New Roman;Times;Serif" w:hAnsi="Times New Roman;Times;Serif"/>
          <w:b w:val="false"/>
          <w:i w:val="false"/>
          <w:caps w:val="false"/>
          <w:smallCaps w:val="false"/>
          <w:sz w:val="20"/>
        </w:rPr>
        <w:t>SCHEDULE OF BASIC NET LOSS PER SHARE OF COMMON STOCK</w:t>
      </w:r>
    </w:p>
    <w:tbl>
      <w:tblPr>
        <w:tblW w:w="10205" w:type="dxa"/>
        <w:jc w:val="left"/>
        <w:tblInd w:w="0" w:type="dxa"/>
        <w:tblLayout w:type="fixed"/>
        <w:tblCellMar>
          <w:top w:w="0" w:type="dxa"/>
          <w:left w:w="0" w:type="dxa"/>
          <w:bottom w:w="0" w:type="dxa"/>
          <w:right w:w="0" w:type="dxa"/>
        </w:tblCellMar>
      </w:tblPr>
      <w:tblGrid>
        <w:gridCol w:w="3666"/>
        <w:gridCol w:w="60"/>
        <w:gridCol w:w="165"/>
        <w:gridCol w:w="1300"/>
        <w:gridCol w:w="112"/>
        <w:gridCol w:w="70"/>
        <w:gridCol w:w="165"/>
        <w:gridCol w:w="1300"/>
        <w:gridCol w:w="95"/>
        <w:gridCol w:w="60"/>
        <w:gridCol w:w="155"/>
        <w:gridCol w:w="1307"/>
        <w:gridCol w:w="105"/>
        <w:gridCol w:w="66"/>
        <w:gridCol w:w="155"/>
        <w:gridCol w:w="1307"/>
        <w:gridCol w:w="117"/>
      </w:tblGrid>
      <w:tr>
        <w:trPr/>
        <w:tc>
          <w:tcPr>
            <w:tcW w:w="36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8" w:name="xdx_496_20240401__20240630_ztk9HWOFgesj"/>
            <w:bookmarkEnd w:id="298"/>
          </w:p>
        </w:tc>
        <w:tc>
          <w:tcPr>
            <w:tcW w:w="146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bookmarkStart w:id="299" w:name="xdx_491_20230401__20230630_zwlqzKPcU6rk"/>
            <w:bookmarkEnd w:id="299"/>
          </w:p>
        </w:tc>
        <w:tc>
          <w:tcPr>
            <w:tcW w:w="146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0" w:name="xdx_49E_20240101__20240630_zpmeQNpueczi"/>
            <w:bookmarkEnd w:id="300"/>
          </w:p>
        </w:tc>
        <w:tc>
          <w:tcPr>
            <w:tcW w:w="1462"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bookmarkStart w:id="301" w:name="xdx_49D_20230101__20230630_zt4Mo9aSWoia"/>
            <w:bookmarkEnd w:id="301"/>
          </w:p>
        </w:tc>
        <w:tc>
          <w:tcPr>
            <w:tcW w:w="1462"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117" w:type="dxa"/>
            <w:tcBorders/>
            <w:vAlign w:val="center"/>
          </w:tcPr>
          <w:p>
            <w:pPr>
              <w:pStyle w:val="TableContents"/>
              <w:bidi w:val="0"/>
              <w:spacing w:before="0" w:after="283"/>
              <w:jc w:val="left"/>
              <w:rPr/>
            </w:pPr>
            <w:r>
              <w:rPr/>
              <w:t> </w:t>
            </w:r>
          </w:p>
        </w:tc>
      </w:tr>
      <w:tr>
        <w:trPr/>
        <w:tc>
          <w:tcPr>
            <w:tcW w:w="36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7" w:type="dxa"/>
            <w:tcBorders/>
            <w:vAlign w:val="center"/>
          </w:tcPr>
          <w:p>
            <w:pPr>
              <w:pStyle w:val="TableContents"/>
              <w:bidi w:val="0"/>
              <w:spacing w:before="0" w:after="283"/>
              <w:jc w:val="left"/>
              <w:rPr/>
            </w:pPr>
            <w:r>
              <w:rPr/>
              <w:t> </w:t>
            </w:r>
          </w:p>
        </w:tc>
      </w:tr>
      <w:tr>
        <w:trPr/>
        <w:tc>
          <w:tcPr>
            <w:tcW w:w="36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2"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4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7" w:type="dxa"/>
            <w:tcBorders/>
            <w:vAlign w:val="center"/>
          </w:tcPr>
          <w:p>
            <w:pPr>
              <w:pStyle w:val="TableContents"/>
              <w:bidi w:val="0"/>
              <w:spacing w:before="0" w:after="283"/>
              <w:jc w:val="left"/>
              <w:rPr/>
            </w:pPr>
            <w:r>
              <w:rPr/>
              <w:t> </w:t>
            </w:r>
            <w:bookmarkStart w:id="302" w:name="xdx_404_eus-gaap--NetIncomeLossAvailable"/>
            <w:bookmarkEnd w:id="302"/>
          </w:p>
        </w:tc>
      </w:tr>
      <w:tr>
        <w:trPr/>
        <w:tc>
          <w:tcPr>
            <w:tcW w:w="3666" w:type="dxa"/>
            <w:tcBorders/>
            <w:shd w:fill="CCEEFF" w:val="clear"/>
            <w:vAlign w:val="center"/>
          </w:tcPr>
          <w:p>
            <w:pPr>
              <w:pStyle w:val="TableContents"/>
              <w:bidi w:val="0"/>
              <w:spacing w:before="0" w:after="283"/>
              <w:jc w:val="both"/>
              <w:rPr/>
            </w:pPr>
            <w:r>
              <w:rPr/>
              <w:t>Numerator – net loss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(6,473,000</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(4,229,000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r>
              <w:rPr/>
              <w:t>(20,038,000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r>
              <w:rPr/>
              <w:t>(10,872,000</w:t>
            </w:r>
          </w:p>
        </w:tc>
        <w:tc>
          <w:tcPr>
            <w:tcW w:w="117" w:type="dxa"/>
            <w:tcBorders/>
            <w:shd w:fill="CCEEFF" w:val="clear"/>
            <w:vAlign w:val="center"/>
          </w:tcPr>
          <w:p>
            <w:pPr>
              <w:pStyle w:val="TableContents"/>
              <w:bidi w:val="0"/>
              <w:spacing w:before="0" w:after="283"/>
              <w:jc w:val="left"/>
              <w:rPr/>
            </w:pPr>
            <w:r>
              <w:rPr/>
              <w:t>)</w:t>
            </w:r>
          </w:p>
        </w:tc>
      </w:tr>
      <w:tr>
        <w:trPr/>
        <w:tc>
          <w:tcPr>
            <w:tcW w:w="3666" w:type="dxa"/>
            <w:tcBorders/>
            <w:shd w:fill="FFFFFF" w:val="clear"/>
            <w:vAlign w:val="center"/>
          </w:tcPr>
          <w:p>
            <w:pPr>
              <w:pStyle w:val="TableContents"/>
              <w:bidi w:val="0"/>
              <w:spacing w:before="0" w:after="283"/>
              <w:jc w:val="left"/>
              <w:rPr/>
            </w:pPr>
            <w:r>
              <w:rPr/>
              <w:t>Denominator – weighted average number of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03" w:name="xdx_90A_eus-gaap--WeightedAverageNumberO"/>
            <w:bookmarkStart w:id="304" w:name="xdx_904_eus-gaap--WeightedAverageNumberO"/>
            <w:bookmarkEnd w:id="303"/>
            <w:bookmarkEnd w:id="304"/>
            <w:r>
              <w:rPr/>
              <w:t>35,618,977</w:t>
            </w:r>
          </w:p>
        </w:tc>
        <w:tc>
          <w:tcPr>
            <w:tcW w:w="11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05" w:name="xdx_909_eus-gaap--WeightedAverageNumberO"/>
            <w:bookmarkStart w:id="306" w:name="xdx_906_eus-gaap--WeightedAverageNumberO"/>
            <w:bookmarkEnd w:id="305"/>
            <w:bookmarkEnd w:id="306"/>
            <w:r>
              <w:rPr/>
              <w:t>30,458,677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07" w:name="xdx_90F_eus-gaap--WeightedAverageNumberO"/>
            <w:bookmarkStart w:id="308" w:name="xdx_907_eus-gaap--WeightedAverageNumberO"/>
            <w:bookmarkEnd w:id="307"/>
            <w:bookmarkEnd w:id="308"/>
            <w:r>
              <w:rPr/>
              <w:t>35,544,312</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09" w:name="xdx_90C_eus-gaap--WeightedAverageNumberO"/>
            <w:bookmarkStart w:id="310" w:name="xdx_90C_eus-gaap--WeightedAverageNumberO"/>
            <w:bookmarkEnd w:id="309"/>
            <w:bookmarkEnd w:id="310"/>
            <w:r>
              <w:rPr/>
              <w:t>30,379,354</w:t>
            </w:r>
          </w:p>
        </w:tc>
        <w:tc>
          <w:tcPr>
            <w:tcW w:w="117" w:type="dxa"/>
            <w:tcBorders/>
            <w:shd w:fill="FFFFFF" w:val="clear"/>
            <w:vAlign w:val="center"/>
          </w:tcPr>
          <w:p>
            <w:pPr>
              <w:pStyle w:val="TableContents"/>
              <w:bidi w:val="0"/>
              <w:spacing w:before="0" w:after="283"/>
              <w:jc w:val="left"/>
              <w:rPr/>
            </w:pPr>
            <w:r>
              <w:rPr/>
              <w:t> </w:t>
            </w:r>
          </w:p>
        </w:tc>
      </w:tr>
      <w:tr>
        <w:trPr/>
        <w:tc>
          <w:tcPr>
            <w:tcW w:w="3666" w:type="dxa"/>
            <w:tcBorders/>
            <w:shd w:fill="CCEEFF" w:val="clear"/>
            <w:vAlign w:val="center"/>
          </w:tcPr>
          <w:p>
            <w:pPr>
              <w:pStyle w:val="TableContents"/>
              <w:bidi w:val="0"/>
              <w:spacing w:before="0" w:after="283"/>
              <w:jc w:val="left"/>
              <w:rPr>
                <w:b/>
              </w:rPr>
            </w:pPr>
            <w:r>
              <w:rPr>
                <w:b/>
              </w:rPr>
              <w:t>Net loss per share, basic and diluted</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11" w:name="xdx_90D_eus-gaap--EarningsPerShareDilute"/>
            <w:bookmarkStart w:id="312" w:name="xdx_909_eus-gaap--EarningsPerShareBasic_"/>
            <w:bookmarkEnd w:id="311"/>
            <w:bookmarkEnd w:id="312"/>
            <w:r>
              <w:rPr/>
              <w:t>(0.18</w:t>
            </w:r>
          </w:p>
        </w:tc>
        <w:tc>
          <w:tcPr>
            <w:tcW w:w="112" w:type="dxa"/>
            <w:tcBorders/>
            <w:shd w:fill="CCEEFF" w:val="clear"/>
            <w:vAlign w:val="center"/>
          </w:tcPr>
          <w:p>
            <w:pPr>
              <w:pStyle w:val="TableContents"/>
              <w:bidi w:val="0"/>
              <w:spacing w:before="0" w:after="283"/>
              <w:jc w:val="left"/>
              <w:rPr/>
            </w:pPr>
            <w:r>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13" w:name="xdx_905_eus-gaap--EarningsPerShareDilute"/>
            <w:bookmarkStart w:id="314" w:name="xdx_909_eus-gaap--EarningsPerShareBasic_"/>
            <w:bookmarkEnd w:id="313"/>
            <w:bookmarkEnd w:id="314"/>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15" w:name="xdx_906_eus-gaap--EarningsPerShareDilute"/>
            <w:bookmarkStart w:id="316" w:name="xdx_903_eus-gaap--EarningsPerShareBasic_"/>
            <w:bookmarkEnd w:id="315"/>
            <w:bookmarkEnd w:id="316"/>
            <w:r>
              <w:rPr/>
              <w:t>(0.56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317" w:name="xdx_904_eus-gaap--EarningsPerShareDilute"/>
            <w:bookmarkStart w:id="318" w:name="xdx_90C_eus-gaap--EarningsPerShareBasic_"/>
            <w:bookmarkEnd w:id="317"/>
            <w:bookmarkEnd w:id="318"/>
            <w:r>
              <w:rPr/>
              <w:t>(0.36</w:t>
            </w:r>
          </w:p>
        </w:tc>
        <w:tc>
          <w:tcPr>
            <w:tcW w:w="11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19" w:name="xdx_8A7_zUhwjFZwnqs1"/>
      <w:bookmarkEnd w:id="31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0" w:name="xdx_86B_zEfoKYjrqmB8"/>
      <w:bookmarkStart w:id="321" w:name="xdx_841_eus-gaap--IncomeTaxPolicyTextBlo"/>
      <w:bookmarkEnd w:id="320"/>
      <w:bookmarkEnd w:id="321"/>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was </w:t>
      </w:r>
      <w:bookmarkStart w:id="322" w:name="xdx_90A_eus-gaap--EffectiveIncomeTaxRate"/>
      <w:bookmarkEnd w:id="322"/>
      <w:r>
        <w:rPr>
          <w:rFonts w:ascii="Times New Roman;Times;Serif" w:hAnsi="Times New Roman;Times;Serif"/>
          <w:b w:val="false"/>
          <w:i w:val="false"/>
          <w:caps w:val="false"/>
          <w:smallCaps w:val="false"/>
          <w:sz w:val="20"/>
        </w:rPr>
        <w:t xml:space="preserve">3.38% and </w:t>
      </w:r>
      <w:bookmarkStart w:id="323" w:name="xdx_900_eus-gaap--EffectiveIncomeTaxRate"/>
      <w:bookmarkEnd w:id="323"/>
      <w:r>
        <w:rPr>
          <w:rFonts w:ascii="Times New Roman;Times;Serif" w:hAnsi="Times New Roman;Times;Serif"/>
          <w:b w:val="false"/>
          <w:i w:val="false"/>
          <w:caps w:val="false"/>
          <w:smallCaps w:val="false"/>
          <w:sz w:val="20"/>
        </w:rPr>
        <w:t xml:space="preserve">(2.71)% for the six months ended June 30, 2024 and 2023, respectively. The Company’s effective tax rate for the six months ended June 30, 2024 and 2023 differs from the U.S. federal statutory tax rate of </w:t>
      </w:r>
      <w:bookmarkStart w:id="324" w:name="xdx_902_eus-gaap--EffectiveIncomeTaxRate"/>
      <w:bookmarkStart w:id="325" w:name="xdx_90E_eus-gaap--EffectiveIncomeTaxRate"/>
      <w:bookmarkEnd w:id="324"/>
      <w:bookmarkEnd w:id="325"/>
      <w:r>
        <w:rPr>
          <w:rFonts w:ascii="Times New Roman;Times;Serif" w:hAnsi="Times New Roman;Times;Serif"/>
          <w:b w:val="false"/>
          <w:i w:val="false"/>
          <w:caps w:val="false"/>
          <w:smallCaps w:val="false"/>
          <w:sz w:val="20"/>
        </w:rPr>
        <w:t>21% due to state taxes, permanent book-tax differences related to Internal Revenue Code of 1986, as amended (“IRC”), Section 162(m) excess officer compensation limitation and share-based compensation and the change in valuation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and December 31, 2023, there were </w:t>
      </w:r>
      <w:bookmarkStart w:id="326" w:name="xdx_90E_eus-gaap--UnrecognizedTaxBenefit"/>
      <w:bookmarkStart w:id="327" w:name="xdx_907_eus-gaap--UnrecognizedTaxBenefit"/>
      <w:bookmarkEnd w:id="326"/>
      <w:bookmarkEnd w:id="327"/>
      <w:r>
        <w:rPr>
          <w:rFonts w:ascii="Times New Roman;Times;Serif" w:hAnsi="Times New Roman;Times;Serif"/>
          <w:b w:val="false"/>
          <w:i w:val="false"/>
          <w:caps w:val="false"/>
          <w:smallCaps w:val="false"/>
          <w:sz w:val="20"/>
        </w:rPr>
        <w:t>no unrecognized tax benefits included in the condensed consolidated balance sheets that would, if recognized, affect the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8" w:name="xdx_86C_z2VjujtgsFY7"/>
      <w:bookmarkStart w:id="329" w:name="xdx_84A_eus-gaap--InvestmentPolicyTextBl"/>
      <w:bookmarkEnd w:id="328"/>
      <w:bookmarkEnd w:id="329"/>
      <w:r>
        <w:rPr>
          <w:rFonts w:ascii="Times New Roman;Times;Serif" w:hAnsi="Times New Roman;Times;Serif"/>
          <w:b/>
          <w:i w:val="false"/>
          <w:caps w:val="false"/>
          <w:smallCaps w:val="false"/>
          <w:sz w:val="20"/>
        </w:rPr>
        <w:t>Investment in Melt Pharmaceuticals, Inc. –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owns </w:t>
      </w:r>
      <w:bookmarkStart w:id="330" w:name="xdx_900_eus-gaap--InvestmentOwnedBalance"/>
      <w:bookmarkEnd w:id="330"/>
      <w:r>
        <w:rPr>
          <w:rFonts w:ascii="Times New Roman;Times;Serif" w:hAnsi="Times New Roman;Times;Serif"/>
          <w:b w:val="false"/>
          <w:i w:val="false"/>
          <w:caps w:val="false"/>
          <w:smallCaps w:val="false"/>
          <w:sz w:val="20"/>
        </w:rPr>
        <w:t xml:space="preserve">3,500,000 shares of common stock and </w:t>
      </w:r>
      <w:bookmarkStart w:id="331" w:name="xdx_908_eus-gaap--InvestmentOwnedBalance"/>
      <w:bookmarkEnd w:id="331"/>
      <w:r>
        <w:rPr>
          <w:rFonts w:ascii="Times New Roman;Times;Serif" w:hAnsi="Times New Roman;Times;Serif"/>
          <w:b w:val="false"/>
          <w:i w:val="false"/>
          <w:caps w:val="false"/>
          <w:smallCaps w:val="false"/>
          <w:sz w:val="20"/>
        </w:rPr>
        <w:t xml:space="preserve">2,334,256 shares of preferred stock of Melt (representing in aggregate approximately </w:t>
      </w:r>
      <w:bookmarkStart w:id="332" w:name="xdx_908_eus-gaap--EquityMethodInvestment"/>
      <w:bookmarkEnd w:id="332"/>
      <w:r>
        <w:rPr>
          <w:rFonts w:ascii="Times New Roman;Times;Serif" w:hAnsi="Times New Roman;Times;Serif"/>
          <w:b w:val="false"/>
          <w:i w:val="false"/>
          <w:caps w:val="false"/>
          <w:smallCaps w:val="false"/>
          <w:sz w:val="20"/>
        </w:rPr>
        <w:t>46% of Melt’s equity interests as of June 30, 2024).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Therefore the Company uses the equity method of accounting for the Melt investment. Under this method, the Company recognizes earnings and losses in Melt in its consolidated financial statements and adjusts the carrying amount of its investment in Melt accordingly. Any intra-entity profits and losses are eliminated.</w:t>
      </w:r>
    </w:p>
    <w:p>
      <w:pPr>
        <w:pStyle w:val="TextBody"/>
        <w:bidi w:val="0"/>
        <w:spacing w:before="0" w:after="0"/>
        <w:ind w:left="0" w:right="0" w:hanging="0"/>
        <w:jc w:val="both"/>
        <w:rPr>
          <w:caps w:val="false"/>
          <w:smallCaps w:val="false"/>
        </w:rPr>
      </w:pPr>
      <w:r>
        <w:rPr>
          <w:caps w:val="false"/>
          <w:smallCaps w:val="false"/>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quarterly basis, management assesses whether there are any indicators that the carrying value of the Company’s equity method investments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The Company has no investments other than its common stock and preferred stock positions in Melt and no other requirements to advance funds to Melt.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3" w:name="xdx_897_eus-gaap--InvestmentTableTextBlo"/>
      <w:bookmarkEnd w:id="333"/>
      <w:r>
        <w:rPr>
          <w:rFonts w:ascii="Times New Roman;Times;Serif" w:hAnsi="Times New Roman;Times;Serif"/>
          <w:b w:val="false"/>
          <w:i w:val="false"/>
          <w:caps w:val="false"/>
          <w:smallCaps w:val="false"/>
          <w:sz w:val="20"/>
        </w:rPr>
        <w:t>The following table summarizes the Company’s investments in Melt as of June 30,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34" w:name="xdx_8B6_zObxqkcw9Imh"/>
      <w:bookmarkEnd w:id="334"/>
      <w:r>
        <w:rPr>
          <w:rFonts w:ascii="Times New Roman;Times;Serif" w:hAnsi="Times New Roman;Times;Serif"/>
          <w:b w:val="false"/>
          <w:i w:val="false"/>
          <w:caps w:val="false"/>
          <w:smallCaps w:val="false"/>
          <w:sz w:val="20"/>
        </w:rPr>
        <w:t>SCHEDULE OF INVESTMENT </w:t>
      </w:r>
    </w:p>
    <w:tbl>
      <w:tblPr>
        <w:tblW w:w="6569" w:type="dxa"/>
        <w:jc w:val="left"/>
        <w:tblInd w:w="0" w:type="dxa"/>
        <w:tblLayout w:type="fixed"/>
        <w:tblCellMar>
          <w:top w:w="0" w:type="dxa"/>
          <w:left w:w="0" w:type="dxa"/>
          <w:bottom w:w="0" w:type="dxa"/>
          <w:right w:w="0" w:type="dxa"/>
        </w:tblCellMar>
      </w:tblPr>
      <w:tblGrid>
        <w:gridCol w:w="1475"/>
        <w:gridCol w:w="60"/>
        <w:gridCol w:w="140"/>
        <w:gridCol w:w="1100"/>
        <w:gridCol w:w="60"/>
        <w:gridCol w:w="60"/>
        <w:gridCol w:w="264"/>
        <w:gridCol w:w="2215"/>
        <w:gridCol w:w="95"/>
        <w:gridCol w:w="60"/>
        <w:gridCol w:w="227"/>
        <w:gridCol w:w="738"/>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283"/>
              <w:jc w:val="center"/>
              <w:rPr>
                <w:b/>
              </w:rPr>
            </w:pPr>
            <w:r>
              <w:rPr>
                <w:b/>
              </w:rPr>
              <w:t>Share of Equity Method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 xml:space="preserve">Net </w:t>
              <w:br/>
              <w:t>Carrying</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both"/>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35" w:name="xdx_981_eus-gaap--EquitySecuritiesFvNiCo"/>
            <w:bookmarkEnd w:id="335"/>
          </w:p>
        </w:tc>
        <w:tc>
          <w:tcPr>
            <w:tcW w:w="1100" w:type="dxa"/>
            <w:tcBorders/>
            <w:shd w:fill="CCEEFF" w:val="clear"/>
            <w:vAlign w:val="center"/>
          </w:tcPr>
          <w:p>
            <w:pPr>
              <w:pStyle w:val="TableContents"/>
              <w:bidi w:val="0"/>
              <w:spacing w:before="0" w:after="283"/>
              <w:jc w:val="right"/>
              <w:rPr/>
            </w:pPr>
            <w:r>
              <w:rPr/>
              <w:t>5,810,000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bookmarkStart w:id="336" w:name="xdx_98E_eus-gaap--EquitySecuritiesFvNiGa"/>
            <w:bookmarkEnd w:id="336"/>
          </w:p>
        </w:tc>
        <w:tc>
          <w:tcPr>
            <w:tcW w:w="2215" w:type="dxa"/>
            <w:tcBorders/>
            <w:shd w:fill="CCEEFF" w:val="clear"/>
            <w:vAlign w:val="center"/>
          </w:tcPr>
          <w:p>
            <w:pPr>
              <w:pStyle w:val="TableContents"/>
              <w:bidi w:val="0"/>
              <w:spacing w:before="0" w:after="283"/>
              <w:jc w:val="right"/>
              <w:rPr/>
            </w:pPr>
            <w:r>
              <w:rPr/>
              <w:t>(5,810,000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bookmarkStart w:id="337" w:name="xdx_980_eus-gaap--EquitySecuritiesFvNi_i"/>
            <w:bookmarkEnd w:id="337"/>
          </w:p>
        </w:tc>
        <w:tc>
          <w:tcPr>
            <w:tcW w:w="738" w:type="dxa"/>
            <w:tcBorders/>
            <w:shd w:fill="CCEEFF" w:val="cle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both"/>
              <w:rPr/>
            </w:pPr>
            <w:r>
              <w:rPr/>
              <w:t>Preferred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38" w:name="xdx_981_eus-gaap--EquitySecuritiesFvNiCo"/>
            <w:bookmarkEnd w:id="338"/>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18,397,000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39" w:name="xdx_980_eus-gaap--EquitySecuritiesFvNiGa"/>
            <w:bookmarkEnd w:id="339"/>
          </w:p>
        </w:tc>
        <w:tc>
          <w:tcPr>
            <w:tcW w:w="2215" w:type="dxa"/>
            <w:tcBorders>
              <w:bottom w:val="single" w:sz="12" w:space="0" w:color="000000"/>
            </w:tcBorders>
            <w:shd w:fill="FFFFFF" w:val="clear"/>
            <w:tcMar>
              <w:bottom w:w="28" w:type="dxa"/>
            </w:tcMar>
            <w:vAlign w:val="center"/>
          </w:tcPr>
          <w:p>
            <w:pPr>
              <w:pStyle w:val="TableContents"/>
              <w:bidi w:val="0"/>
              <w:spacing w:before="0" w:after="283"/>
              <w:jc w:val="right"/>
              <w:rPr/>
            </w:pPr>
            <w:r>
              <w:rPr/>
              <w:t>(18,397,000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340" w:name="xdx_982_eus-gaap--EquitySecuritiesFvNi_i"/>
            <w:bookmarkEnd w:id="340"/>
          </w:p>
        </w:tc>
        <w:tc>
          <w:tcPr>
            <w:tcW w:w="73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1" w:name="xdx_986_eus-gaap--EquitySecuritiesFvNiCo"/>
            <w:bookmarkEnd w:id="34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24,207,000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2" w:name="xdx_985_eus-gaap--EquitySecuritiesFvNiGa"/>
            <w:bookmarkEnd w:id="342"/>
          </w:p>
        </w:tc>
        <w:tc>
          <w:tcPr>
            <w:tcW w:w="2215" w:type="dxa"/>
            <w:tcBorders>
              <w:bottom w:val="double" w:sz="6" w:space="0" w:color="000000"/>
            </w:tcBorders>
            <w:shd w:fill="CCEEFF" w:val="clear"/>
            <w:tcMar>
              <w:bottom w:w="28" w:type="dxa"/>
            </w:tcMar>
            <w:vAlign w:val="center"/>
          </w:tcPr>
          <w:p>
            <w:pPr>
              <w:pStyle w:val="TableContents"/>
              <w:bidi w:val="0"/>
              <w:spacing w:before="0" w:after="283"/>
              <w:jc w:val="right"/>
              <w:rPr/>
            </w:pPr>
            <w:r>
              <w:rPr/>
              <w:t>(24,207,000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343" w:name="xdx_98C_eus-gaap--EquitySecuritiesFvNi_i"/>
            <w:bookmarkEnd w:id="343"/>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4" w:name="xdx_8AB_zw0cMEMlZbP9"/>
      <w:bookmarkEnd w:id="3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4 for more information and related party disclosure regarding Melt.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5" w:name="xdx_869_zGFAz8A5KZL7"/>
      <w:bookmarkStart w:id="346" w:name="xdx_843_eus-gaap--NewAccountingPronounce"/>
      <w:bookmarkEnd w:id="345"/>
      <w:bookmarkEnd w:id="346"/>
      <w:r>
        <w:rPr>
          <w:rFonts w:ascii="Times New Roman;Times;Serif" w:hAnsi="Times New Roman;Times;Serif"/>
          <w:b/>
          <w:i w:val="false"/>
          <w:caps w:val="false"/>
          <w:smallCaps w:val="false"/>
          <w:sz w:val="20"/>
        </w:rPr>
        <w:t>Accounting Guidance Issued but Not Adopted at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2023, the Financial Accounting Standards Board (“FASB”) issued Accounting Standards Update (“ASU”) 2023-05, </w:t>
      </w:r>
      <w:r>
        <w:rPr>
          <w:rFonts w:ascii="Times New Roman;Times;Serif" w:hAnsi="Times New Roman;Times;Serif"/>
          <w:b w:val="false"/>
          <w:i/>
          <w:caps w:val="false"/>
          <w:smallCaps w:val="false"/>
          <w:sz w:val="20"/>
        </w:rPr>
        <w:t>Business Combinations—Joint Venture Formations (Subtopic 805-60): Recognition and Initial Measurement</w:t>
      </w:r>
      <w:r>
        <w:rPr>
          <w:rFonts w:ascii="Times New Roman;Times;Serif" w:hAnsi="Times New Roman;Times;Serif"/>
          <w:b w:val="false"/>
          <w:i w:val="false"/>
          <w:caps w:val="false"/>
          <w:smallCaps w:val="false"/>
          <w:sz w:val="20"/>
        </w:rPr>
        <w:t>, which applies to the formation of entities that meet the definition of a joint venture (or a corporate joint venture) and requires joint ventures to initially measure all contributions received upon formation at fair value. The new guidance does not impact accounting by the venturers. The new guidance is applicable to joint venture entities with a formation date on or after January 1, 2025 on a prospective basis. Joint ventures formed prior to the effective date may elect to apply the new guidance retrospectively back to their original formation date. The Company will apply the guidance in ASU 2023-05 prospectively to any future arrangements meeting the definition of a joint venture.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2023, FASB issued ASU 2023-06, </w:t>
      </w:r>
      <w:r>
        <w:rPr>
          <w:rFonts w:ascii="Times New Roman;Times;Serif" w:hAnsi="Times New Roman;Times;Serif"/>
          <w:b w:val="false"/>
          <w:i/>
          <w:caps w:val="false"/>
          <w:smallCaps w:val="false"/>
          <w:sz w:val="20"/>
        </w:rPr>
        <w:t>Disclosure Improvements—Codification Amendments in Response to the SEC’s Disclosure Update and Simplification Initiative</w:t>
      </w:r>
      <w:r>
        <w:rPr>
          <w:rFonts w:ascii="Times New Roman;Times;Serif" w:hAnsi="Times New Roman;Times;Serif"/>
          <w:b w:val="false"/>
          <w:i w:val="false"/>
          <w:caps w:val="false"/>
          <w:smallCaps w:val="false"/>
          <w:sz w:val="20"/>
        </w:rPr>
        <w:t>. This ASU modifies the disclosure or presentation requirements of a variety of topics in the codification by aligning them with the 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FASB issued ASU 2023-07, </w:t>
      </w:r>
      <w:r>
        <w:rPr>
          <w:rFonts w:ascii="Times New Roman;Times;Serif" w:hAnsi="Times New Roman;Times;Serif"/>
          <w:b w:val="false"/>
          <w:i/>
          <w:caps w:val="false"/>
          <w:smallCaps w:val="false"/>
          <w:sz w:val="20"/>
        </w:rPr>
        <w:t>Segment Reporting (Topic 280) - Improvements to Reportable Segment Disclosures</w:t>
      </w:r>
      <w:r>
        <w:rPr>
          <w:rFonts w:ascii="Times New Roman;Times;Serif" w:hAnsi="Times New Roman;Times;Serif"/>
          <w:b w:val="false"/>
          <w:i w:val="false"/>
          <w:caps w:val="false"/>
          <w:smallCaps w:val="false"/>
          <w:sz w:val="20"/>
        </w:rPr>
        <w:t>, which enhances the disclosures required for operating segments in the Company’s annual and interim consolidated financial statements. ASU 2023-07 is effective for the Company in our annual reporting for fiscal 2024 and for interim period reporting beginning in fiscal 2025 on a retrospective basis, with all required disclosures to be made for all prior periods presented in the consolidated financial statements. Early adoption is permitted. The Company is currently evaluating the impact of ASU 2023-07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which enhances the disclosures required for income taxes in the Company’s annual consolidated financial statements. Notably, this ASU requires entities to disclose specific categories in the effective tax rate reconciliation and provide additional information for reconciling items that meet a quantitative threshold. ASU 2023-09 is effective for the Company in its annual reporting for fiscal year 2025 on a prospective basis. Early adoption and retrospective reporting are permitted. The Company is currently evaluating the impact of ASU 2023-09 on its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7" w:name="xdx_855_zc0sj2qKi3Wi"/>
      <w:bookmarkEnd w:id="34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8" w:name="xdx_80F_eus-gaap--RevenueFromContractWit"/>
      <w:bookmarkEnd w:id="348"/>
      <w:r>
        <w:rPr>
          <w:rFonts w:ascii="Times New Roman;Times;Serif" w:hAnsi="Times New Roman;Times;Serif"/>
          <w:b/>
          <w:i w:val="false"/>
          <w:caps w:val="false"/>
          <w:smallCaps w:val="false"/>
          <w:sz w:val="20"/>
        </w:rPr>
        <w:t xml:space="preserve">NOTE 3. </w:t>
      </w:r>
      <w:bookmarkStart w:id="349" w:name="xdx_822_zEMv8wXI4ai1"/>
      <w:bookmarkEnd w:id="349"/>
      <w:r>
        <w:rPr>
          <w:rFonts w:ascii="Times New Roman;Times;Serif" w:hAnsi="Times New Roman;Times;Serif"/>
          <w:b/>
          <w:i w:val="false"/>
          <w:caps w:val="false"/>
          <w:smallCaps w:val="false"/>
          <w:sz w:val="20"/>
        </w:rPr>
        <w:t xml:space="preserve">REVENUES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contracts with customers in accordance with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has three primary streams of revenue: (1) product revenues, including revenue recognized from sales of products through its pharmacy and outsourcing facility and sales of branded products to wholesalers through a third-party logistics (“3PL”) partner, (2) revenue recognized from transfer of acquired product sales and profits, and (3) revenue recognized from intellectual property licenses and related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 (ii) the price paid to the Company by individuals, and (iii) customer copayments made directly to the pharmacy network. Sales taxes are not included in revenue. Following the core principles of ASC 606, the Company has identified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contract(s) with a customer:</w:t>
            </w:r>
            <w:r>
              <w:rPr>
                <w:rFonts w:ascii="Times New Roman;Times;Serif" w:hAnsi="Times New Roman;Times;Serif"/>
                <w:b w:val="false"/>
                <w:i w:val="false"/>
                <w:caps w:val="false"/>
                <w:smallCaps w:val="false"/>
                <w:sz w:val="20"/>
              </w:rPr>
              <w:t xml:space="preserve"> A contract is deemed to exist when the customer places an order through receipt of a prescription, via an online order or via receipt of a purchase order from a customer. For branded products, orders are received through the Company’s 3PL partner, and the customer takes title of the products via formal purchase orders placed and fulfilled.</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Identify the performance obligations in the contract:</w:t>
            </w:r>
            <w:r>
              <w:rPr>
                <w:rFonts w:ascii="Times New Roman;Times;Serif" w:hAnsi="Times New Roman;Times;Serif"/>
                <w:b w:val="false"/>
                <w:i w:val="false"/>
                <w:caps w:val="false"/>
                <w:smallCaps w:val="false"/>
                <w:sz w:val="20"/>
              </w:rPr>
              <w:t xml:space="preserve"> Obligations for fulfillment of the Company’s contracts consist of delivering the product to 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Determine the transaction price:</w:t>
            </w:r>
            <w:r>
              <w:rPr>
                <w:rFonts w:ascii="Times New Roman;Times;Serif" w:hAnsi="Times New Roman;Times;Serif"/>
                <w:b w:val="false"/>
                <w:i w:val="false"/>
                <w:caps w:val="false"/>
                <w:smallCaps w:val="false"/>
                <w:sz w:val="20"/>
              </w:rPr>
              <w:t xml:space="preserve"> The transaction price is based on an amount that reflects the consideration to which the Company expects to be 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Allocate the transaction price to the performance obligations in the contract:</w:t>
            </w:r>
            <w:r>
              <w:rPr>
                <w:rFonts w:ascii="Times New Roman;Times;Serif" w:hAnsi="Times New Roman;Times;Serif"/>
                <w:b w:val="false"/>
                <w:i w:val="false"/>
                <w:caps w:val="false"/>
                <w:smallCaps w:val="false"/>
                <w:sz w:val="20"/>
              </w:rPr>
              <w:t xml:space="preserve"> Because there is only one performance obligation for product sales, no allocation is necessary.</w:t>
            </w:r>
          </w:p>
        </w:tc>
      </w:tr>
      <w:tr>
        <w:trPr/>
        <w:tc>
          <w:tcPr>
            <w:tcW w:w="146" w:type="dxa"/>
            <w:tcBorders/>
            <w:vAlign w:val="center"/>
          </w:tcPr>
          <w:p>
            <w:pPr>
              <w:pStyle w:val="TableContents"/>
              <w:bidi w:val="0"/>
              <w:spacing w:before="0" w:after="283"/>
              <w:jc w:val="both"/>
              <w:rPr>
                <w:caps w:val="false"/>
                <w:smallCaps w:val="false"/>
              </w:rPr>
            </w:pPr>
            <w:r>
              <w:rPr>
                <w:caps w:val="false"/>
                <w:smallCaps w:val="false"/>
              </w:rPr>
              <w:t> </w:t>
            </w:r>
          </w:p>
        </w:tc>
        <w:tc>
          <w:tcPr>
            <w:tcW w:w="100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Recognize revenue when (or as) the entity satisfies a performance obligation:</w:t>
            </w:r>
            <w:r>
              <w:rPr>
                <w:rFonts w:ascii="Times New Roman;Times;Serif" w:hAnsi="Times New Roman;Times;Serif"/>
                <w:b w:val="false"/>
                <w:i w:val="false"/>
                <w:caps w:val="false"/>
                <w:smallCaps w:val="false"/>
                <w:sz w:val="20"/>
              </w:rPr>
              <w:t xml:space="preserve"> Revenue from products is recognized upon transfer of control of a product to a customer. This generally occurs upon shipment unless contractual terms with a customer state that transfer of control occurs at delivery.</w:t>
            </w:r>
          </w:p>
        </w:tc>
      </w:tr>
    </w:tbl>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From Transfer of Acquired Product Sales and Profits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agreements whereby it purchased the exclusive commercial rights to assets associated with certain ophthalmic products from other pharmaceutical companies (the “Sellers”). During a temporary, transition period, the Sellers continue to manufacture and market these products and transfer the net profit from the sale of the products to the Company. The revenue recognized by the Company from the transfer of net profit was recognized at the time profit from the product sales were calculated by the Sellers and confirmed by the Company, typically on a monthly basis, at which point there is no future performance obligation required by the Company and no consequential continuing involvement on the Company’s part to recognize the associated revenue. On a quarterly basis, the Sellers invoice the Company for all credits and reimbursements (“Chargebacks”) made to customers related to the products. The Company uses historical actual experience to estimate Chargebacks associated with the net sales and profit transferred. The estimated Chargebacks are recorded as a reduction in revenues from transfer of acquired product sales and profits in the Company’s consolidated statements of operations, and recorded as a reduction to accounts receivable in the consolidated balance sheets, at the time the revenue is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Intellectual Property License and Related Arrangements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Company held five intellectual property licenses and related arrangements pursuant to which the Company has agreed to license or sell to a customer the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multiple-element arrangements, the revenue of which is recognized at the point in time that the performance obligation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deliverables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0" w:name="xdx_89A_eus-gaap--DisaggregationOfRevenu"/>
      <w:bookmarkEnd w:id="350"/>
      <w:r>
        <w:rPr>
          <w:rFonts w:ascii="Times New Roman;Times;Serif" w:hAnsi="Times New Roman;Times;Serif"/>
          <w:b w:val="false"/>
          <w:i w:val="false"/>
          <w:caps w:val="false"/>
          <w:smallCaps w:val="false"/>
          <w:sz w:val="20"/>
        </w:rPr>
        <w:t>Revenue disaggregated by revenue source consisted of the following:</w:t>
      </w:r>
    </w:p>
    <w:p>
      <w:pPr>
        <w:pStyle w:val="TextBody"/>
        <w:bidi w:val="0"/>
        <w:spacing w:before="0" w:after="0"/>
        <w:ind w:left="0" w:right="0" w:hanging="0"/>
        <w:jc w:val="center"/>
        <w:rPr>
          <w:caps w:val="false"/>
          <w:smallCaps w:val="false"/>
        </w:rPr>
      </w:pPr>
      <w:r>
        <w:rPr>
          <w:caps w:val="false"/>
          <w:smallCaps w:val="false"/>
        </w:rPr>
        <w:t> </w:t>
      </w:r>
      <w:bookmarkStart w:id="351" w:name="xdx_8B0_zobj2gaxbEcc"/>
      <w:bookmarkEnd w:id="351"/>
      <w:r>
        <w:rPr>
          <w:rFonts w:ascii="Times New Roman;Times;Serif" w:hAnsi="Times New Roman;Times;Serif"/>
          <w:b w:val="false"/>
          <w:i w:val="false"/>
          <w:caps w:val="false"/>
          <w:smallCaps w:val="false"/>
          <w:sz w:val="20"/>
        </w:rPr>
        <w:t>SCHEDULE OF DISAGGREGATED REVENUE </w:t>
      </w:r>
    </w:p>
    <w:tbl>
      <w:tblPr>
        <w:tblW w:w="7807" w:type="dxa"/>
        <w:jc w:val="left"/>
        <w:tblInd w:w="0" w:type="dxa"/>
        <w:tblLayout w:type="fixed"/>
        <w:tblCellMar>
          <w:top w:w="0" w:type="dxa"/>
          <w:left w:w="0" w:type="dxa"/>
          <w:bottom w:w="0" w:type="dxa"/>
          <w:right w:w="0" w:type="dxa"/>
        </w:tblCellMar>
      </w:tblPr>
      <w:tblGrid>
        <w:gridCol w:w="1820"/>
        <w:gridCol w:w="60"/>
        <w:gridCol w:w="162"/>
        <w:gridCol w:w="1277"/>
        <w:gridCol w:w="69"/>
        <w:gridCol w:w="69"/>
        <w:gridCol w:w="162"/>
        <w:gridCol w:w="1277"/>
        <w:gridCol w:w="60"/>
        <w:gridCol w:w="60"/>
        <w:gridCol w:w="146"/>
        <w:gridCol w:w="1150"/>
        <w:gridCol w:w="62"/>
        <w:gridCol w:w="62"/>
        <w:gridCol w:w="146"/>
        <w:gridCol w:w="1150"/>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2" w:name="xdx_49F_20240401__20240630_z8EM7E8RzJYe"/>
            <w:bookmarkEnd w:id="352"/>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353" w:name="xdx_49C_20230401__20230630_z5YIeiq0EFJi"/>
            <w:bookmarkEnd w:id="353"/>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4" w:name="xdx_492_20240101__20240630_zVw6LyyhBqv"/>
            <w:bookmarkEnd w:id="354"/>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355" w:name="xdx_49B_20230101__20230630_zjIzMad52nKk"/>
            <w:bookmarkEnd w:id="355"/>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56" w:name="xdx_40F_eus-gaap--RevenueFromContractWit"/>
            <w:bookmarkEnd w:id="356"/>
          </w:p>
        </w:tc>
      </w:tr>
      <w:tr>
        <w:trPr/>
        <w:tc>
          <w:tcPr>
            <w:tcW w:w="1820" w:type="dxa"/>
            <w:tcBorders/>
            <w:shd w:fill="CCEEFF" w:val="clear"/>
            <w:vAlign w:val="center"/>
          </w:tcPr>
          <w:p>
            <w:pPr>
              <w:pStyle w:val="TableContents"/>
              <w:bidi w:val="0"/>
              <w:spacing w:before="0" w:after="283"/>
              <w:jc w:val="left"/>
              <w:rPr>
                <w:b/>
              </w:rPr>
            </w:pPr>
            <w:r>
              <w:rPr>
                <w:b/>
              </w:rPr>
              <w:t>Product sales, net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48,871,000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w:t>
            </w:r>
          </w:p>
        </w:tc>
        <w:tc>
          <w:tcPr>
            <w:tcW w:w="1277" w:type="dxa"/>
            <w:tcBorders/>
            <w:shd w:fill="CCEEFF" w:val="clear"/>
            <w:vAlign w:val="center"/>
          </w:tcPr>
          <w:p>
            <w:pPr>
              <w:pStyle w:val="TableContents"/>
              <w:bidi w:val="0"/>
              <w:spacing w:before="0" w:after="283"/>
              <w:jc w:val="right"/>
              <w:rPr/>
            </w:pPr>
            <w:r>
              <w:rPr/>
              <w:t>29,542,000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83,379,000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50" w:type="dxa"/>
            <w:tcBorders/>
            <w:shd w:fill="CCEEFF" w:val="clear"/>
            <w:vAlign w:val="center"/>
          </w:tcPr>
          <w:p>
            <w:pPr>
              <w:pStyle w:val="TableContents"/>
              <w:bidi w:val="0"/>
              <w:spacing w:before="0" w:after="283"/>
              <w:jc w:val="right"/>
              <w:rPr/>
            </w:pPr>
            <w:r>
              <w:rPr/>
              <w:t>49,995,000</w:t>
            </w:r>
          </w:p>
        </w:tc>
        <w:tc>
          <w:tcPr>
            <w:tcW w:w="75" w:type="dxa"/>
            <w:tcBorders/>
            <w:shd w:fill="CCEEFF" w:val="clear"/>
            <w:vAlign w:val="center"/>
          </w:tcPr>
          <w:p>
            <w:pPr>
              <w:pStyle w:val="TableContents"/>
              <w:bidi w:val="0"/>
              <w:spacing w:before="0" w:after="283"/>
              <w:jc w:val="left"/>
              <w:rPr/>
            </w:pPr>
            <w:r>
              <w:rPr/>
              <w:t> </w:t>
            </w:r>
            <w:bookmarkStart w:id="357" w:name="xdx_400_eus-gaap--RevenueFromContractWit"/>
            <w:bookmarkEnd w:id="357"/>
          </w:p>
        </w:tc>
      </w:tr>
      <w:tr>
        <w:trPr/>
        <w:tc>
          <w:tcPr>
            <w:tcW w:w="1820" w:type="dxa"/>
            <w:tcBorders/>
            <w:shd w:fill="FFFFFF" w:val="clear"/>
            <w:vAlign w:val="center"/>
          </w:tcPr>
          <w:p>
            <w:pPr>
              <w:pStyle w:val="TableContents"/>
              <w:bidi w:val="0"/>
              <w:spacing w:before="0" w:after="283"/>
              <w:jc w:val="left"/>
              <w:rPr>
                <w:b/>
              </w:rPr>
            </w:pPr>
            <w:r>
              <w:rPr>
                <w:b/>
              </w:rPr>
              <w:t>Other revenues</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68,000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FFFFFF" w:val="clear"/>
            <w:tcMar>
              <w:bottom w:w="28" w:type="dxa"/>
            </w:tcMar>
            <w:vAlign w:val="center"/>
          </w:tcPr>
          <w:p>
            <w:pPr>
              <w:pStyle w:val="TableContents"/>
              <w:bidi w:val="0"/>
              <w:spacing w:before="0" w:after="283"/>
              <w:jc w:val="right"/>
              <w:rPr/>
            </w:pPr>
            <w:r>
              <w:rPr/>
              <w:t>3,928,000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147,000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9,578,000</w:t>
            </w:r>
          </w:p>
        </w:tc>
        <w:tc>
          <w:tcPr>
            <w:tcW w:w="75" w:type="dxa"/>
            <w:tcBorders/>
            <w:shd w:fill="FFFFFF" w:val="clear"/>
            <w:vAlign w:val="center"/>
          </w:tcPr>
          <w:p>
            <w:pPr>
              <w:pStyle w:val="TableContents"/>
              <w:bidi w:val="0"/>
              <w:spacing w:before="0" w:after="283"/>
              <w:jc w:val="left"/>
              <w:rPr/>
            </w:pPr>
            <w:r>
              <w:rPr/>
              <w:t> </w:t>
            </w:r>
            <w:bookmarkStart w:id="358" w:name="xdx_405_eus-gaap--RevenueFromContractWit"/>
            <w:bookmarkEnd w:id="358"/>
          </w:p>
        </w:tc>
      </w:tr>
      <w:tr>
        <w:trPr/>
        <w:tc>
          <w:tcPr>
            <w:tcW w:w="1820"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48,939,000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33,470,000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83,526,000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59,573,000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9" w:name="xdx_8AF_zxTBPgYM75ig"/>
      <w:bookmarkEnd w:id="3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and customer deposits at June 30, 2024 and December 31, 2023 were $</w:t>
      </w:r>
      <w:bookmarkStart w:id="360" w:name="xdx_901_eus-gaap--ContractWithCustomerLi"/>
      <w:bookmarkEnd w:id="360"/>
      <w:r>
        <w:rPr>
          <w:rFonts w:ascii="Times New Roman;Times;Serif" w:hAnsi="Times New Roman;Times;Serif"/>
          <w:b w:val="false"/>
          <w:i w:val="false"/>
          <w:caps w:val="false"/>
          <w:smallCaps w:val="false"/>
          <w:sz w:val="20"/>
        </w:rPr>
        <w:t>248,000 and $</w:t>
      </w:r>
      <w:bookmarkStart w:id="361" w:name="xdx_90A_eus-gaap--ContractWithCustomerLi"/>
      <w:bookmarkEnd w:id="361"/>
      <w:r>
        <w:rPr>
          <w:rFonts w:ascii="Times New Roman;Times;Serif" w:hAnsi="Times New Roman;Times;Serif"/>
          <w:b w:val="false"/>
          <w:i w:val="false"/>
          <w:caps w:val="false"/>
          <w:smallCaps w:val="false"/>
          <w:sz w:val="20"/>
        </w:rPr>
        <w:t>75,000, respectively. All deferred revenue and customer deposit amounts at December 31, 2023 were recognized as revenue during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2" w:name="xdx_805_eus-gaap--InvestmentsInDebtAndMa"/>
      <w:bookmarkEnd w:id="362"/>
      <w:r>
        <w:rPr>
          <w:rFonts w:ascii="Times New Roman;Times;Serif" w:hAnsi="Times New Roman;Times;Serif"/>
          <w:b/>
          <w:i w:val="false"/>
          <w:caps w:val="false"/>
          <w:smallCaps w:val="false"/>
          <w:sz w:val="20"/>
        </w:rPr>
        <w:t xml:space="preserve">NOTE 4. </w:t>
      </w:r>
      <w:bookmarkStart w:id="363" w:name="xdx_82A_z86j7lsbHhL"/>
      <w:bookmarkEnd w:id="363"/>
      <w:r>
        <w:rPr>
          <w:rFonts w:ascii="Times New Roman;Times;Serif" w:hAnsi="Times New Roman;Times;Serif"/>
          <w:b/>
          <w:i w:val="false"/>
          <w:caps w:val="false"/>
          <w:smallCaps w:val="false"/>
          <w:sz w:val="20"/>
        </w:rPr>
        <w:t>INVESTMENT IN, AND NOTE RECEIVABLE FROM MELT PHARMACEUTICALS, INC.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2018, the Company entered into an Asset Purchase Agreement with Melt (the “Melt APA”). Pursuant to the terms of the Melt APA, Melt was assigned certain intellectual property and related rights from the Company to develop, formulate, make, sell, and sub-license certain Company conscious sedation and analgesia related formulations (collectively, the “Melt Products”). Under the terms of the Melt APA, Melt is required to make mid-single digit royalty payments to the Company on net sales of the Melt Products while any patent rights remain outstanding, as well as other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2019, the Company entered into a Management Services Agreement (the “Melt MSA”), whereby the Company provided to Melt certain administrative services and support, including bookkeeping, web services and human resources related activities, and Melt was required to pay the Company a monthly amount of $</w:t>
      </w:r>
      <w:bookmarkStart w:id="364" w:name="xdx_90C_eus-gaap--AdministrativeFeesExpe"/>
      <w:bookmarkEnd w:id="364"/>
      <w:r>
        <w:rPr>
          <w:rFonts w:ascii="Times New Roman;Times;Serif" w:hAnsi="Times New Roman;Times;Serif"/>
          <w:b w:val="false"/>
          <w:i w:val="false"/>
          <w:caps w:val="false"/>
          <w:smallCaps w:val="false"/>
          <w:sz w:val="20"/>
        </w:rPr>
        <w:t>10,000. The Melt MSA was terminated effective July 1, 2023. During the three and six months ended June 30, 2024, the Company did not record any reimbursable expenses and amounts payable by Melt pursuant to the Melts MSA. During the three and six months ended June 30, 2023, the Company recorded $</w:t>
      </w:r>
      <w:bookmarkStart w:id="365" w:name="xdx_90F_eus-gaap--OtherExpenses_c2023040"/>
      <w:bookmarkEnd w:id="365"/>
      <w:r>
        <w:rPr>
          <w:rFonts w:ascii="Times New Roman;Times;Serif" w:hAnsi="Times New Roman;Times;Serif"/>
          <w:b w:val="false"/>
          <w:i w:val="false"/>
          <w:caps w:val="false"/>
          <w:smallCaps w:val="false"/>
          <w:sz w:val="20"/>
        </w:rPr>
        <w:t>30,000 and $</w:t>
      </w:r>
      <w:bookmarkStart w:id="366" w:name="xdx_902_eus-gaap--OtherExpenses_c2023010"/>
      <w:bookmarkEnd w:id="366"/>
      <w:r>
        <w:rPr>
          <w:rFonts w:ascii="Times New Roman;Times;Serif" w:hAnsi="Times New Roman;Times;Serif"/>
          <w:b w:val="false"/>
          <w:i w:val="false"/>
          <w:caps w:val="false"/>
          <w:smallCaps w:val="false"/>
          <w:sz w:val="20"/>
        </w:rPr>
        <w:t>40,000 due from Melt for reimbursable expenses and amounts payable by Melt pursuant to the Melt MSA, which amounts are included in prepaid expenses and other current assets in the accompanying condensed consolidated balance sheets. As of each of June 30, 2024 and December 31, 2023, the Company was due $</w:t>
      </w:r>
      <w:bookmarkStart w:id="367" w:name="xdx_900_eus-gaap--OtherLiabilities_iI_c2"/>
      <w:bookmarkStart w:id="368" w:name="xdx_901_eus-gaap--OtherLiabilities_iI_c2"/>
      <w:bookmarkEnd w:id="367"/>
      <w:bookmarkEnd w:id="368"/>
      <w:r>
        <w:rPr>
          <w:rFonts w:ascii="Times New Roman;Times;Serif" w:hAnsi="Times New Roman;Times;Serif"/>
          <w:b w:val="false"/>
          <w:i w:val="false"/>
          <w:caps w:val="false"/>
          <w:smallCaps w:val="false"/>
          <w:sz w:val="20"/>
        </w:rPr>
        <w:t>228,000 from Melt for reimbursable expenses and amounts payable under the Melt MSA.</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Melt completed its Series B Preferred Stock financing which raised gross proceeds of approximately $</w:t>
      </w:r>
      <w:bookmarkStart w:id="369" w:name="xdx_900_eus-gaap--ProceedsFromRelatedPar"/>
      <w:bookmarkEnd w:id="369"/>
      <w:r>
        <w:rPr>
          <w:rFonts w:ascii="Times New Roman;Times;Serif" w:hAnsi="Times New Roman;Times;Serif"/>
          <w:b w:val="false"/>
          <w:i w:val="false"/>
          <w:caps w:val="false"/>
          <w:smallCaps w:val="false"/>
          <w:sz w:val="20"/>
        </w:rPr>
        <w:t>23,900,000.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Mark L. Baum, is a member of the Melt board of directors. The Melt board of directors consists of five members, including Mr. Baum. Mr. Baum is the only representative of the Company on Melt’s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0" w:name="xdx_898_esrt--ScheduleOfCondensedIncomeS"/>
      <w:bookmarkEnd w:id="370"/>
      <w:r>
        <w:rPr>
          <w:rFonts w:ascii="Times New Roman;Times;Serif" w:hAnsi="Times New Roman;Times;Serif"/>
          <w:b w:val="false"/>
          <w:i w:val="false"/>
          <w:caps w:val="false"/>
          <w:smallCaps w:val="false"/>
          <w:sz w:val="20"/>
        </w:rPr>
        <w:t>The unaudited condensed results of operations information of Melt is summarized below:</w:t>
      </w:r>
    </w:p>
    <w:p>
      <w:pPr>
        <w:pStyle w:val="TextBody"/>
        <w:bidi w:val="0"/>
        <w:spacing w:before="0" w:after="0"/>
        <w:ind w:left="0" w:right="0" w:hanging="0"/>
        <w:jc w:val="both"/>
        <w:rPr>
          <w:caps w:val="false"/>
          <w:smallCaps w:val="false"/>
        </w:rPr>
      </w:pPr>
      <w:r>
        <w:rPr>
          <w:caps w:val="false"/>
          <w:smallCaps w:val="false"/>
        </w:rPr>
        <w:t> </w:t>
      </w:r>
      <w:bookmarkStart w:id="371" w:name="xdx_8B8_zeLwC2XAsY74"/>
      <w:bookmarkEnd w:id="371"/>
      <w:r>
        <w:rPr>
          <w:rFonts w:ascii="Times New Roman;Times;Serif" w:hAnsi="Times New Roman;Times;Serif"/>
          <w:b w:val="false"/>
          <w:i w:val="false"/>
          <w:caps w:val="false"/>
          <w:smallCaps w:val="false"/>
          <w:sz w:val="20"/>
        </w:rPr>
        <w:t>SCHEDULE OF CONDENSED INCOME STATEMENT</w:t>
      </w:r>
    </w:p>
    <w:tbl>
      <w:tblPr>
        <w:tblW w:w="4745" w:type="dxa"/>
        <w:jc w:val="left"/>
        <w:tblInd w:w="0" w:type="dxa"/>
        <w:tblLayout w:type="fixed"/>
        <w:tblCellMar>
          <w:top w:w="0" w:type="dxa"/>
          <w:left w:w="0" w:type="dxa"/>
          <w:bottom w:w="0" w:type="dxa"/>
          <w:right w:w="0" w:type="dxa"/>
        </w:tblCellMar>
      </w:tblPr>
      <w:tblGrid>
        <w:gridCol w:w="2030"/>
        <w:gridCol w:w="60"/>
        <w:gridCol w:w="140"/>
        <w:gridCol w:w="1055"/>
        <w:gridCol w:w="95"/>
        <w:gridCol w:w="60"/>
        <w:gridCol w:w="140"/>
        <w:gridCol w:w="1055"/>
        <w:gridCol w:w="110"/>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2" w:name="xdx_490_20240101__20240630__dei--LegalEn"/>
            <w:bookmarkEnd w:id="372"/>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3" w:name="xdx_49E_20230101__20230630__dei--LegalEn"/>
            <w:bookmarkEnd w:id="373"/>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374" w:name="xdx_406_eus-gaap--RevenueFromContractWit"/>
            <w:bookmarkEnd w:id="374"/>
          </w:p>
        </w:tc>
      </w:tr>
      <w:tr>
        <w:trPr/>
        <w:tc>
          <w:tcPr>
            <w:tcW w:w="2030" w:type="dxa"/>
            <w:tcBorders/>
            <w:shd w:fill="CCEEFF" w:val="clear"/>
            <w:vAlign w:val="center"/>
          </w:tcPr>
          <w:p>
            <w:pPr>
              <w:pStyle w:val="TableContents"/>
              <w:bidi w:val="0"/>
              <w:spacing w:before="0" w:after="283"/>
              <w:jc w:val="both"/>
              <w:rPr/>
            </w:pPr>
            <w:r>
              <w:rPr/>
              <w:t>Revenues,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375" w:name="xdx_403_eus-gaap--OperatingIncomeLoss_zn"/>
            <w:bookmarkEnd w:id="375"/>
          </w:p>
        </w:tc>
      </w:tr>
      <w:tr>
        <w:trPr/>
        <w:tc>
          <w:tcPr>
            <w:tcW w:w="2030" w:type="dxa"/>
            <w:tcBorders/>
            <w:shd w:fill="FFFFFF" w:val="clear"/>
            <w:vAlign w:val="center"/>
          </w:tcPr>
          <w:p>
            <w:pPr>
              <w:pStyle w:val="TableContents"/>
              <w:bidi w:val="0"/>
              <w:spacing w:before="0" w:after="283"/>
              <w:jc w:val="both"/>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(5,631,000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(2,448,000</w:t>
            </w:r>
          </w:p>
        </w:tc>
        <w:tc>
          <w:tcPr>
            <w:tcW w:w="110" w:type="dxa"/>
            <w:tcBorders/>
            <w:shd w:fill="FFFFFF" w:val="clear"/>
            <w:vAlign w:val="center"/>
          </w:tcPr>
          <w:p>
            <w:pPr>
              <w:pStyle w:val="TableContents"/>
              <w:bidi w:val="0"/>
              <w:spacing w:before="0" w:after="283"/>
              <w:jc w:val="left"/>
              <w:rPr/>
            </w:pPr>
            <w:r>
              <w:rPr/>
              <w:t>)</w:t>
            </w:r>
            <w:bookmarkStart w:id="376" w:name="xdx_40D_eus-gaap--NetIncomeLoss_zGU2gnxj"/>
            <w:bookmarkEnd w:id="376"/>
          </w:p>
        </w:tc>
      </w:tr>
      <w:tr>
        <w:trPr/>
        <w:tc>
          <w:tcPr>
            <w:tcW w:w="203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(5,344,000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(3,551,000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77" w:name="xdx_8A0_zBtNcN8xwkQ7"/>
      <w:bookmarkEnd w:id="3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8" w:name="xdx_899_esrt--ScheduleOfCondensedBalance"/>
      <w:bookmarkEnd w:id="378"/>
      <w:r>
        <w:rPr>
          <w:rFonts w:ascii="Times New Roman;Times;Serif" w:hAnsi="Times New Roman;Times;Serif"/>
          <w:b w:val="false"/>
          <w:i w:val="false"/>
          <w:caps w:val="false"/>
          <w:smallCaps w:val="false"/>
          <w:sz w:val="20"/>
        </w:rPr>
        <w:t>The unaudited condensed balance sheet information of Melt is summarized below:</w:t>
      </w:r>
    </w:p>
    <w:p>
      <w:pPr>
        <w:pStyle w:val="TextBody"/>
        <w:bidi w:val="0"/>
        <w:spacing w:before="0" w:after="0"/>
        <w:ind w:left="0" w:right="0" w:hanging="0"/>
        <w:jc w:val="both"/>
        <w:rPr>
          <w:caps w:val="false"/>
          <w:smallCaps w:val="false"/>
        </w:rPr>
      </w:pPr>
      <w:r>
        <w:rPr>
          <w:caps w:val="false"/>
          <w:smallCaps w:val="false"/>
        </w:rPr>
        <w:t> </w:t>
      </w:r>
      <w:bookmarkStart w:id="379" w:name="xdx_8BF_zIhQ6mbWxqK6"/>
      <w:bookmarkEnd w:id="379"/>
      <w:r>
        <w:rPr>
          <w:rFonts w:ascii="Times New Roman;Times;Serif" w:hAnsi="Times New Roman;Times;Serif"/>
          <w:b w:val="false"/>
          <w:i w:val="false"/>
          <w:caps w:val="false"/>
          <w:smallCaps w:val="false"/>
          <w:sz w:val="20"/>
        </w:rPr>
        <w:t>SCHEDULE OF CONDENSED BALANCE SHEET</w:t>
      </w:r>
    </w:p>
    <w:tbl>
      <w:tblPr>
        <w:tblW w:w="7024" w:type="dxa"/>
        <w:jc w:val="left"/>
        <w:tblInd w:w="0" w:type="dxa"/>
        <w:tblLayout w:type="fixed"/>
        <w:tblCellMar>
          <w:top w:w="0" w:type="dxa"/>
          <w:left w:w="0" w:type="dxa"/>
          <w:bottom w:w="0" w:type="dxa"/>
          <w:right w:w="0" w:type="dxa"/>
        </w:tblCellMar>
      </w:tblPr>
      <w:tblGrid>
        <w:gridCol w:w="3800"/>
        <w:gridCol w:w="60"/>
        <w:gridCol w:w="140"/>
        <w:gridCol w:w="1100"/>
        <w:gridCol w:w="60"/>
        <w:gridCol w:w="60"/>
        <w:gridCol w:w="195"/>
        <w:gridCol w:w="1534"/>
        <w:gridCol w:w="7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0" w:name="xdx_496_20240630__dei--LegalEntityAxis__"/>
            <w:bookmarkEnd w:id="380"/>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1" w:name="xdx_498_20231231__dei--LegalEntityAxis__"/>
            <w:bookmarkEnd w:id="381"/>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At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vAlign w:val="center"/>
          </w:tcPr>
          <w:p>
            <w:pPr>
              <w:pStyle w:val="TableContents"/>
              <w:bidi w:val="0"/>
              <w:spacing w:before="0" w:after="283"/>
              <w:jc w:val="center"/>
              <w:rPr>
                <w:b/>
              </w:rPr>
            </w:pPr>
            <w:r>
              <w:rPr>
                <w:b/>
              </w:rPr>
              <w:t>At December 31,</w:t>
            </w:r>
          </w:p>
        </w:tc>
        <w:tc>
          <w:tcPr>
            <w:tcW w:w="7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82" w:name="xdx_404_eus-gaap--AssetsCurrent_iI_zPcYc"/>
            <w:bookmarkEnd w:id="382"/>
          </w:p>
        </w:tc>
      </w:tr>
      <w:tr>
        <w:trPr/>
        <w:tc>
          <w:tcPr>
            <w:tcW w:w="3800"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11,284,000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13,404,000</w:t>
            </w:r>
          </w:p>
        </w:tc>
        <w:tc>
          <w:tcPr>
            <w:tcW w:w="75" w:type="dxa"/>
            <w:tcBorders/>
            <w:shd w:fill="CCEEFF" w:val="clear"/>
            <w:vAlign w:val="center"/>
          </w:tcPr>
          <w:p>
            <w:pPr>
              <w:pStyle w:val="TableContents"/>
              <w:bidi w:val="0"/>
              <w:spacing w:before="0" w:after="283"/>
              <w:jc w:val="left"/>
              <w:rPr/>
            </w:pPr>
            <w:r>
              <w:rPr/>
              <w:t> </w:t>
            </w:r>
            <w:bookmarkStart w:id="383" w:name="xdx_40C_eus-gaap--AssetsNoncurrent_iI_zX"/>
            <w:bookmarkEnd w:id="383"/>
          </w:p>
        </w:tc>
      </w:tr>
      <w:tr>
        <w:trPr/>
        <w:tc>
          <w:tcPr>
            <w:tcW w:w="3800" w:type="dxa"/>
            <w:tcBorders/>
            <w:shd w:fill="FFFFFF" w:val="clear"/>
            <w:vAlign w:val="center"/>
          </w:tcPr>
          <w:p>
            <w:pPr>
              <w:pStyle w:val="TableContents"/>
              <w:bidi w:val="0"/>
              <w:spacing w:before="0" w:after="283"/>
              <w:jc w:val="both"/>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84" w:name="xdx_406_eus-gaap--Assets_iI_zCaFD1iDPfdk"/>
            <w:bookmarkEnd w:id="384"/>
          </w:p>
        </w:tc>
      </w:tr>
      <w:tr>
        <w:trPr/>
        <w:tc>
          <w:tcPr>
            <w:tcW w:w="3800" w:type="dxa"/>
            <w:tcBorders/>
            <w:shd w:fill="CCEEFF" w:val="clear"/>
            <w:vAlign w:val="center"/>
          </w:tcPr>
          <w:p>
            <w:pPr>
              <w:pStyle w:val="TableContents"/>
              <w:bidi w:val="0"/>
              <w:spacing w:before="0" w:after="283"/>
              <w:jc w:val="both"/>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11,284,000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jc w:val="right"/>
              <w:rPr/>
            </w:pPr>
            <w:r>
              <w:rPr/>
              <w:t>13,404,000</w:t>
            </w:r>
          </w:p>
        </w:tc>
        <w:tc>
          <w:tcPr>
            <w:tcW w:w="7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85" w:name="xdx_409_eus-gaap--Liabilities_iI_zEJ2KGh"/>
            <w:bookmarkEnd w:id="385"/>
          </w:p>
        </w:tc>
      </w:tr>
      <w:tr>
        <w:trPr/>
        <w:tc>
          <w:tcPr>
            <w:tcW w:w="3800" w:type="dxa"/>
            <w:tcBorders/>
            <w:shd w:fill="CCEEFF" w:val="clear"/>
            <w:vAlign w:val="center"/>
          </w:tcPr>
          <w:p>
            <w:pPr>
              <w:pStyle w:val="TableContents"/>
              <w:bidi w:val="0"/>
              <w:spacing w:before="0" w:after="283"/>
              <w:jc w:val="both"/>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3,794,000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3,922,000</w:t>
            </w:r>
          </w:p>
        </w:tc>
        <w:tc>
          <w:tcPr>
            <w:tcW w:w="75" w:type="dxa"/>
            <w:tcBorders/>
            <w:shd w:fill="CCEEFF" w:val="clear"/>
            <w:vAlign w:val="center"/>
          </w:tcPr>
          <w:p>
            <w:pPr>
              <w:pStyle w:val="TableContents"/>
              <w:bidi w:val="0"/>
              <w:spacing w:before="0" w:after="283"/>
              <w:jc w:val="left"/>
              <w:rPr/>
            </w:pPr>
            <w:r>
              <w:rPr/>
              <w:t> </w:t>
            </w:r>
            <w:bookmarkStart w:id="386" w:name="xdx_404_eus-gaap--StockholdersEquity_iI_"/>
            <w:bookmarkEnd w:id="386"/>
          </w:p>
        </w:tc>
      </w:tr>
      <w:tr>
        <w:trPr/>
        <w:tc>
          <w:tcPr>
            <w:tcW w:w="3800" w:type="dxa"/>
            <w:tcBorders/>
            <w:shd w:fill="FFFFFF" w:val="clear"/>
            <w:vAlign w:val="center"/>
          </w:tcPr>
          <w:p>
            <w:pPr>
              <w:pStyle w:val="TableContents"/>
              <w:bidi w:val="0"/>
              <w:spacing w:before="0" w:after="283"/>
              <w:jc w:val="both"/>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7,490,000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34" w:type="dxa"/>
            <w:tcBorders>
              <w:bottom w:val="single" w:sz="12" w:space="0" w:color="000000"/>
            </w:tcBorders>
            <w:shd w:fill="FFFFFF" w:val="clear"/>
            <w:tcMar>
              <w:bottom w:w="28" w:type="dxa"/>
            </w:tcMar>
            <w:vAlign w:val="center"/>
          </w:tcPr>
          <w:p>
            <w:pPr>
              <w:pStyle w:val="TableContents"/>
              <w:bidi w:val="0"/>
              <w:spacing w:before="0" w:after="283"/>
              <w:jc w:val="right"/>
              <w:rPr/>
            </w:pPr>
            <w:r>
              <w:rPr/>
              <w:t>9,482,000</w:t>
            </w:r>
          </w:p>
        </w:tc>
        <w:tc>
          <w:tcPr>
            <w:tcW w:w="75" w:type="dxa"/>
            <w:tcBorders/>
            <w:shd w:fill="FFFFFF" w:val="clear"/>
            <w:vAlign w:val="center"/>
          </w:tcPr>
          <w:p>
            <w:pPr>
              <w:pStyle w:val="TableContents"/>
              <w:bidi w:val="0"/>
              <w:spacing w:before="0" w:after="283"/>
              <w:jc w:val="left"/>
              <w:rPr/>
            </w:pPr>
            <w:r>
              <w:rPr/>
              <w:t> </w:t>
            </w:r>
            <w:bookmarkStart w:id="387" w:name="xdx_40A_eus-gaap--LiabilitiesAndStockhol"/>
            <w:bookmarkEnd w:id="387"/>
          </w:p>
        </w:tc>
      </w:tr>
      <w:tr>
        <w:trPr/>
        <w:tc>
          <w:tcPr>
            <w:tcW w:w="3800" w:type="dxa"/>
            <w:tcBorders/>
            <w:shd w:fill="CCEEFF" w:val="clear"/>
            <w:vAlign w:val="center"/>
          </w:tcPr>
          <w:p>
            <w:pPr>
              <w:pStyle w:val="TableContents"/>
              <w:bidi w:val="0"/>
              <w:spacing w:before="0" w:after="283"/>
              <w:jc w:val="both"/>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11,284,000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CCEEFF" w:val="clear"/>
            <w:tcMar>
              <w:bottom w:w="28" w:type="dxa"/>
            </w:tcMar>
            <w:vAlign w:val="center"/>
          </w:tcPr>
          <w:p>
            <w:pPr>
              <w:pStyle w:val="TableContents"/>
              <w:bidi w:val="0"/>
              <w:spacing w:before="0" w:after="283"/>
              <w:jc w:val="right"/>
              <w:rPr/>
            </w:pPr>
            <w:r>
              <w:rPr/>
              <w:t>13,404,000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8" w:name="xdx_8A9_z2T5VQuVOOR2"/>
      <w:bookmarkEnd w:id="38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9" w:name="xdx_80F_eus-gaap--InventoryDisclosureTex"/>
      <w:bookmarkEnd w:id="389"/>
      <w:r>
        <w:rPr>
          <w:rFonts w:ascii="Times New Roman;Times;Serif" w:hAnsi="Times New Roman;Times;Serif"/>
          <w:b/>
          <w:i w:val="false"/>
          <w:caps w:val="false"/>
          <w:smallCaps w:val="false"/>
          <w:sz w:val="20"/>
        </w:rPr>
        <w:t xml:space="preserve">NOTE 5. </w:t>
      </w:r>
      <w:bookmarkStart w:id="390" w:name="xdx_822_zwAHKiDwjIm3"/>
      <w:bookmarkEnd w:id="390"/>
      <w:r>
        <w:rPr>
          <w:rFonts w:ascii="Times New Roman;Times;Serif" w:hAnsi="Times New Roman;Times;Serif"/>
          <w:b/>
          <w:i w:val="false"/>
          <w:caps w:val="false"/>
          <w:smallCaps w:val="false"/>
          <w:sz w:val="20"/>
        </w:rPr>
        <w:t xml:space="preserve">INVENTORIES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1" w:name="xdx_890_eus-gaap--ScheduleOfInventoryCur"/>
      <w:bookmarkEnd w:id="391"/>
      <w:r>
        <w:rPr>
          <w:rFonts w:ascii="Times New Roman;Times;Serif" w:hAnsi="Times New Roman;Times;Serif"/>
          <w:b w:val="false"/>
          <w:i w:val="false"/>
          <w:caps w:val="false"/>
          <w:smallCaps w:val="false"/>
          <w:sz w:val="20"/>
        </w:rPr>
        <w:t>Inventories are comprised of finished compounded formulations, over-the-counter and prescription retail pharmacy products, branded pharmaceutical products, including those held at the Company’s 3PL partner, related laboratory supplies and active pharmaceutical ingredients. The composition of inventories was as follows:</w:t>
      </w:r>
    </w:p>
    <w:p>
      <w:pPr>
        <w:pStyle w:val="TextBody"/>
        <w:bidi w:val="0"/>
        <w:spacing w:before="0" w:after="0"/>
        <w:ind w:left="0" w:right="0" w:hanging="0"/>
        <w:jc w:val="both"/>
        <w:rPr>
          <w:caps w:val="false"/>
          <w:smallCaps w:val="false"/>
        </w:rPr>
      </w:pPr>
      <w:r>
        <w:rPr>
          <w:caps w:val="false"/>
          <w:smallCaps w:val="false"/>
        </w:rPr>
        <w:t> </w:t>
      </w:r>
      <w:bookmarkStart w:id="392" w:name="xdx_8BF_zjn7lgH8lYlh"/>
      <w:bookmarkEnd w:id="392"/>
      <w:r>
        <w:rPr>
          <w:rFonts w:ascii="Times New Roman;Times;Serif" w:hAnsi="Times New Roman;Times;Serif"/>
          <w:b w:val="false"/>
          <w:i w:val="false"/>
          <w:caps w:val="false"/>
          <w:smallCaps w:val="false"/>
          <w:sz w:val="20"/>
        </w:rPr>
        <w:t>SCHEDULE OF INVENTORIES</w:t>
      </w:r>
    </w:p>
    <w:tbl>
      <w:tblPr>
        <w:tblW w:w="4843" w:type="dxa"/>
        <w:jc w:val="left"/>
        <w:tblInd w:w="0" w:type="dxa"/>
        <w:tblLayout w:type="fixed"/>
        <w:tblCellMar>
          <w:top w:w="0" w:type="dxa"/>
          <w:left w:w="0" w:type="dxa"/>
          <w:bottom w:w="0" w:type="dxa"/>
          <w:right w:w="0" w:type="dxa"/>
        </w:tblCellMar>
      </w:tblPr>
      <w:tblGrid>
        <w:gridCol w:w="1670"/>
        <w:gridCol w:w="60"/>
        <w:gridCol w:w="148"/>
        <w:gridCol w:w="1041"/>
        <w:gridCol w:w="60"/>
        <w:gridCol w:w="60"/>
        <w:gridCol w:w="195"/>
        <w:gridCol w:w="1534"/>
        <w:gridCol w:w="75"/>
      </w:tblGrid>
      <w:tr>
        <w:trPr/>
        <w:tc>
          <w:tcPr>
            <w:tcW w:w="1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93" w:name="xdx_493_20240630_zWtQb74VKvJ4"/>
            <w:bookmarkEnd w:id="393"/>
          </w:p>
        </w:tc>
        <w:tc>
          <w:tcPr>
            <w:tcW w:w="1189" w:type="dxa"/>
            <w:gridSpan w:val="2"/>
            <w:tcBorders>
              <w:bottom w:val="single" w:sz="12" w:space="0" w:color="000000"/>
            </w:tcBorders>
            <w:tcMar>
              <w:bottom w:w="28" w:type="dxa"/>
            </w:tcMar>
            <w:vAlign w:val="center"/>
          </w:tcPr>
          <w:p>
            <w:pPr>
              <w:pStyle w:val="TableContents"/>
              <w:bidi w:val="0"/>
              <w:jc w:val="center"/>
              <w:rPr>
                <w:b/>
              </w:rPr>
            </w:pPr>
            <w:r>
              <w:rPr>
                <w:b/>
              </w:rPr>
              <w:t>At June 30,</w:t>
            </w:r>
          </w:p>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4" w:name="xdx_494_20231231_zHmckRpIEBKe"/>
            <w:bookmarkEnd w:id="394"/>
          </w:p>
        </w:tc>
        <w:tc>
          <w:tcPr>
            <w:tcW w:w="1729" w:type="dxa"/>
            <w:gridSpan w:val="2"/>
            <w:tcBorders>
              <w:bottom w:val="single" w:sz="12" w:space="0" w:color="000000"/>
            </w:tcBorders>
            <w:tcMar>
              <w:bottom w:w="28" w:type="dxa"/>
            </w:tcMar>
            <w:vAlign w:val="center"/>
          </w:tcPr>
          <w:p>
            <w:pPr>
              <w:pStyle w:val="TableContents"/>
              <w:bidi w:val="0"/>
              <w:jc w:val="center"/>
              <w:rPr>
                <w:b/>
              </w:rPr>
            </w:pPr>
            <w:r>
              <w:rPr>
                <w:b/>
              </w:rPr>
              <w:t>At December 31,</w:t>
            </w:r>
          </w:p>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395" w:name="xdx_40F_eus-gaap--InventoryRawMaterials_"/>
            <w:bookmarkEnd w:id="395"/>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4,964,000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5,477,000</w:t>
            </w:r>
          </w:p>
        </w:tc>
        <w:tc>
          <w:tcPr>
            <w:tcW w:w="75" w:type="dxa"/>
            <w:tcBorders/>
            <w:shd w:fill="CCEEFF" w:val="clear"/>
            <w:vAlign w:val="center"/>
          </w:tcPr>
          <w:p>
            <w:pPr>
              <w:pStyle w:val="TableContents"/>
              <w:bidi w:val="0"/>
              <w:spacing w:before="0" w:after="283"/>
              <w:jc w:val="left"/>
              <w:rPr/>
            </w:pPr>
            <w:r>
              <w:rPr/>
              <w:t> </w:t>
            </w:r>
            <w:bookmarkStart w:id="396" w:name="xdx_402_eus-gaap--InventoryWorkInProcess"/>
            <w:bookmarkEnd w:id="396"/>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137,000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54,000</w:t>
            </w:r>
          </w:p>
        </w:tc>
        <w:tc>
          <w:tcPr>
            <w:tcW w:w="75" w:type="dxa"/>
            <w:tcBorders/>
            <w:shd w:fill="FFFFFF" w:val="clear"/>
            <w:vAlign w:val="center"/>
          </w:tcPr>
          <w:p>
            <w:pPr>
              <w:pStyle w:val="TableContents"/>
              <w:bidi w:val="0"/>
              <w:spacing w:before="0" w:after="283"/>
              <w:jc w:val="left"/>
              <w:rPr/>
            </w:pPr>
            <w:r>
              <w:rPr/>
              <w:t> </w:t>
            </w:r>
            <w:bookmarkStart w:id="397" w:name="xdx_409_eus-gaap--InventoryFinishedGoods"/>
            <w:bookmarkEnd w:id="397"/>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center"/>
          </w:tcPr>
          <w:p>
            <w:pPr>
              <w:pStyle w:val="TableContents"/>
              <w:bidi w:val="0"/>
              <w:spacing w:before="0" w:after="283"/>
              <w:jc w:val="right"/>
              <w:rPr/>
            </w:pPr>
            <w:r>
              <w:rPr/>
              <w:t>4,324,000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34" w:type="dxa"/>
            <w:tcBorders>
              <w:bottom w:val="single" w:sz="12" w:space="0" w:color="000000"/>
            </w:tcBorders>
            <w:shd w:fill="CCEEFF" w:val="clear"/>
            <w:tcMar>
              <w:bottom w:w="28" w:type="dxa"/>
            </w:tcMar>
            <w:vAlign w:val="center"/>
          </w:tcPr>
          <w:p>
            <w:pPr>
              <w:pStyle w:val="TableContents"/>
              <w:bidi w:val="0"/>
              <w:spacing w:before="0" w:after="283"/>
              <w:jc w:val="right"/>
              <w:rPr/>
            </w:pPr>
            <w:r>
              <w:rPr/>
              <w:t>5,336,000</w:t>
            </w:r>
          </w:p>
        </w:tc>
        <w:tc>
          <w:tcPr>
            <w:tcW w:w="75" w:type="dxa"/>
            <w:tcBorders/>
            <w:shd w:fill="CCEEFF" w:val="clear"/>
            <w:vAlign w:val="center"/>
          </w:tcPr>
          <w:p>
            <w:pPr>
              <w:pStyle w:val="TableContents"/>
              <w:bidi w:val="0"/>
              <w:spacing w:before="0" w:after="283"/>
              <w:jc w:val="left"/>
              <w:rPr/>
            </w:pPr>
            <w:r>
              <w:rPr/>
              <w:t> </w:t>
            </w:r>
            <w:bookmarkStart w:id="398" w:name="xdx_402_eus-gaap--InventoryNet_iTI_mtCzf"/>
            <w:bookmarkEnd w:id="398"/>
          </w:p>
        </w:tc>
      </w:tr>
      <w:tr>
        <w:trPr/>
        <w:tc>
          <w:tcPr>
            <w:tcW w:w="1670" w:type="dxa"/>
            <w:tcBorders/>
            <w:shd w:fill="FFFFFF" w:val="clear"/>
            <w:vAlign w:val="center"/>
          </w:tcPr>
          <w:p>
            <w:pPr>
              <w:pStyle w:val="TableContents"/>
              <w:bidi w:val="0"/>
              <w:spacing w:before="0" w:after="283"/>
              <w:jc w:val="left"/>
              <w:rPr/>
            </w:pPr>
            <w:r>
              <w:rPr/>
              <w:t>Total inventories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pPr>
            <w:r>
              <w:rPr/>
              <w:t>9,425,000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jc w:val="right"/>
              <w:rPr/>
            </w:pPr>
            <w:r>
              <w:rPr/>
              <w:t>10,867,000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9" w:name="xdx_8A7_zmBLzauNTqL9"/>
      <w:bookmarkEnd w:id="39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0" w:name="xdx_80F_eus-gaap--OtherAssetsDisclosureT"/>
      <w:bookmarkEnd w:id="400"/>
      <w:r>
        <w:rPr>
          <w:rFonts w:ascii="Times New Roman;Times;Serif" w:hAnsi="Times New Roman;Times;Serif"/>
          <w:b/>
          <w:i w:val="false"/>
          <w:caps w:val="false"/>
          <w:smallCaps w:val="false"/>
          <w:sz w:val="20"/>
        </w:rPr>
        <w:t xml:space="preserve">NOTE 6. </w:t>
      </w:r>
      <w:bookmarkStart w:id="401" w:name="xdx_82F_zVicyoWQy1D8"/>
      <w:bookmarkEnd w:id="401"/>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2" w:name="xdx_892_eus-gaap--DeferredCostsCapitaliz"/>
      <w:bookmarkEnd w:id="402"/>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hanging="0"/>
        <w:jc w:val="both"/>
        <w:rPr>
          <w:caps w:val="false"/>
          <w:smallCaps w:val="false"/>
        </w:rPr>
      </w:pPr>
      <w:r>
        <w:rPr>
          <w:caps w:val="false"/>
          <w:smallCaps w:val="false"/>
        </w:rPr>
        <w:t> </w:t>
      </w:r>
      <w:bookmarkStart w:id="403" w:name="xdx_8B1_zVH0XzA0c3j6"/>
      <w:bookmarkEnd w:id="403"/>
      <w:r>
        <w:rPr>
          <w:rFonts w:ascii="Times New Roman;Times;Serif" w:hAnsi="Times New Roman;Times;Serif"/>
          <w:b w:val="false"/>
          <w:i w:val="false"/>
          <w:caps w:val="false"/>
          <w:smallCaps w:val="false"/>
          <w:sz w:val="20"/>
        </w:rPr>
        <w:t>SCHEDULE OF PREPAID EXPENSES AND OTHER CURRENT ASSETS</w:t>
      </w:r>
    </w:p>
    <w:tbl>
      <w:tblPr>
        <w:tblW w:w="8758" w:type="dxa"/>
        <w:jc w:val="left"/>
        <w:tblInd w:w="0" w:type="dxa"/>
        <w:tblLayout w:type="fixed"/>
        <w:tblCellMar>
          <w:top w:w="0" w:type="dxa"/>
          <w:left w:w="0" w:type="dxa"/>
          <w:bottom w:w="0" w:type="dxa"/>
          <w:right w:w="0" w:type="dxa"/>
        </w:tblCellMar>
      </w:tblPr>
      <w:tblGrid>
        <w:gridCol w:w="5585"/>
        <w:gridCol w:w="60"/>
        <w:gridCol w:w="148"/>
        <w:gridCol w:w="1041"/>
        <w:gridCol w:w="60"/>
        <w:gridCol w:w="60"/>
        <w:gridCol w:w="216"/>
        <w:gridCol w:w="1513"/>
        <w:gridCol w:w="75"/>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4" w:name="xdx_49F_20240630_zEole5l8OiE6"/>
            <w:bookmarkEnd w:id="404"/>
          </w:p>
        </w:tc>
        <w:tc>
          <w:tcPr>
            <w:tcW w:w="1189" w:type="dxa"/>
            <w:gridSpan w:val="2"/>
            <w:tcBorders>
              <w:bottom w:val="single" w:sz="12" w:space="0" w:color="000000"/>
            </w:tcBorders>
            <w:tcMar>
              <w:bottom w:w="28" w:type="dxa"/>
            </w:tcMar>
            <w:vAlign w:val="center"/>
          </w:tcPr>
          <w:p>
            <w:pPr>
              <w:pStyle w:val="TableContents"/>
              <w:bidi w:val="0"/>
              <w:jc w:val="center"/>
              <w:rPr>
                <w:b/>
              </w:rPr>
            </w:pPr>
            <w:r>
              <w:rPr>
                <w:b/>
              </w:rPr>
              <w:t>At June 30,</w:t>
            </w:r>
          </w:p>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5" w:name="xdx_49E_20231231_z2XH2VtnGPM9"/>
            <w:bookmarkEnd w:id="405"/>
          </w:p>
        </w:tc>
        <w:tc>
          <w:tcPr>
            <w:tcW w:w="1729" w:type="dxa"/>
            <w:gridSpan w:val="2"/>
            <w:tcBorders>
              <w:bottom w:val="single" w:sz="12" w:space="0" w:color="000000"/>
            </w:tcBorders>
            <w:tcMar>
              <w:bottom w:w="28" w:type="dxa"/>
            </w:tcMar>
            <w:vAlign w:val="center"/>
          </w:tcPr>
          <w:p>
            <w:pPr>
              <w:pStyle w:val="TableContents"/>
              <w:bidi w:val="0"/>
              <w:jc w:val="center"/>
              <w:rPr>
                <w:b/>
              </w:rPr>
            </w:pPr>
            <w:r>
              <w:rPr>
                <w:b/>
              </w:rPr>
              <w:t>At December 31,</w:t>
            </w:r>
          </w:p>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406" w:name="xdx_40A_eus-gaap--PrepaidInsurance_iI_ma"/>
            <w:bookmarkEnd w:id="406"/>
          </w:p>
        </w:tc>
      </w:tr>
      <w:tr>
        <w:trPr/>
        <w:tc>
          <w:tcPr>
            <w:tcW w:w="5585"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041" w:type="dxa"/>
            <w:tcBorders/>
            <w:shd w:fill="CCEEFF" w:val="clear"/>
            <w:vAlign w:val="center"/>
          </w:tcPr>
          <w:p>
            <w:pPr>
              <w:pStyle w:val="TableContents"/>
              <w:bidi w:val="0"/>
              <w:spacing w:before="0" w:after="283"/>
              <w:jc w:val="right"/>
              <w:rPr/>
            </w:pPr>
            <w:r>
              <w:rPr/>
              <w:t>306,000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513" w:type="dxa"/>
            <w:tcBorders/>
            <w:shd w:fill="CCEEFF" w:val="clear"/>
            <w:vAlign w:val="center"/>
          </w:tcPr>
          <w:p>
            <w:pPr>
              <w:pStyle w:val="TableContents"/>
              <w:bidi w:val="0"/>
              <w:spacing w:before="0" w:after="283"/>
              <w:jc w:val="right"/>
              <w:rPr/>
            </w:pPr>
            <w:r>
              <w:rPr/>
              <w:t>1,241,000</w:t>
            </w:r>
          </w:p>
        </w:tc>
        <w:tc>
          <w:tcPr>
            <w:tcW w:w="75" w:type="dxa"/>
            <w:tcBorders/>
            <w:shd w:fill="CCEEFF" w:val="clear"/>
            <w:vAlign w:val="center"/>
          </w:tcPr>
          <w:p>
            <w:pPr>
              <w:pStyle w:val="TableContents"/>
              <w:bidi w:val="0"/>
              <w:spacing w:before="0" w:after="283"/>
              <w:jc w:val="left"/>
              <w:rPr/>
            </w:pPr>
            <w:r>
              <w:rPr/>
              <w:t> </w:t>
            </w:r>
            <w:bookmarkStart w:id="407" w:name="xdx_408_ecustom--PrepaidComputerSoftware"/>
            <w:bookmarkEnd w:id="407"/>
          </w:p>
        </w:tc>
      </w:tr>
      <w:tr>
        <w:trPr/>
        <w:tc>
          <w:tcPr>
            <w:tcW w:w="5585" w:type="dxa"/>
            <w:tcBorders/>
            <w:shd w:fill="FFFFFF" w:val="clear"/>
            <w:vAlign w:val="center"/>
          </w:tcPr>
          <w:p>
            <w:pPr>
              <w:pStyle w:val="TableContents"/>
              <w:bidi w:val="0"/>
              <w:spacing w:before="0" w:after="283"/>
              <w:jc w:val="left"/>
              <w:rPr/>
            </w:pPr>
            <w:r>
              <w:rPr/>
              <w:t>Prepaid computer software licenses and related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952,000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pPr>
            <w:r>
              <w:rPr/>
              <w:t>963,000</w:t>
            </w:r>
          </w:p>
        </w:tc>
        <w:tc>
          <w:tcPr>
            <w:tcW w:w="75" w:type="dxa"/>
            <w:tcBorders/>
            <w:shd w:fill="FFFFFF" w:val="clear"/>
            <w:vAlign w:val="center"/>
          </w:tcPr>
          <w:p>
            <w:pPr>
              <w:pStyle w:val="TableContents"/>
              <w:bidi w:val="0"/>
              <w:spacing w:before="0" w:after="283"/>
              <w:jc w:val="left"/>
              <w:rPr/>
            </w:pPr>
            <w:r>
              <w:rPr/>
              <w:t> </w:t>
            </w:r>
            <w:bookmarkStart w:id="408" w:name="xdx_402_eus-gaap--OtherPrepaidExpenseCur"/>
            <w:bookmarkEnd w:id="408"/>
          </w:p>
        </w:tc>
      </w:tr>
      <w:tr>
        <w:trPr/>
        <w:tc>
          <w:tcPr>
            <w:tcW w:w="5585" w:type="dxa"/>
            <w:tcBorders/>
            <w:shd w:fill="CCEEFF" w:val="clear"/>
            <w:vAlign w:val="center"/>
          </w:tcPr>
          <w:p>
            <w:pPr>
              <w:pStyle w:val="TableContents"/>
              <w:bidi w:val="0"/>
              <w:spacing w:before="0" w:after="283"/>
              <w:jc w:val="left"/>
              <w:rPr/>
            </w:pPr>
            <w:r>
              <w:rPr/>
              <w:t>Other prepaid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2,470,000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1,556,000</w:t>
            </w:r>
          </w:p>
        </w:tc>
        <w:tc>
          <w:tcPr>
            <w:tcW w:w="75" w:type="dxa"/>
            <w:tcBorders/>
            <w:shd w:fill="CCEEFF" w:val="clear"/>
            <w:vAlign w:val="center"/>
          </w:tcPr>
          <w:p>
            <w:pPr>
              <w:pStyle w:val="TableContents"/>
              <w:bidi w:val="0"/>
              <w:spacing w:before="0" w:after="283"/>
              <w:jc w:val="left"/>
              <w:rPr/>
            </w:pPr>
            <w:r>
              <w:rPr/>
              <w:t> </w:t>
            </w:r>
            <w:bookmarkStart w:id="409" w:name="xdx_406_ecustom--ReceivableDueFromRelate"/>
            <w:bookmarkEnd w:id="409"/>
          </w:p>
        </w:tc>
      </w:tr>
      <w:tr>
        <w:trPr/>
        <w:tc>
          <w:tcPr>
            <w:tcW w:w="5585" w:type="dxa"/>
            <w:tcBorders/>
            <w:shd w:fill="FFFFFF" w:val="clear"/>
            <w:vAlign w:val="center"/>
          </w:tcPr>
          <w:p>
            <w:pPr>
              <w:pStyle w:val="TableContents"/>
              <w:bidi w:val="0"/>
              <w:spacing w:before="0" w:after="283"/>
              <w:jc w:val="left"/>
              <w:rPr/>
            </w:pPr>
            <w:r>
              <w:rPr/>
              <w:t>Receivable due from Melt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228,000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pPr>
            <w:r>
              <w:rPr/>
              <w:t>228,000</w:t>
            </w:r>
          </w:p>
        </w:tc>
        <w:tc>
          <w:tcPr>
            <w:tcW w:w="75" w:type="dxa"/>
            <w:tcBorders/>
            <w:shd w:fill="FFFFFF" w:val="clear"/>
            <w:vAlign w:val="center"/>
          </w:tcPr>
          <w:p>
            <w:pPr>
              <w:pStyle w:val="TableContents"/>
              <w:bidi w:val="0"/>
              <w:spacing w:before="0" w:after="283"/>
              <w:jc w:val="left"/>
              <w:rPr/>
            </w:pPr>
            <w:r>
              <w:rPr/>
              <w:t> </w:t>
            </w:r>
            <w:bookmarkStart w:id="410" w:name="xdx_405_ecustom--PrepaidPrescriptionDrug"/>
            <w:bookmarkEnd w:id="410"/>
          </w:p>
        </w:tc>
      </w:tr>
      <w:tr>
        <w:trPr/>
        <w:tc>
          <w:tcPr>
            <w:tcW w:w="5585" w:type="dxa"/>
            <w:tcBorders/>
            <w:shd w:fill="CCEEFF" w:val="clear"/>
            <w:vAlign w:val="center"/>
          </w:tcPr>
          <w:p>
            <w:pPr>
              <w:pStyle w:val="TableContents"/>
              <w:bidi w:val="0"/>
              <w:spacing w:before="0" w:after="283"/>
              <w:jc w:val="left"/>
              <w:rPr/>
            </w:pPr>
            <w:r>
              <w:rPr/>
              <w:t>Prepaid FY 2024 Prescription Drug User (“PDUFA”) fees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41" w:type="dxa"/>
            <w:tcBorders/>
            <w:shd w:fill="CCEEFF" w:val="clear"/>
            <w:vAlign w:val="center"/>
          </w:tcPr>
          <w:p>
            <w:pPr>
              <w:pStyle w:val="TableContents"/>
              <w:bidi w:val="0"/>
              <w:spacing w:before="0" w:after="283"/>
              <w:jc w:val="right"/>
              <w:rPr/>
            </w:pPr>
            <w:r>
              <w:rPr/>
              <w:t>1,146,000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3,438,000</w:t>
            </w:r>
          </w:p>
        </w:tc>
        <w:tc>
          <w:tcPr>
            <w:tcW w:w="75" w:type="dxa"/>
            <w:tcBorders/>
            <w:shd w:fill="CCEEFF" w:val="clear"/>
            <w:vAlign w:val="center"/>
          </w:tcPr>
          <w:p>
            <w:pPr>
              <w:pStyle w:val="TableContents"/>
              <w:bidi w:val="0"/>
              <w:spacing w:before="0" w:after="283"/>
              <w:jc w:val="left"/>
              <w:rPr/>
            </w:pPr>
            <w:r>
              <w:rPr/>
              <w:t> </w:t>
            </w:r>
            <w:bookmarkStart w:id="411" w:name="xdx_40D_ecustom--DeferredCommitmentFee_i"/>
            <w:bookmarkEnd w:id="411"/>
          </w:p>
        </w:tc>
      </w:tr>
      <w:tr>
        <w:trPr/>
        <w:tc>
          <w:tcPr>
            <w:tcW w:w="5585" w:type="dxa"/>
            <w:tcBorders/>
            <w:shd w:fill="FFFFFF" w:val="clear"/>
            <w:vAlign w:val="center"/>
          </w:tcPr>
          <w:p>
            <w:pPr>
              <w:pStyle w:val="TableContents"/>
              <w:bidi w:val="0"/>
              <w:spacing w:before="0" w:after="283"/>
              <w:jc w:val="left"/>
              <w:rPr/>
            </w:pPr>
            <w:r>
              <w:rPr/>
              <w:t>Deferred Oaktree Loan commitment fee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41" w:type="dxa"/>
            <w:tcBorders/>
            <w:shd w:fill="FFFFFF" w:val="clear"/>
            <w:vAlign w:val="center"/>
          </w:tcPr>
          <w:p>
            <w:pPr>
              <w:pStyle w:val="TableContents"/>
              <w:bidi w:val="0"/>
              <w:spacing w:before="0" w:after="283"/>
              <w:jc w:val="right"/>
              <w:rPr/>
            </w:pPr>
            <w:r>
              <w:rPr/>
              <w:t>454,000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513" w:type="dxa"/>
            <w:tcBorders/>
            <w:shd w:fill="FFFFFF" w:val="clear"/>
            <w:vAlign w:val="center"/>
          </w:tcPr>
          <w:p>
            <w:pPr>
              <w:pStyle w:val="TableContents"/>
              <w:bidi w:val="0"/>
              <w:spacing w:before="0" w:after="283"/>
              <w:jc w:val="right"/>
              <w:rPr/>
            </w:pPr>
            <w:r>
              <w:rPr/>
              <w:t>409,000</w:t>
            </w:r>
          </w:p>
        </w:tc>
        <w:tc>
          <w:tcPr>
            <w:tcW w:w="75" w:type="dxa"/>
            <w:tcBorders/>
            <w:shd w:fill="FFFFFF" w:val="clear"/>
            <w:vAlign w:val="center"/>
          </w:tcPr>
          <w:p>
            <w:pPr>
              <w:pStyle w:val="TableContents"/>
              <w:bidi w:val="0"/>
              <w:spacing w:before="0" w:after="283"/>
              <w:jc w:val="left"/>
              <w:rPr/>
            </w:pPr>
            <w:r>
              <w:rPr/>
              <w:t> </w:t>
            </w:r>
            <w:bookmarkStart w:id="412" w:name="xdx_409_eus-gaap--OtherAssetsCurrent_iI_"/>
            <w:bookmarkEnd w:id="412"/>
          </w:p>
        </w:tc>
      </w:tr>
      <w:tr>
        <w:trPr/>
        <w:tc>
          <w:tcPr>
            <w:tcW w:w="5585" w:type="dxa"/>
            <w:tcBorders/>
            <w:shd w:fill="CCEEFF" w:val="clear"/>
            <w:vAlign w:val="center"/>
          </w:tcPr>
          <w:p>
            <w:pPr>
              <w:pStyle w:val="TableContents"/>
              <w:bidi w:val="0"/>
              <w:spacing w:before="0" w:after="283"/>
              <w:jc w:val="left"/>
              <w:rPr/>
            </w:pPr>
            <w:r>
              <w:rPr/>
              <w:t>Deposits and other current assets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1" w:type="dxa"/>
            <w:tcBorders>
              <w:bottom w:val="single" w:sz="12" w:space="0" w:color="000000"/>
            </w:tcBorders>
            <w:shd w:fill="CCEEFF" w:val="clear"/>
            <w:tcMar>
              <w:bottom w:w="28" w:type="dxa"/>
            </w:tcMar>
            <w:vAlign w:val="center"/>
          </w:tcPr>
          <w:p>
            <w:pPr>
              <w:pStyle w:val="TableContents"/>
              <w:bidi w:val="0"/>
              <w:spacing w:before="0" w:after="283"/>
              <w:jc w:val="right"/>
              <w:rPr/>
            </w:pPr>
            <w:r>
              <w:rPr/>
              <w:t>1,453,000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3" w:type="dxa"/>
            <w:tcBorders>
              <w:bottom w:val="single" w:sz="12" w:space="0" w:color="000000"/>
            </w:tcBorders>
            <w:shd w:fill="CCEEFF" w:val="clear"/>
            <w:tcMar>
              <w:bottom w:w="28" w:type="dxa"/>
            </w:tcMar>
            <w:vAlign w:val="center"/>
          </w:tcPr>
          <w:p>
            <w:pPr>
              <w:pStyle w:val="TableContents"/>
              <w:bidi w:val="0"/>
              <w:spacing w:before="0" w:after="283"/>
              <w:jc w:val="right"/>
              <w:rPr/>
            </w:pPr>
            <w:r>
              <w:rPr/>
              <w:t>1,753,000</w:t>
            </w:r>
          </w:p>
        </w:tc>
        <w:tc>
          <w:tcPr>
            <w:tcW w:w="75" w:type="dxa"/>
            <w:tcBorders/>
            <w:shd w:fill="CCEEFF" w:val="clear"/>
            <w:vAlign w:val="center"/>
          </w:tcPr>
          <w:p>
            <w:pPr>
              <w:pStyle w:val="TableContents"/>
              <w:bidi w:val="0"/>
              <w:spacing w:before="0" w:after="283"/>
              <w:jc w:val="left"/>
              <w:rPr/>
            </w:pPr>
            <w:r>
              <w:rPr/>
              <w:t> </w:t>
            </w:r>
            <w:bookmarkStart w:id="413" w:name="xdx_40C_eus-gaap--PrepaidExpenseAndOther"/>
            <w:bookmarkEnd w:id="413"/>
          </w:p>
        </w:tc>
      </w:tr>
      <w:tr>
        <w:trPr/>
        <w:tc>
          <w:tcPr>
            <w:tcW w:w="5585" w:type="dxa"/>
            <w:tcBorders/>
            <w:shd w:fill="FFFFFF" w:val="clear"/>
            <w:vAlign w:val="center"/>
          </w:tcPr>
          <w:p>
            <w:pPr>
              <w:pStyle w:val="TableContents"/>
              <w:bidi w:val="0"/>
              <w:spacing w:before="0" w:after="283"/>
              <w:jc w:val="left"/>
              <w:rPr/>
            </w:pPr>
            <w:r>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1" w:type="dxa"/>
            <w:tcBorders>
              <w:bottom w:val="double" w:sz="6" w:space="0" w:color="000000"/>
            </w:tcBorders>
            <w:shd w:fill="FFFFFF" w:val="clear"/>
            <w:tcMar>
              <w:bottom w:w="28" w:type="dxa"/>
            </w:tcMar>
            <w:vAlign w:val="center"/>
          </w:tcPr>
          <w:p>
            <w:pPr>
              <w:pStyle w:val="TableContents"/>
              <w:bidi w:val="0"/>
              <w:spacing w:before="0" w:after="283"/>
              <w:jc w:val="right"/>
              <w:rPr/>
            </w:pPr>
            <w:r>
              <w:rPr/>
              <w:t>7,009,000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13" w:type="dxa"/>
            <w:tcBorders>
              <w:bottom w:val="double" w:sz="6" w:space="0" w:color="000000"/>
            </w:tcBorders>
            <w:shd w:fill="FFFFFF" w:val="clear"/>
            <w:tcMar>
              <w:bottom w:w="28" w:type="dxa"/>
            </w:tcMar>
            <w:vAlign w:val="center"/>
          </w:tcPr>
          <w:p>
            <w:pPr>
              <w:pStyle w:val="TableContents"/>
              <w:bidi w:val="0"/>
              <w:spacing w:before="0" w:after="283"/>
              <w:jc w:val="right"/>
              <w:rPr/>
            </w:pPr>
            <w:r>
              <w:rPr/>
              <w:t>9,588,000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4" w:name="xdx_8A2_zw5AN6FgGn09"/>
      <w:bookmarkEnd w:id="414"/>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bookmarkStart w:id="415" w:name="xdx_802_eus-gaap--PropertyPlantAndEquipm"/>
      <w:bookmarkEnd w:id="415"/>
      <w:r>
        <w:rPr>
          <w:rFonts w:ascii="Times New Roman;Times;Serif" w:hAnsi="Times New Roman;Times;Serif"/>
          <w:b/>
          <w:i w:val="false"/>
          <w:caps w:val="false"/>
          <w:smallCaps w:val="false"/>
          <w:sz w:val="20"/>
        </w:rPr>
        <w:t xml:space="preserve">NOTE 7. </w:t>
      </w:r>
      <w:bookmarkStart w:id="416" w:name="xdx_82B_zOUslso4QJij"/>
      <w:bookmarkEnd w:id="416"/>
      <w:r>
        <w:rPr>
          <w:rFonts w:ascii="Times New Roman;Times;Serif" w:hAnsi="Times New Roman;Times;Serif"/>
          <w:b/>
          <w:i w:val="false"/>
          <w:caps w:val="false"/>
          <w:smallCaps w:val="false"/>
          <w:sz w:val="20"/>
        </w:rPr>
        <w:t xml:space="preserve">PROPERTY, PLANT AND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7" w:name="xdx_89A_eus-gaap--PropertyPlantAndEquipm"/>
      <w:bookmarkEnd w:id="417"/>
      <w:r>
        <w:rPr>
          <w:rFonts w:ascii="Times New Roman;Times;Serif" w:hAnsi="Times New Roman;Times;Serif"/>
          <w:b w:val="false"/>
          <w:i w:val="false"/>
          <w:caps w:val="false"/>
          <w:smallCaps w:val="false"/>
          <w:sz w:val="20"/>
        </w:rPr>
        <w:t>Property, plant and equipment consisted of the following:</w:t>
      </w:r>
    </w:p>
    <w:p>
      <w:pPr>
        <w:pStyle w:val="TextBody"/>
        <w:bidi w:val="0"/>
        <w:spacing w:before="0" w:after="0"/>
        <w:ind w:left="0" w:right="0" w:hanging="0"/>
        <w:jc w:val="both"/>
        <w:rPr>
          <w:caps w:val="false"/>
          <w:smallCaps w:val="false"/>
        </w:rPr>
      </w:pPr>
      <w:r>
        <w:rPr>
          <w:caps w:val="false"/>
          <w:smallCaps w:val="false"/>
        </w:rPr>
        <w:t> </w:t>
      </w:r>
      <w:bookmarkStart w:id="418" w:name="xdx_8BA_zM9mo3tegUd7"/>
      <w:bookmarkEnd w:id="418"/>
      <w:r>
        <w:rPr>
          <w:rFonts w:ascii="Times New Roman;Times;Serif" w:hAnsi="Times New Roman;Times;Serif"/>
          <w:b w:val="false"/>
          <w:i w:val="false"/>
          <w:caps w:val="false"/>
          <w:smallCaps w:val="false"/>
          <w:sz w:val="20"/>
        </w:rPr>
        <w:t>SCHEDULE OF PROPERTY, PLANT AND EQUIPMENT</w:t>
      </w:r>
    </w:p>
    <w:tbl>
      <w:tblPr>
        <w:tblW w:w="6719" w:type="dxa"/>
        <w:jc w:val="left"/>
        <w:tblInd w:w="0" w:type="dxa"/>
        <w:tblLayout w:type="fixed"/>
        <w:tblCellMar>
          <w:top w:w="0" w:type="dxa"/>
          <w:left w:w="0" w:type="dxa"/>
          <w:bottom w:w="0" w:type="dxa"/>
          <w:right w:w="0" w:type="dxa"/>
        </w:tblCellMar>
      </w:tblPr>
      <w:tblGrid>
        <w:gridCol w:w="3350"/>
        <w:gridCol w:w="60"/>
        <w:gridCol w:w="140"/>
        <w:gridCol w:w="1175"/>
        <w:gridCol w:w="95"/>
        <w:gridCol w:w="60"/>
        <w:gridCol w:w="184"/>
        <w:gridCol w:w="1545"/>
        <w:gridCol w:w="11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9" w:name="xdx_49F_20240630_z79czxAI9ZEj"/>
            <w:bookmarkEnd w:id="419"/>
          </w:p>
        </w:tc>
        <w:tc>
          <w:tcPr>
            <w:tcW w:w="1315" w:type="dxa"/>
            <w:gridSpan w:val="2"/>
            <w:tcBorders>
              <w:bottom w:val="single" w:sz="12" w:space="0" w:color="000000"/>
            </w:tcBorders>
            <w:tcMar>
              <w:bottom w:w="28" w:type="dxa"/>
            </w:tcMar>
            <w:vAlign w:val="center"/>
          </w:tcPr>
          <w:p>
            <w:pPr>
              <w:pStyle w:val="TableContents"/>
              <w:bidi w:val="0"/>
              <w:jc w:val="center"/>
              <w:rPr>
                <w:b/>
              </w:rPr>
            </w:pPr>
            <w:r>
              <w:rPr>
                <w:b/>
              </w:rPr>
              <w:t>At June 30,</w:t>
            </w:r>
          </w:p>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0" w:name="xdx_49C_20231231_z1UDFpmuf9M1"/>
            <w:bookmarkEnd w:id="420"/>
          </w:p>
        </w:tc>
        <w:tc>
          <w:tcPr>
            <w:tcW w:w="1729" w:type="dxa"/>
            <w:gridSpan w:val="2"/>
            <w:tcBorders>
              <w:bottom w:val="single" w:sz="12" w:space="0" w:color="000000"/>
            </w:tcBorders>
            <w:tcMar>
              <w:bottom w:w="28" w:type="dxa"/>
            </w:tcMar>
            <w:vAlign w:val="center"/>
          </w:tcPr>
          <w:p>
            <w:pPr>
              <w:pStyle w:val="TableContents"/>
              <w:bidi w:val="0"/>
              <w:jc w:val="center"/>
              <w:rPr>
                <w:b/>
              </w:rPr>
            </w:pPr>
            <w:r>
              <w:rPr>
                <w:b/>
              </w:rPr>
              <w:t>At December 31,</w:t>
            </w:r>
          </w:p>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21" w:name="xdx_400_ecustom--ComputerHardwareGross_i"/>
            <w:bookmarkEnd w:id="421"/>
          </w:p>
        </w:tc>
      </w:tr>
      <w:tr>
        <w:trPr/>
        <w:tc>
          <w:tcPr>
            <w:tcW w:w="3350" w:type="dxa"/>
            <w:tcBorders/>
            <w:shd w:fill="FFFFFF" w:val="clear"/>
            <w:vAlign w:val="center"/>
          </w:tcPr>
          <w:p>
            <w:pPr>
              <w:pStyle w:val="TableContents"/>
              <w:bidi w:val="0"/>
              <w:spacing w:before="0" w:after="283"/>
              <w:jc w:val="left"/>
              <w:rPr/>
            </w:pPr>
            <w:r>
              <w:rPr/>
              <w:t>Computer hardware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1,434,000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545" w:type="dxa"/>
            <w:tcBorders/>
            <w:shd w:fill="FFFFFF" w:val="clear"/>
            <w:vAlign w:val="center"/>
          </w:tcPr>
          <w:p>
            <w:pPr>
              <w:pStyle w:val="TableContents"/>
              <w:bidi w:val="0"/>
              <w:spacing w:before="0" w:after="283"/>
              <w:jc w:val="right"/>
              <w:rPr/>
            </w:pPr>
            <w:r>
              <w:rPr/>
              <w:t>1,322,000</w:t>
            </w:r>
          </w:p>
        </w:tc>
        <w:tc>
          <w:tcPr>
            <w:tcW w:w="110" w:type="dxa"/>
            <w:tcBorders/>
            <w:shd w:fill="FFFFFF" w:val="clear"/>
            <w:vAlign w:val="center"/>
          </w:tcPr>
          <w:p>
            <w:pPr>
              <w:pStyle w:val="TableContents"/>
              <w:bidi w:val="0"/>
              <w:spacing w:before="0" w:after="283"/>
              <w:jc w:val="left"/>
              <w:rPr/>
            </w:pPr>
            <w:r>
              <w:rPr/>
              <w:t> </w:t>
            </w:r>
            <w:bookmarkStart w:id="422" w:name="xdx_40A_eus-gaap--FurnitureAndFixturesGr"/>
            <w:bookmarkEnd w:id="422"/>
          </w:p>
        </w:tc>
      </w:tr>
      <w:tr>
        <w:trPr/>
        <w:tc>
          <w:tcPr>
            <w:tcW w:w="3350"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942,000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pPr>
            <w:r>
              <w:rPr/>
              <w:t>936,000</w:t>
            </w:r>
          </w:p>
        </w:tc>
        <w:tc>
          <w:tcPr>
            <w:tcW w:w="110" w:type="dxa"/>
            <w:tcBorders/>
            <w:shd w:fill="CCEEFF" w:val="clear"/>
            <w:vAlign w:val="center"/>
          </w:tcPr>
          <w:p>
            <w:pPr>
              <w:pStyle w:val="TableContents"/>
              <w:bidi w:val="0"/>
              <w:spacing w:before="0" w:after="283"/>
              <w:jc w:val="left"/>
              <w:rPr/>
            </w:pPr>
            <w:r>
              <w:rPr/>
              <w:t> </w:t>
            </w:r>
            <w:bookmarkStart w:id="423" w:name="xdx_40C_eus-gaap--MachineryAndEquipmentG"/>
            <w:bookmarkEnd w:id="423"/>
          </w:p>
        </w:tc>
      </w:tr>
      <w:tr>
        <w:trPr/>
        <w:tc>
          <w:tcPr>
            <w:tcW w:w="3350" w:type="dxa"/>
            <w:tcBorders/>
            <w:shd w:fill="FFFFFF" w:val="clear"/>
            <w:vAlign w:val="center"/>
          </w:tcPr>
          <w:p>
            <w:pPr>
              <w:pStyle w:val="TableContents"/>
              <w:bidi w:val="0"/>
              <w:spacing w:before="0" w:after="283"/>
              <w:jc w:val="left"/>
              <w:rPr/>
            </w:pPr>
            <w:r>
              <w:rPr/>
              <w:t>Lab and pharmacy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4,737,000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t>4,564,000</w:t>
            </w:r>
          </w:p>
        </w:tc>
        <w:tc>
          <w:tcPr>
            <w:tcW w:w="110" w:type="dxa"/>
            <w:tcBorders/>
            <w:shd w:fill="FFFFFF" w:val="clear"/>
            <w:vAlign w:val="center"/>
          </w:tcPr>
          <w:p>
            <w:pPr>
              <w:pStyle w:val="TableContents"/>
              <w:bidi w:val="0"/>
              <w:spacing w:before="0" w:after="283"/>
              <w:jc w:val="left"/>
              <w:rPr/>
            </w:pPr>
            <w:r>
              <w:rPr/>
              <w:t> </w:t>
            </w:r>
            <w:bookmarkStart w:id="424" w:name="xdx_40A_eus-gaap--LeaseholdImprovementsG"/>
            <w:bookmarkEnd w:id="424"/>
          </w:p>
        </w:tc>
      </w:tr>
      <w:tr>
        <w:trPr/>
        <w:tc>
          <w:tcPr>
            <w:tcW w:w="335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6,844,000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5" w:type="dxa"/>
            <w:tcBorders>
              <w:bottom w:val="single" w:sz="12" w:space="0" w:color="000000"/>
            </w:tcBorders>
            <w:shd w:fill="CCEEFF" w:val="clear"/>
            <w:tcMar>
              <w:bottom w:w="28" w:type="dxa"/>
            </w:tcMar>
            <w:vAlign w:val="center"/>
          </w:tcPr>
          <w:p>
            <w:pPr>
              <w:pStyle w:val="TableContents"/>
              <w:bidi w:val="0"/>
              <w:spacing w:before="0" w:after="283"/>
              <w:jc w:val="right"/>
              <w:rPr/>
            </w:pPr>
            <w:r>
              <w:rPr/>
              <w:t>6,771,000</w:t>
            </w:r>
          </w:p>
        </w:tc>
        <w:tc>
          <w:tcPr>
            <w:tcW w:w="110" w:type="dxa"/>
            <w:tcBorders/>
            <w:shd w:fill="CCEEFF" w:val="clear"/>
            <w:vAlign w:val="center"/>
          </w:tcPr>
          <w:p>
            <w:pPr>
              <w:pStyle w:val="TableContents"/>
              <w:bidi w:val="0"/>
              <w:spacing w:before="0" w:after="283"/>
              <w:jc w:val="left"/>
              <w:rPr/>
            </w:pPr>
            <w:r>
              <w:rPr/>
              <w:t> </w:t>
            </w:r>
            <w:bookmarkStart w:id="425" w:name="xdx_40D_eus-gaap--PropertyPlantAndEquipm"/>
            <w:bookmarkEnd w:id="425"/>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13,957,000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t>13,593,000</w:t>
            </w:r>
          </w:p>
        </w:tc>
        <w:tc>
          <w:tcPr>
            <w:tcW w:w="110" w:type="dxa"/>
            <w:tcBorders/>
            <w:shd w:fill="FFFFFF" w:val="clear"/>
            <w:vAlign w:val="center"/>
          </w:tcPr>
          <w:p>
            <w:pPr>
              <w:pStyle w:val="TableContents"/>
              <w:bidi w:val="0"/>
              <w:spacing w:before="0" w:after="283"/>
              <w:jc w:val="left"/>
              <w:rPr/>
            </w:pPr>
            <w:r>
              <w:rPr/>
              <w:t> </w:t>
            </w:r>
            <w:bookmarkStart w:id="426" w:name="xdx_406_eus-gaap--AccumulatedDepreciatio"/>
            <w:bookmarkEnd w:id="426"/>
          </w:p>
        </w:tc>
      </w:tr>
      <w:tr>
        <w:trPr/>
        <w:tc>
          <w:tcPr>
            <w:tcW w:w="3350"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(10,669,000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5" w:type="dxa"/>
            <w:tcBorders>
              <w:bottom w:val="single" w:sz="12" w:space="0" w:color="000000"/>
            </w:tcBorders>
            <w:shd w:fill="CCEEFF" w:val="clear"/>
            <w:tcMar>
              <w:bottom w:w="28" w:type="dxa"/>
            </w:tcMar>
            <w:vAlign w:val="center"/>
          </w:tcPr>
          <w:p>
            <w:pPr>
              <w:pStyle w:val="TableContents"/>
              <w:bidi w:val="0"/>
              <w:spacing w:before="0" w:after="283"/>
              <w:jc w:val="right"/>
              <w:rPr/>
            </w:pPr>
            <w:r>
              <w:rPr/>
              <w:t>(10,072,000</w:t>
            </w:r>
          </w:p>
        </w:tc>
        <w:tc>
          <w:tcPr>
            <w:tcW w:w="110" w:type="dxa"/>
            <w:tcBorders/>
            <w:shd w:fill="CCEEFF" w:val="clear"/>
            <w:vAlign w:val="center"/>
          </w:tcPr>
          <w:p>
            <w:pPr>
              <w:pStyle w:val="TableContents"/>
              <w:bidi w:val="0"/>
              <w:spacing w:before="0" w:after="283"/>
              <w:jc w:val="left"/>
              <w:rPr/>
            </w:pPr>
            <w:r>
              <w:rPr/>
              <w:t>)</w:t>
            </w:r>
            <w:bookmarkStart w:id="427" w:name="xdx_40B_eus-gaap--PropertyPlantAndEquipm"/>
            <w:bookmarkEnd w:id="427"/>
          </w:p>
        </w:tc>
      </w:tr>
      <w:tr>
        <w:trPr/>
        <w:tc>
          <w:tcPr>
            <w:tcW w:w="3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3,288,000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5" w:type="dxa"/>
            <w:tcBorders>
              <w:bottom w:val="double" w:sz="6" w:space="0" w:color="000000"/>
            </w:tcBorders>
            <w:shd w:fill="FFFFFF" w:val="clear"/>
            <w:tcMar>
              <w:bottom w:w="28" w:type="dxa"/>
            </w:tcMar>
            <w:vAlign w:val="center"/>
          </w:tcPr>
          <w:p>
            <w:pPr>
              <w:pStyle w:val="TableContents"/>
              <w:bidi w:val="0"/>
              <w:spacing w:before="0" w:after="283"/>
              <w:jc w:val="right"/>
              <w:rPr/>
            </w:pPr>
            <w:r>
              <w:rPr/>
              <w:t>3,521,000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8" w:name="xdx_8A7_zETD004Tckwb"/>
      <w:bookmarkEnd w:id="42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2024, depreciation related to property, plant and equipment was $</w:t>
      </w:r>
      <w:bookmarkStart w:id="429" w:name="xdx_902_eus-gaap--Depreciation_c20240401"/>
      <w:bookmarkEnd w:id="429"/>
      <w:r>
        <w:rPr>
          <w:rFonts w:ascii="Times New Roman;Times;Serif" w:hAnsi="Times New Roman;Times;Serif"/>
          <w:b w:val="false"/>
          <w:i w:val="false"/>
          <w:caps w:val="false"/>
          <w:smallCaps w:val="false"/>
          <w:sz w:val="20"/>
        </w:rPr>
        <w:t>301,000 and $</w:t>
      </w:r>
      <w:bookmarkStart w:id="430" w:name="xdx_903_eus-gaap--Depreciation_c20240101"/>
      <w:bookmarkEnd w:id="430"/>
      <w:r>
        <w:rPr>
          <w:rFonts w:ascii="Times New Roman;Times;Serif" w:hAnsi="Times New Roman;Times;Serif"/>
          <w:b w:val="false"/>
          <w:i w:val="false"/>
          <w:caps w:val="false"/>
          <w:smallCaps w:val="false"/>
          <w:sz w:val="20"/>
        </w:rPr>
        <w:t>597,000, respectively, compared to $</w:t>
      </w:r>
      <w:bookmarkStart w:id="431" w:name="xdx_906_eus-gaap--Depreciation_c20230401"/>
      <w:bookmarkEnd w:id="431"/>
      <w:r>
        <w:rPr>
          <w:rFonts w:ascii="Times New Roman;Times;Serif" w:hAnsi="Times New Roman;Times;Serif"/>
          <w:b w:val="false"/>
          <w:i w:val="false"/>
          <w:caps w:val="false"/>
          <w:smallCaps w:val="false"/>
          <w:sz w:val="20"/>
        </w:rPr>
        <w:t>228,000 and $</w:t>
      </w:r>
      <w:bookmarkStart w:id="432" w:name="xdx_90E_eus-gaap--Depreciation_c20230101"/>
      <w:bookmarkEnd w:id="432"/>
      <w:r>
        <w:rPr>
          <w:rFonts w:ascii="Times New Roman;Times;Serif" w:hAnsi="Times New Roman;Times;Serif"/>
          <w:b w:val="false"/>
          <w:i w:val="false"/>
          <w:caps w:val="false"/>
          <w:smallCaps w:val="false"/>
          <w:sz w:val="20"/>
        </w:rPr>
        <w:t>453,000 during the same periods in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bookmarkStart w:id="433" w:name="xdx_80C_ecustom--CapitalizedSoftwareCost"/>
      <w:bookmarkEnd w:id="433"/>
      <w:r>
        <w:rPr>
          <w:rFonts w:ascii="Times New Roman;Times;Serif" w:hAnsi="Times New Roman;Times;Serif"/>
          <w:b/>
          <w:i w:val="false"/>
          <w:caps w:val="false"/>
          <w:smallCaps w:val="false"/>
          <w:sz w:val="20"/>
        </w:rPr>
        <w:t xml:space="preserve">NOTE 8. </w:t>
      </w:r>
      <w:bookmarkStart w:id="434" w:name="xdx_827_zcIeCeWOr4we"/>
      <w:bookmarkEnd w:id="434"/>
      <w:r>
        <w:rPr>
          <w:rFonts w:ascii="Times New Roman;Times;Serif" w:hAnsi="Times New Roman;Times;Serif"/>
          <w:b/>
          <w:i w:val="false"/>
          <w:caps w:val="false"/>
          <w:smallCaps w:val="false"/>
          <w:sz w:val="20"/>
        </w:rPr>
        <w:t xml:space="preserve">CAPITALIZED SOFTWARE COSTS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5" w:name="xdx_89B_ecustom--CapitalizedSoftwareDeve"/>
      <w:bookmarkEnd w:id="435"/>
      <w:r>
        <w:rPr>
          <w:rFonts w:ascii="Times New Roman;Times;Serif" w:hAnsi="Times New Roman;Times;Serif"/>
          <w:b w:val="false"/>
          <w:i w:val="false"/>
          <w:caps w:val="false"/>
          <w:smallCaps w:val="false"/>
          <w:sz w:val="20"/>
        </w:rPr>
        <w:t>Capitalized software costs consisted of the following:</w:t>
      </w:r>
    </w:p>
    <w:p>
      <w:pPr>
        <w:pStyle w:val="TextBody"/>
        <w:bidi w:val="0"/>
        <w:spacing w:before="0" w:after="0"/>
        <w:ind w:left="0" w:right="0" w:hanging="0"/>
        <w:jc w:val="both"/>
        <w:rPr>
          <w:caps w:val="false"/>
          <w:smallCaps w:val="false"/>
        </w:rPr>
      </w:pPr>
      <w:r>
        <w:rPr>
          <w:caps w:val="false"/>
          <w:smallCaps w:val="false"/>
        </w:rPr>
        <w:t> </w:t>
      </w:r>
      <w:bookmarkStart w:id="436" w:name="xdx_8BB_z76xANb71cx3"/>
      <w:bookmarkEnd w:id="436"/>
      <w:r>
        <w:rPr>
          <w:rFonts w:ascii="Times New Roman;Times;Serif" w:hAnsi="Times New Roman;Times;Serif"/>
          <w:b w:val="false"/>
          <w:i w:val="false"/>
          <w:caps w:val="false"/>
          <w:smallCaps w:val="false"/>
          <w:sz w:val="20"/>
        </w:rPr>
        <w:t>SCHEDULE OF CAPITALIZED SOFTWARE COSTS</w:t>
      </w:r>
    </w:p>
    <w:tbl>
      <w:tblPr>
        <w:tblW w:w="8279" w:type="dxa"/>
        <w:jc w:val="left"/>
        <w:tblInd w:w="0" w:type="dxa"/>
        <w:tblLayout w:type="fixed"/>
        <w:tblCellMar>
          <w:top w:w="0" w:type="dxa"/>
          <w:left w:w="0" w:type="dxa"/>
          <w:bottom w:w="0" w:type="dxa"/>
          <w:right w:w="0" w:type="dxa"/>
        </w:tblCellMar>
      </w:tblPr>
      <w:tblGrid>
        <w:gridCol w:w="5030"/>
        <w:gridCol w:w="60"/>
        <w:gridCol w:w="140"/>
        <w:gridCol w:w="1055"/>
        <w:gridCol w:w="95"/>
        <w:gridCol w:w="60"/>
        <w:gridCol w:w="202"/>
        <w:gridCol w:w="1527"/>
        <w:gridCol w:w="110"/>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7" w:name="xdx_491_20240630_zAOW6rIiSNG5"/>
            <w:bookmarkEnd w:id="437"/>
          </w:p>
        </w:tc>
        <w:tc>
          <w:tcPr>
            <w:tcW w:w="1195" w:type="dxa"/>
            <w:gridSpan w:val="2"/>
            <w:tcBorders>
              <w:bottom w:val="single" w:sz="12" w:space="0" w:color="000000"/>
            </w:tcBorders>
            <w:tcMar>
              <w:bottom w:w="28" w:type="dxa"/>
            </w:tcMar>
            <w:vAlign w:val="center"/>
          </w:tcPr>
          <w:p>
            <w:pPr>
              <w:pStyle w:val="TableContents"/>
              <w:bidi w:val="0"/>
              <w:jc w:val="center"/>
              <w:rPr>
                <w:b/>
              </w:rPr>
            </w:pPr>
            <w:r>
              <w:rPr>
                <w:b/>
              </w:rPr>
              <w:t>At June 30,</w:t>
            </w:r>
          </w:p>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8" w:name="xdx_49D_20231231_zaVxXRzXAzQa"/>
            <w:bookmarkEnd w:id="438"/>
          </w:p>
        </w:tc>
        <w:tc>
          <w:tcPr>
            <w:tcW w:w="1729" w:type="dxa"/>
            <w:gridSpan w:val="2"/>
            <w:tcBorders>
              <w:bottom w:val="single" w:sz="12" w:space="0" w:color="000000"/>
            </w:tcBorders>
            <w:tcMar>
              <w:bottom w:w="28" w:type="dxa"/>
            </w:tcMar>
            <w:vAlign w:val="center"/>
          </w:tcPr>
          <w:p>
            <w:pPr>
              <w:pStyle w:val="TableContents"/>
              <w:bidi w:val="0"/>
              <w:jc w:val="center"/>
              <w:rPr>
                <w:b/>
              </w:rPr>
            </w:pPr>
            <w:r>
              <w:rPr>
                <w:b/>
              </w:rPr>
              <w:t>At December 31,</w:t>
            </w:r>
          </w:p>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283"/>
              <w:jc w:val="left"/>
              <w:rPr/>
            </w:pPr>
            <w:r>
              <w:rPr/>
              <w:t>Capitalized software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439" w:name="xdx_402_eus-gaap--CapitalizedComputerSof"/>
            <w:bookmarkEnd w:id="439"/>
          </w:p>
        </w:tc>
      </w:tr>
      <w:tr>
        <w:trPr/>
        <w:tc>
          <w:tcPr>
            <w:tcW w:w="5030" w:type="dxa"/>
            <w:tcBorders/>
            <w:shd w:fill="FFFFFF" w:val="clear"/>
            <w:vAlign w:val="center"/>
          </w:tcPr>
          <w:p>
            <w:pPr>
              <w:pStyle w:val="TableContents"/>
              <w:bidi w:val="0"/>
              <w:spacing w:before="0" w:after="283"/>
              <w:jc w:val="left"/>
              <w:rPr/>
            </w:pPr>
            <w:r>
              <w:rPr/>
              <w:t>Capitalized internal-use software development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3,318,000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w:t>
            </w:r>
          </w:p>
        </w:tc>
        <w:tc>
          <w:tcPr>
            <w:tcW w:w="1527" w:type="dxa"/>
            <w:tcBorders/>
            <w:shd w:fill="FFFFFF" w:val="clear"/>
            <w:vAlign w:val="center"/>
          </w:tcPr>
          <w:p>
            <w:pPr>
              <w:pStyle w:val="TableContents"/>
              <w:bidi w:val="0"/>
              <w:spacing w:before="0" w:after="283"/>
              <w:jc w:val="right"/>
              <w:rPr/>
            </w:pPr>
            <w:r>
              <w:rPr/>
              <w:t>2,780,000</w:t>
            </w:r>
          </w:p>
        </w:tc>
        <w:tc>
          <w:tcPr>
            <w:tcW w:w="110" w:type="dxa"/>
            <w:tcBorders/>
            <w:shd w:fill="FFFFFF" w:val="clear"/>
            <w:vAlign w:val="center"/>
          </w:tcPr>
          <w:p>
            <w:pPr>
              <w:pStyle w:val="TableContents"/>
              <w:bidi w:val="0"/>
              <w:spacing w:before="0" w:after="283"/>
              <w:jc w:val="left"/>
              <w:rPr/>
            </w:pPr>
            <w:r>
              <w:rPr/>
              <w:t> </w:t>
            </w:r>
            <w:bookmarkStart w:id="440" w:name="xdx_407_eus-gaap--CapitalizedComputerSof"/>
            <w:bookmarkEnd w:id="440"/>
          </w:p>
        </w:tc>
      </w:tr>
      <w:tr>
        <w:trPr/>
        <w:tc>
          <w:tcPr>
            <w:tcW w:w="5030" w:type="dxa"/>
            <w:tcBorders/>
            <w:shd w:fill="CCEEFF" w:val="clear"/>
            <w:vAlign w:val="center"/>
          </w:tcPr>
          <w:p>
            <w:pPr>
              <w:pStyle w:val="TableContents"/>
              <w:bidi w:val="0"/>
              <w:spacing w:before="0" w:after="283"/>
              <w:jc w:val="left"/>
              <w:rPr/>
            </w:pPr>
            <w:r>
              <w:rPr/>
              <w:t>Acquired third-party software license for internal-use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27" w:type="dxa"/>
            <w:tcBorders>
              <w:bottom w:val="single" w:sz="12" w:space="0" w:color="000000"/>
            </w:tcBorders>
            <w:shd w:fill="CCEEFF" w:val="clear"/>
            <w:tcMar>
              <w:bottom w:w="28" w:type="dxa"/>
            </w:tcMar>
            <w:vAlign w:val="center"/>
          </w:tcPr>
          <w:p>
            <w:pPr>
              <w:pStyle w:val="TableContents"/>
              <w:bidi w:val="0"/>
              <w:spacing w:before="0" w:after="283"/>
              <w:jc w:val="right"/>
              <w:rPr/>
            </w:pPr>
            <w:r>
              <w:rPr/>
              <w:t>159,000</w:t>
            </w:r>
          </w:p>
        </w:tc>
        <w:tc>
          <w:tcPr>
            <w:tcW w:w="110" w:type="dxa"/>
            <w:tcBorders/>
            <w:shd w:fill="CCEEFF" w:val="clear"/>
            <w:vAlign w:val="center"/>
          </w:tcPr>
          <w:p>
            <w:pPr>
              <w:pStyle w:val="TableContents"/>
              <w:bidi w:val="0"/>
              <w:spacing w:before="0" w:after="283"/>
              <w:jc w:val="left"/>
              <w:rPr/>
            </w:pPr>
            <w:r>
              <w:rPr/>
              <w:t> </w:t>
            </w:r>
            <w:bookmarkStart w:id="441" w:name="xdx_402_eus-gaap--CapitalizedComputerSof"/>
            <w:bookmarkEnd w:id="441"/>
          </w:p>
        </w:tc>
      </w:tr>
      <w:tr>
        <w:trPr/>
        <w:tc>
          <w:tcPr>
            <w:tcW w:w="5030" w:type="dxa"/>
            <w:tcBorders/>
            <w:shd w:fill="FFFFFF" w:val="clear"/>
            <w:vAlign w:val="center"/>
          </w:tcPr>
          <w:p>
            <w:pPr>
              <w:pStyle w:val="TableContents"/>
              <w:bidi w:val="0"/>
              <w:spacing w:before="0" w:after="283"/>
              <w:jc w:val="left"/>
              <w:rPr/>
            </w:pPr>
            <w:r>
              <w:rPr/>
              <w:t>Total gross capitalized software for internal-use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3,522,000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single" w:sz="12" w:space="0" w:color="000000"/>
            </w:tcBorders>
            <w:shd w:fill="FFFFFF" w:val="clear"/>
            <w:tcMar>
              <w:bottom w:w="28" w:type="dxa"/>
            </w:tcMar>
            <w:vAlign w:val="center"/>
          </w:tcPr>
          <w:p>
            <w:pPr>
              <w:pStyle w:val="TableContents"/>
              <w:bidi w:val="0"/>
              <w:spacing w:before="0" w:after="283"/>
              <w:jc w:val="right"/>
              <w:rPr/>
            </w:pPr>
            <w:r>
              <w:rPr/>
              <w:t>2,939,000</w:t>
            </w:r>
          </w:p>
        </w:tc>
        <w:tc>
          <w:tcPr>
            <w:tcW w:w="110" w:type="dxa"/>
            <w:tcBorders/>
            <w:shd w:fill="FFFFFF" w:val="clear"/>
            <w:vAlign w:val="center"/>
          </w:tcPr>
          <w:p>
            <w:pPr>
              <w:pStyle w:val="TableContents"/>
              <w:bidi w:val="0"/>
              <w:spacing w:before="0" w:after="283"/>
              <w:jc w:val="left"/>
              <w:rPr/>
            </w:pPr>
            <w:r>
              <w:rPr/>
              <w:t> </w:t>
            </w:r>
            <w:bookmarkStart w:id="442" w:name="xdx_407_eus-gaap--CapitalizedComputerSof"/>
            <w:bookmarkEnd w:id="442"/>
          </w:p>
        </w:tc>
      </w:tr>
      <w:tr>
        <w:trPr/>
        <w:tc>
          <w:tcPr>
            <w:tcW w:w="5030" w:type="dxa"/>
            <w:tcBorders/>
            <w:shd w:fill="CCEEFF" w:val="clear"/>
            <w:vAlign w:val="center"/>
          </w:tcPr>
          <w:p>
            <w:pPr>
              <w:pStyle w:val="TableContents"/>
              <w:bidi w:val="0"/>
              <w:spacing w:before="0" w:after="283"/>
              <w:jc w:val="left"/>
              <w:rPr/>
            </w:pPr>
            <w:r>
              <w:rPr/>
              <w:t>Accumulated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(1,556,000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right"/>
              <w:rPr/>
            </w:pPr>
            <w:r>
              <w:rPr/>
              <w:t>(1,268,000</w:t>
            </w:r>
          </w:p>
        </w:tc>
        <w:tc>
          <w:tcPr>
            <w:tcW w:w="110" w:type="dxa"/>
            <w:tcBorders/>
            <w:shd w:fill="CCEEFF" w:val="clear"/>
            <w:vAlign w:val="center"/>
          </w:tcPr>
          <w:p>
            <w:pPr>
              <w:pStyle w:val="TableContents"/>
              <w:bidi w:val="0"/>
              <w:spacing w:before="0" w:after="283"/>
              <w:jc w:val="left"/>
              <w:rPr/>
            </w:pPr>
            <w:r>
              <w:rPr/>
              <w:t>)</w:t>
            </w:r>
            <w:bookmarkStart w:id="443" w:name="xdx_40D_ecustom--CapitalizedComputerSoft"/>
            <w:bookmarkEnd w:id="443"/>
          </w:p>
        </w:tc>
      </w:tr>
      <w:tr>
        <w:trPr/>
        <w:tc>
          <w:tcPr>
            <w:tcW w:w="5030" w:type="dxa"/>
            <w:tcBorders/>
            <w:shd w:fill="FFFFFF" w:val="clear"/>
            <w:vAlign w:val="center"/>
          </w:tcPr>
          <w:p>
            <w:pPr>
              <w:pStyle w:val="TableContents"/>
              <w:bidi w:val="0"/>
              <w:spacing w:before="0" w:after="283"/>
              <w:jc w:val="left"/>
              <w:rPr/>
            </w:pPr>
            <w:r>
              <w:rPr/>
              <w:t>Capitalized internal-use software in process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single" w:sz="12" w:space="0" w:color="000000"/>
            </w:tcBorders>
            <w:shd w:fill="FFFFFF" w:val="clear"/>
            <w:tcMar>
              <w:bottom w:w="28" w:type="dxa"/>
            </w:tcMar>
            <w:vAlign w:val="center"/>
          </w:tcPr>
          <w:p>
            <w:pPr>
              <w:pStyle w:val="TableContents"/>
              <w:bidi w:val="0"/>
              <w:spacing w:before="0" w:after="283"/>
              <w:jc w:val="right"/>
              <w:rPr/>
            </w:pPr>
            <w:r>
              <w:rPr/>
              <w:t>467,000</w:t>
            </w:r>
          </w:p>
        </w:tc>
        <w:tc>
          <w:tcPr>
            <w:tcW w:w="110" w:type="dxa"/>
            <w:tcBorders/>
            <w:shd w:fill="FFFFFF" w:val="clear"/>
            <w:vAlign w:val="center"/>
          </w:tcPr>
          <w:p>
            <w:pPr>
              <w:pStyle w:val="TableContents"/>
              <w:bidi w:val="0"/>
              <w:spacing w:before="0" w:after="283"/>
              <w:jc w:val="left"/>
              <w:rPr/>
            </w:pPr>
            <w:r>
              <w:rPr/>
              <w:t> </w:t>
            </w:r>
            <w:bookmarkStart w:id="444" w:name="xdx_405_eus-gaap--CapitalizedComputerSof"/>
            <w:bookmarkEnd w:id="444"/>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capitalized software costs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1,966,000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27" w:type="dxa"/>
            <w:tcBorders>
              <w:bottom w:val="double" w:sz="6" w:space="0" w:color="000000"/>
            </w:tcBorders>
            <w:shd w:fill="CCEEFF" w:val="clear"/>
            <w:tcMar>
              <w:bottom w:w="28" w:type="dxa"/>
            </w:tcMar>
            <w:vAlign w:val="center"/>
          </w:tcPr>
          <w:p>
            <w:pPr>
              <w:pStyle w:val="TableContents"/>
              <w:bidi w:val="0"/>
              <w:spacing w:before="0" w:after="283"/>
              <w:jc w:val="right"/>
              <w:rPr/>
            </w:pPr>
            <w:r>
              <w:rPr/>
              <w:t>2,138,000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5" w:name="xdx_8A8_zC2vtDKOFMok"/>
      <w:bookmarkEnd w:id="4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of $</w:t>
      </w:r>
      <w:bookmarkStart w:id="446" w:name="xdx_900_eus-gaap--AdjustmentForAmortizat"/>
      <w:bookmarkEnd w:id="446"/>
      <w:r>
        <w:rPr>
          <w:rFonts w:ascii="Times New Roman;Times;Serif" w:hAnsi="Times New Roman;Times;Serif"/>
          <w:b w:val="false"/>
          <w:i w:val="false"/>
          <w:caps w:val="false"/>
          <w:smallCaps w:val="false"/>
          <w:sz w:val="20"/>
        </w:rPr>
        <w:t>152,000 and $</w:t>
      </w:r>
      <w:bookmarkStart w:id="447" w:name="xdx_909_eus-gaap--AdjustmentForAmortizat"/>
      <w:bookmarkEnd w:id="447"/>
      <w:r>
        <w:rPr>
          <w:rFonts w:ascii="Times New Roman;Times;Serif" w:hAnsi="Times New Roman;Times;Serif"/>
          <w:b w:val="false"/>
          <w:i w:val="false"/>
          <w:caps w:val="false"/>
          <w:smallCaps w:val="false"/>
          <w:sz w:val="20"/>
        </w:rPr>
        <w:t>288,000 related to capitalized software costs during the three and six months ended June 30, 2024, respectively, and $</w:t>
      </w:r>
      <w:bookmarkStart w:id="448" w:name="xdx_90E_eus-gaap--AdjustmentForAmortizat"/>
      <w:bookmarkEnd w:id="448"/>
      <w:r>
        <w:rPr>
          <w:rFonts w:ascii="Times New Roman;Times;Serif" w:hAnsi="Times New Roman;Times;Serif"/>
          <w:b w:val="false"/>
          <w:i w:val="false"/>
          <w:caps w:val="false"/>
          <w:smallCaps w:val="false"/>
          <w:sz w:val="20"/>
        </w:rPr>
        <w:t>170,000 and $</w:t>
      </w:r>
      <w:bookmarkStart w:id="449" w:name="xdx_904_eus-gaap--AdjustmentForAmortizat"/>
      <w:bookmarkEnd w:id="449"/>
      <w:r>
        <w:rPr>
          <w:rFonts w:ascii="Times New Roman;Times;Serif" w:hAnsi="Times New Roman;Times;Serif"/>
          <w:b w:val="false"/>
          <w:i w:val="false"/>
          <w:caps w:val="false"/>
          <w:smallCaps w:val="false"/>
          <w:sz w:val="20"/>
        </w:rPr>
        <w:t>237,000 during the same periods in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0" w:name="xdx_802_eus-gaap--GoodwillAndIntangibleA"/>
      <w:bookmarkEnd w:id="450"/>
      <w:r>
        <w:rPr>
          <w:rFonts w:ascii="Times New Roman;Times;Serif" w:hAnsi="Times New Roman;Times;Serif"/>
          <w:b/>
          <w:i w:val="false"/>
          <w:caps w:val="false"/>
          <w:smallCaps w:val="false"/>
          <w:sz w:val="20"/>
        </w:rPr>
        <w:t xml:space="preserve">NOTE 9. </w:t>
      </w:r>
      <w:bookmarkStart w:id="451" w:name="xdx_824_zX4kT4ICAPb6"/>
      <w:bookmarkEnd w:id="451"/>
      <w:r>
        <w:rPr>
          <w:rFonts w:ascii="Times New Roman;Times;Serif" w:hAnsi="Times New Roman;Times;Serif"/>
          <w:b/>
          <w:i w:val="false"/>
          <w:caps w:val="false"/>
          <w:smallCaps w:val="false"/>
          <w:sz w:val="20"/>
        </w:rPr>
        <w:t>INTANGIBLE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2" w:name="xdx_894_eus-gaap--ScheduleOfIntangibleAs"/>
      <w:bookmarkEnd w:id="452"/>
      <w:r>
        <w:rPr>
          <w:rFonts w:ascii="Times New Roman;Times;Serif" w:hAnsi="Times New Roman;Times;Serif"/>
          <w:b w:val="false"/>
          <w:i w:val="false"/>
          <w:caps w:val="false"/>
          <w:smallCaps w:val="false"/>
          <w:sz w:val="20"/>
        </w:rPr>
        <w:t>The Company’s intangible assets at June 30, 2024 consisted of the following:</w:t>
      </w:r>
    </w:p>
    <w:p>
      <w:pPr>
        <w:pStyle w:val="TextBody"/>
        <w:bidi w:val="0"/>
        <w:spacing w:before="0" w:after="0"/>
        <w:ind w:left="0" w:right="0" w:hanging="0"/>
        <w:jc w:val="left"/>
        <w:rPr>
          <w:caps w:val="false"/>
          <w:smallCaps w:val="false"/>
        </w:rPr>
      </w:pPr>
      <w:r>
        <w:rPr>
          <w:caps w:val="false"/>
          <w:smallCaps w:val="false"/>
        </w:rPr>
        <w:t> </w:t>
      </w:r>
      <w:bookmarkStart w:id="453" w:name="xdx_8B3_zEcxBa51oG"/>
      <w:bookmarkEnd w:id="453"/>
      <w:r>
        <w:rPr>
          <w:rFonts w:ascii="Times New Roman;Times;Serif" w:hAnsi="Times New Roman;Times;Serif"/>
          <w:b w:val="false"/>
          <w:i w:val="false"/>
          <w:caps w:val="false"/>
          <w:smallCaps w:val="false"/>
          <w:sz w:val="20"/>
        </w:rPr>
        <w:t>SCHEDULE OF INTANGIBLE ASSETS</w:t>
      </w:r>
    </w:p>
    <w:tbl>
      <w:tblPr>
        <w:tblW w:w="8990" w:type="dxa"/>
        <w:jc w:val="left"/>
        <w:tblInd w:w="0" w:type="dxa"/>
        <w:tblLayout w:type="fixed"/>
        <w:tblCellMar>
          <w:top w:w="0" w:type="dxa"/>
          <w:left w:w="0" w:type="dxa"/>
          <w:bottom w:w="0" w:type="dxa"/>
          <w:right w:w="0" w:type="dxa"/>
        </w:tblCellMar>
      </w:tblPr>
      <w:tblGrid>
        <w:gridCol w:w="2285"/>
        <w:gridCol w:w="60"/>
        <w:gridCol w:w="1205"/>
        <w:gridCol w:w="60"/>
        <w:gridCol w:w="140"/>
        <w:gridCol w:w="1220"/>
        <w:gridCol w:w="60"/>
        <w:gridCol w:w="60"/>
        <w:gridCol w:w="140"/>
        <w:gridCol w:w="1175"/>
        <w:gridCol w:w="95"/>
        <w:gridCol w:w="60"/>
        <w:gridCol w:w="228"/>
        <w:gridCol w:w="647"/>
        <w:gridCol w:w="60"/>
        <w:gridCol w:w="60"/>
        <w:gridCol w:w="140"/>
        <w:gridCol w:w="1220"/>
        <w:gridCol w:w="75"/>
      </w:tblGrid>
      <w:tr>
        <w:trPr/>
        <w:tc>
          <w:tcPr>
            <w:tcW w:w="2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Disposal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bookmarkStart w:id="454" w:name="xdx_905_eus-gaap--FiniteLivedIntangibleA"/>
            <w:bookmarkEnd w:id="454"/>
            <w:r>
              <w:rPr/>
              <w:t>7-</w:t>
            </w:r>
            <w:bookmarkStart w:id="455" w:name="xdx_90C_eus-gaap--FiniteLivedIntangibleA"/>
            <w:bookmarkEnd w:id="455"/>
            <w:r>
              <w:rPr/>
              <w:t>19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56" w:name="xdx_988_eus-gaap--FiniteLivedIntangibleA"/>
            <w:bookmarkEnd w:id="456"/>
          </w:p>
        </w:tc>
        <w:tc>
          <w:tcPr>
            <w:tcW w:w="1220" w:type="dxa"/>
            <w:tcBorders/>
            <w:shd w:fill="CCEEFF" w:val="clear"/>
            <w:vAlign w:val="center"/>
          </w:tcPr>
          <w:p>
            <w:pPr>
              <w:pStyle w:val="TableContents"/>
              <w:bidi w:val="0"/>
              <w:spacing w:before="0" w:after="283"/>
              <w:jc w:val="right"/>
              <w:rPr/>
            </w:pPr>
            <w:r>
              <w:rPr/>
              <w:t>610,000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57" w:name="xdx_989_eus-gaap--FiniteLivedIntangibleA"/>
            <w:bookmarkEnd w:id="457"/>
          </w:p>
        </w:tc>
        <w:tc>
          <w:tcPr>
            <w:tcW w:w="1175" w:type="dxa"/>
            <w:tcBorders/>
            <w:shd w:fill="CCEEFF" w:val="clear"/>
            <w:vAlign w:val="center"/>
          </w:tcPr>
          <w:p>
            <w:pPr>
              <w:pStyle w:val="TableContents"/>
              <w:bidi w:val="0"/>
              <w:spacing w:before="0" w:after="283"/>
              <w:jc w:val="right"/>
              <w:rPr/>
            </w:pPr>
            <w:r>
              <w:rPr/>
              <w:t>(188,000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bookmarkStart w:id="458" w:name="xdx_980_eus-gaap--DisposalGroupIncluding"/>
            <w:bookmarkEnd w:id="458"/>
          </w:p>
        </w:tc>
        <w:tc>
          <w:tcPr>
            <w:tcW w:w="647"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459" w:name="xdx_988_eus-gaap--IntangibleAssetsNetExc"/>
            <w:bookmarkEnd w:id="459"/>
          </w:p>
        </w:tc>
        <w:tc>
          <w:tcPr>
            <w:tcW w:w="1220" w:type="dxa"/>
            <w:tcBorders/>
            <w:shd w:fill="CCEEFF" w:val="clear"/>
            <w:vAlign w:val="center"/>
          </w:tcPr>
          <w:p>
            <w:pPr>
              <w:pStyle w:val="TableContents"/>
              <w:bidi w:val="0"/>
              <w:spacing w:before="0" w:after="283"/>
              <w:jc w:val="right"/>
              <w:rPr/>
            </w:pPr>
            <w:r>
              <w:rPr/>
              <w:t>422,000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bookmarkStart w:id="460" w:name="xdx_903_eus-gaap--FiniteLivedIntangibleA"/>
            <w:bookmarkEnd w:id="460"/>
            <w:r>
              <w:rPr/>
              <w:t>7-</w:t>
            </w:r>
            <w:bookmarkStart w:id="461" w:name="xdx_908_eus-gaap--FiniteLivedIntangibleA"/>
            <w:bookmarkEnd w:id="461"/>
            <w:r>
              <w:rPr/>
              <w:t>20</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2" w:name="xdx_982_eus-gaap--FiniteLivedIntangibleA"/>
            <w:bookmarkEnd w:id="462"/>
          </w:p>
        </w:tc>
        <w:tc>
          <w:tcPr>
            <w:tcW w:w="1220"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3" w:name="xdx_98E_eus-gaap--FiniteLivedIntangibleA"/>
            <w:bookmarkEnd w:id="463"/>
          </w:p>
        </w:tc>
        <w:tc>
          <w:tcPr>
            <w:tcW w:w="1175"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bookmarkStart w:id="464" w:name="xdx_983_eus-gaap--DisposalGroupIncluding"/>
            <w:bookmarkEnd w:id="464"/>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65" w:name="xdx_988_eus-gaap--IntangibleAssetsNetExc"/>
            <w:bookmarkEnd w:id="465"/>
          </w:p>
        </w:tc>
        <w:tc>
          <w:tcPr>
            <w:tcW w:w="1220" w:type="dxa"/>
            <w:tcBorders/>
            <w:shd w:fill="FFFFFF" w:val="clear"/>
            <w:vAlign w:val="center"/>
          </w:tcPr>
          <w:p>
            <w:pPr>
              <w:pStyle w:val="TableContents"/>
              <w:bidi w:val="0"/>
              <w:spacing w:before="0" w:after="283"/>
              <w:jc w:val="right"/>
              <w:rPr/>
            </w:pPr>
            <w:r>
              <w:rPr/>
              <w:t>48,000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Trademarks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bookmarkStart w:id="466" w:name="xdx_90D_eus-gaap--FiniteLivedIntangibleA"/>
            <w:bookmarkEnd w:id="466"/>
            <w:r>
              <w:rPr/>
              <w:t>Indefinite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67" w:name="xdx_988_eus-gaap--FiniteLivedIntangibleA"/>
            <w:bookmarkEnd w:id="467"/>
          </w:p>
        </w:tc>
        <w:tc>
          <w:tcPr>
            <w:tcW w:w="1220" w:type="dxa"/>
            <w:tcBorders/>
            <w:shd w:fill="CCEEFF" w:val="clear"/>
            <w:vAlign w:val="center"/>
          </w:tcPr>
          <w:p>
            <w:pPr>
              <w:pStyle w:val="TableContents"/>
              <w:bidi w:val="0"/>
              <w:spacing w:before="0" w:after="283"/>
              <w:jc w:val="right"/>
              <w:rPr/>
            </w:pPr>
            <w:r>
              <w:rPr/>
              <w:t>234,000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68" w:name="xdx_98C_eus-gaap--FiniteLivedIntangibleA"/>
            <w:bookmarkEnd w:id="468"/>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bookmarkStart w:id="469" w:name="xdx_987_eus-gaap--DisposalGroupIncluding"/>
            <w:bookmarkEnd w:id="469"/>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0" w:name="xdx_98D_eus-gaap--IntangibleAssetsNetExc"/>
            <w:bookmarkEnd w:id="470"/>
          </w:p>
        </w:tc>
        <w:tc>
          <w:tcPr>
            <w:tcW w:w="1220" w:type="dxa"/>
            <w:tcBorders/>
            <w:shd w:fill="CCEEFF" w:val="clear"/>
            <w:vAlign w:val="center"/>
          </w:tcPr>
          <w:p>
            <w:pPr>
              <w:pStyle w:val="TableContents"/>
              <w:bidi w:val="0"/>
              <w:spacing w:before="0" w:after="283"/>
              <w:jc w:val="right"/>
              <w:rPr/>
            </w:pPr>
            <w:r>
              <w:rPr/>
              <w:t>234,000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Acquired NDAs</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bookmarkStart w:id="471" w:name="xdx_90F_eus-gaap--FiniteLivedIntangibleA"/>
            <w:bookmarkEnd w:id="471"/>
            <w:r>
              <w:rPr/>
              <w:t>4-</w:t>
            </w:r>
            <w:bookmarkStart w:id="472" w:name="xdx_906_eus-gaap--FiniteLivedIntangibleA"/>
            <w:bookmarkEnd w:id="472"/>
            <w:r>
              <w:rPr/>
              <w:t>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3" w:name="xdx_988_eus-gaap--FiniteLivedIntangibleA"/>
            <w:bookmarkEnd w:id="473"/>
          </w:p>
        </w:tc>
        <w:tc>
          <w:tcPr>
            <w:tcW w:w="1220" w:type="dxa"/>
            <w:tcBorders/>
            <w:shd w:fill="FFFFFF" w:val="clear"/>
            <w:vAlign w:val="center"/>
          </w:tcPr>
          <w:p>
            <w:pPr>
              <w:pStyle w:val="TableContents"/>
              <w:bidi w:val="0"/>
              <w:spacing w:before="0" w:after="283"/>
              <w:jc w:val="right"/>
              <w:rPr/>
            </w:pPr>
            <w:r>
              <w:rPr/>
              <w:t>170,398,000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4" w:name="xdx_98A_eus-gaap--FiniteLivedIntangibleA"/>
            <w:bookmarkEnd w:id="474"/>
          </w:p>
        </w:tc>
        <w:tc>
          <w:tcPr>
            <w:tcW w:w="1175" w:type="dxa"/>
            <w:tcBorders/>
            <w:shd w:fill="FFFFFF" w:val="clear"/>
            <w:vAlign w:val="center"/>
          </w:tcPr>
          <w:p>
            <w:pPr>
              <w:pStyle w:val="TableContents"/>
              <w:bidi w:val="0"/>
              <w:spacing w:before="0" w:after="283"/>
              <w:jc w:val="right"/>
              <w:rPr/>
            </w:pPr>
            <w:r>
              <w:rPr/>
              <w:t>(16,352,000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bookmarkStart w:id="475" w:name="xdx_983_eus-gaap--DisposalGroupIncluding"/>
            <w:bookmarkEnd w:id="475"/>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6" w:name="xdx_981_eus-gaap--IntangibleAssetsNetExc"/>
            <w:bookmarkEnd w:id="476"/>
          </w:p>
        </w:tc>
        <w:tc>
          <w:tcPr>
            <w:tcW w:w="1220" w:type="dxa"/>
            <w:tcBorders/>
            <w:shd w:fill="FFFFFF" w:val="clear"/>
            <w:vAlign w:val="center"/>
          </w:tcPr>
          <w:p>
            <w:pPr>
              <w:pStyle w:val="TableContents"/>
              <w:bidi w:val="0"/>
              <w:spacing w:before="0" w:after="283"/>
              <w:jc w:val="right"/>
              <w:rPr/>
            </w:pPr>
            <w:r>
              <w:rPr/>
              <w:t>154,046,000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Customer relationships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bookmarkStart w:id="477" w:name="xdx_907_eus-gaap--FiniteLivedIntangibleA"/>
            <w:bookmarkEnd w:id="477"/>
            <w:r>
              <w:rPr/>
              <w:t>3-</w:t>
            </w:r>
            <w:bookmarkStart w:id="478" w:name="xdx_908_eus-gaap--FiniteLivedIntangibleA"/>
            <w:bookmarkEnd w:id="478"/>
            <w:r>
              <w:rPr/>
              <w:t>15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79" w:name="xdx_986_eus-gaap--FiniteLivedIntangibleA"/>
            <w:bookmarkEnd w:id="479"/>
          </w:p>
        </w:tc>
        <w:tc>
          <w:tcPr>
            <w:tcW w:w="1220" w:type="dxa"/>
            <w:tcBorders/>
            <w:shd w:fill="CCEEFF" w:val="clear"/>
            <w:vAlign w:val="center"/>
          </w:tcPr>
          <w:p>
            <w:pPr>
              <w:pStyle w:val="TableContents"/>
              <w:bidi w:val="0"/>
              <w:spacing w:before="0" w:after="283"/>
              <w:jc w:val="right"/>
              <w:rPr/>
            </w:pPr>
            <w:r>
              <w:rPr/>
              <w:t>596,000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0" w:name="xdx_98F_eus-gaap--FiniteLivedIntangibleA"/>
            <w:bookmarkEnd w:id="480"/>
          </w:p>
        </w:tc>
        <w:tc>
          <w:tcPr>
            <w:tcW w:w="1175" w:type="dxa"/>
            <w:tcBorders/>
            <w:shd w:fill="CCEEFF" w:val="clear"/>
            <w:vAlign w:val="center"/>
          </w:tcPr>
          <w:p>
            <w:pPr>
              <w:pStyle w:val="TableContents"/>
              <w:bidi w:val="0"/>
              <w:spacing w:before="0" w:after="283"/>
              <w:jc w:val="right"/>
              <w:rPr/>
            </w:pPr>
            <w:r>
              <w:rPr/>
              <w:t>(536,000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bookmarkStart w:id="481" w:name="xdx_98F_eus-gaap--DisposalGroupIncluding"/>
            <w:bookmarkEnd w:id="481"/>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82" w:name="xdx_986_eus-gaap--IntangibleAssetsNetExc"/>
            <w:bookmarkEnd w:id="482"/>
          </w:p>
        </w:tc>
        <w:tc>
          <w:tcPr>
            <w:tcW w:w="1220" w:type="dxa"/>
            <w:tcBorders/>
            <w:shd w:fill="CCEEFF" w:val="clear"/>
            <w:vAlign w:val="center"/>
          </w:tcPr>
          <w:p>
            <w:pPr>
              <w:pStyle w:val="TableContents"/>
              <w:bidi w:val="0"/>
              <w:spacing w:before="0" w:after="283"/>
              <w:jc w:val="right"/>
              <w:rPr/>
            </w:pPr>
            <w:r>
              <w:rPr/>
              <w:t>60,000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Trade name</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bookmarkStart w:id="483" w:name="xdx_903_eus-gaap--FiniteLivedIntangibleA"/>
            <w:bookmarkEnd w:id="483"/>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4" w:name="xdx_989_eus-gaap--FiniteLivedIntangibleA"/>
            <w:bookmarkEnd w:id="484"/>
          </w:p>
        </w:tc>
        <w:tc>
          <w:tcPr>
            <w:tcW w:w="1220" w:type="dxa"/>
            <w:tcBorders/>
            <w:shd w:fill="FFFFFF" w:val="clear"/>
            <w:vAlign w:val="center"/>
          </w:tcPr>
          <w:p>
            <w:pPr>
              <w:pStyle w:val="TableContents"/>
              <w:bidi w:val="0"/>
              <w:spacing w:before="0" w:after="283"/>
              <w:jc w:val="right"/>
              <w:rPr/>
            </w:pPr>
            <w:r>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5" w:name="xdx_98B_eus-gaap--FiniteLivedIntangibleA"/>
            <w:bookmarkEnd w:id="485"/>
          </w:p>
        </w:tc>
        <w:tc>
          <w:tcPr>
            <w:tcW w:w="1175" w:type="dxa"/>
            <w:tcBorders/>
            <w:shd w:fill="FFFFFF" w:val="clear"/>
            <w:vAlign w:val="center"/>
          </w:tcPr>
          <w:p>
            <w:pPr>
              <w:pStyle w:val="TableContents"/>
              <w:bidi w:val="0"/>
              <w:spacing w:before="0" w:after="283"/>
              <w:jc w:val="right"/>
              <w:rPr/>
            </w:pPr>
            <w:r>
              <w:rPr/>
              <w:t>(6,000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bookmarkStart w:id="486" w:name="xdx_980_eus-gaap--DisposalGroupIncluding"/>
            <w:bookmarkEnd w:id="486"/>
          </w:p>
        </w:tc>
        <w:tc>
          <w:tcPr>
            <w:tcW w:w="6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7" w:name="xdx_980_eus-gaap--IntangibleAssetsNetExc"/>
            <w:bookmarkEnd w:id="487"/>
          </w:p>
        </w:tc>
        <w:tc>
          <w:tcPr>
            <w:tcW w:w="1220" w:type="dxa"/>
            <w:tcBorders/>
            <w:shd w:fill="FFFFFF" w:val="clear"/>
            <w:vAlign w:val="center"/>
          </w:tcPr>
          <w:p>
            <w:pPr>
              <w:pStyle w:val="TableContents"/>
              <w:bidi w:val="0"/>
              <w:spacing w:before="0" w:after="283"/>
              <w:jc w:val="right"/>
              <w:rPr/>
            </w:pPr>
            <w:r>
              <w:rPr/>
              <w:t>69,000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Non-competition clause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bookmarkStart w:id="488" w:name="xdx_90C_eus-gaap--FiniteLivedIntangibleA"/>
            <w:bookmarkEnd w:id="488"/>
            <w:r>
              <w:rPr/>
              <w:t>3-</w:t>
            </w:r>
            <w:bookmarkStart w:id="489" w:name="xdx_90F_eus-gaap--FiniteLivedIntangibleA"/>
            <w:bookmarkEnd w:id="489"/>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90" w:name="xdx_980_eus-gaap--FiniteLivedIntangibleA"/>
            <w:bookmarkEnd w:id="490"/>
          </w:p>
        </w:tc>
        <w:tc>
          <w:tcPr>
            <w:tcW w:w="122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91" w:name="xdx_984_eus-gaap--FiniteLivedIntangibleA"/>
            <w:bookmarkEnd w:id="491"/>
          </w:p>
        </w:tc>
        <w:tc>
          <w:tcPr>
            <w:tcW w:w="1175" w:type="dxa"/>
            <w:tcBorders/>
            <w:shd w:fill="CCEEFF" w:val="clear"/>
            <w:vAlign w:val="center"/>
          </w:tcPr>
          <w:p>
            <w:pPr>
              <w:pStyle w:val="TableContents"/>
              <w:bidi w:val="0"/>
              <w:spacing w:before="0" w:after="283"/>
              <w:jc w:val="right"/>
              <w:rPr/>
            </w:pPr>
            <w:r>
              <w:rPr/>
              <w:t>(50,000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bookmarkStart w:id="492" w:name="xdx_98E_eus-gaap--DisposalGroupIncluding"/>
            <w:bookmarkEnd w:id="492"/>
          </w:p>
        </w:tc>
        <w:tc>
          <w:tcPr>
            <w:tcW w:w="6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93" w:name="xdx_981_eus-gaap--IntangibleAssetsNetExc"/>
            <w:bookmarkEnd w:id="493"/>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State pharmacy licenses</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bookmarkStart w:id="494" w:name="xdx_90D_eus-gaap--FiniteLivedIntangibleA"/>
            <w:bookmarkEnd w:id="494"/>
            <w:r>
              <w:rPr/>
              <w:t>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95" w:name="xdx_98D_eus-gaap--FiniteLivedIntangibleA"/>
            <w:bookmarkEnd w:id="495"/>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96" w:name="xdx_98F_eus-gaap--FiniteLivedIntangibleA"/>
            <w:bookmarkEnd w:id="496"/>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97" w:name="xdx_98F_eus-gaap--DisposalGroupIncluding"/>
            <w:bookmarkEnd w:id="497"/>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498" w:name="xdx_982_eus-gaap--IntangibleAssetsNetExc"/>
            <w:bookmarkEnd w:id="498"/>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99" w:name="xdx_98B_eus-gaap--FiniteLivedIntangibleA"/>
            <w:bookmarkEnd w:id="499"/>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172,021,000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0" w:name="xdx_98B_eus-gaap--FiniteLivedIntangibleA"/>
            <w:bookmarkEnd w:id="500"/>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(17,137,000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1" w:name="xdx_981_eus-gaap--DisposalGroupIncluding"/>
            <w:bookmarkEnd w:id="501"/>
          </w:p>
        </w:tc>
        <w:tc>
          <w:tcPr>
            <w:tcW w:w="64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2" w:name="xdx_980_eus-gaap--IntangibleAssetsNetExc"/>
            <w:bookmarkEnd w:id="502"/>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154,884,000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03" w:name="xdx_8AF_z5ZPlayGufKk"/>
      <w:bookmarkEnd w:id="503"/>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4" w:name="xdx_89D_eus-gaap--FiniteLivedIntangibleA"/>
      <w:bookmarkEnd w:id="504"/>
      <w:r>
        <w:rPr>
          <w:rFonts w:ascii="Times New Roman;Times;Serif" w:hAnsi="Times New Roman;Times;Serif"/>
          <w:b w:val="false"/>
          <w:i w:val="false"/>
          <w:caps w:val="false"/>
          <w:smallCaps w:val="false"/>
          <w:sz w:val="20"/>
        </w:rPr>
        <w:t>Amortization expense for intangible assets was as follows:</w:t>
      </w:r>
    </w:p>
    <w:p>
      <w:pPr>
        <w:pStyle w:val="TextBody"/>
        <w:bidi w:val="0"/>
        <w:spacing w:before="0" w:after="0"/>
        <w:ind w:left="0" w:right="0" w:hanging="0"/>
        <w:jc w:val="both"/>
        <w:rPr>
          <w:caps w:val="false"/>
          <w:smallCaps w:val="false"/>
        </w:rPr>
      </w:pPr>
      <w:r>
        <w:rPr>
          <w:caps w:val="false"/>
          <w:smallCaps w:val="false"/>
        </w:rPr>
        <w:t> </w:t>
      </w:r>
      <w:bookmarkStart w:id="505" w:name="xdx_8BC_zYzh9Y0gx80a"/>
      <w:bookmarkEnd w:id="505"/>
      <w:r>
        <w:rPr>
          <w:rFonts w:ascii="Times New Roman;Times;Serif" w:hAnsi="Times New Roman;Times;Serif"/>
          <w:b w:val="false"/>
          <w:i w:val="false"/>
          <w:caps w:val="false"/>
          <w:smallCaps w:val="false"/>
          <w:sz w:val="20"/>
        </w:rPr>
        <w:t>SCHEDULE OF AMORTIZATION EXPENSES FOR INTANGIBLE ASSETS</w:t>
      </w:r>
    </w:p>
    <w:tbl>
      <w:tblPr>
        <w:tblW w:w="9416" w:type="dxa"/>
        <w:jc w:val="left"/>
        <w:tblInd w:w="0" w:type="dxa"/>
        <w:tblLayout w:type="fixed"/>
        <w:tblCellMar>
          <w:top w:w="0" w:type="dxa"/>
          <w:left w:w="0" w:type="dxa"/>
          <w:bottom w:w="0" w:type="dxa"/>
          <w:right w:w="0" w:type="dxa"/>
        </w:tblCellMar>
      </w:tblPr>
      <w:tblGrid>
        <w:gridCol w:w="3425"/>
        <w:gridCol w:w="60"/>
        <w:gridCol w:w="179"/>
        <w:gridCol w:w="1254"/>
        <w:gridCol w:w="76"/>
        <w:gridCol w:w="76"/>
        <w:gridCol w:w="179"/>
        <w:gridCol w:w="1254"/>
        <w:gridCol w:w="60"/>
        <w:gridCol w:w="60"/>
        <w:gridCol w:w="161"/>
        <w:gridCol w:w="1129"/>
        <w:gridCol w:w="69"/>
        <w:gridCol w:w="69"/>
        <w:gridCol w:w="161"/>
        <w:gridCol w:w="1129"/>
        <w:gridCol w:w="7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6" w:name="xdx_491_20240401__20240630_z3IxPnao4yT7"/>
            <w:bookmarkEnd w:id="506"/>
          </w:p>
        </w:tc>
        <w:tc>
          <w:tcPr>
            <w:tcW w:w="1433"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507" w:name="xdx_492_20230401__20230630_z6hA2mur5mbh"/>
            <w:bookmarkEnd w:id="507"/>
          </w:p>
        </w:tc>
        <w:tc>
          <w:tcPr>
            <w:tcW w:w="1433"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8" w:name="xdx_49B_20240101__20240630_zuD06Kkgb477"/>
            <w:bookmarkEnd w:id="508"/>
          </w:p>
        </w:tc>
        <w:tc>
          <w:tcPr>
            <w:tcW w:w="129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bookmarkStart w:id="509" w:name="xdx_49E_20230101__20230630_zpJycZ1zCyjj"/>
            <w:bookmarkEnd w:id="509"/>
          </w:p>
        </w:tc>
        <w:tc>
          <w:tcPr>
            <w:tcW w:w="129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vAlign w:val="center"/>
          </w:tcPr>
          <w:p>
            <w:pPr>
              <w:pStyle w:val="TableContents"/>
              <w:bidi w:val="0"/>
              <w:spacing w:before="0" w:after="283"/>
              <w:jc w:val="center"/>
              <w:rPr>
                <w:b/>
              </w:rPr>
            </w:pPr>
            <w:r>
              <w:rPr>
                <w:b/>
              </w:rPr>
              <w:t>For the Six Months Ended</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bookmarkStart w:id="510" w:name="xdx_401_eus-gaap--AmortizationOfIntangib"/>
            <w:bookmarkEnd w:id="510"/>
          </w:p>
        </w:tc>
      </w:tr>
      <w:tr>
        <w:trPr/>
        <w:tc>
          <w:tcPr>
            <w:tcW w:w="342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14,000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1254" w:type="dxa"/>
            <w:tcBorders/>
            <w:shd w:fill="CCEEFF" w:val="clear"/>
            <w:vAlign w:val="center"/>
          </w:tcPr>
          <w:p>
            <w:pPr>
              <w:pStyle w:val="TableContents"/>
              <w:bidi w:val="0"/>
              <w:spacing w:before="0" w:after="283"/>
              <w:jc w:val="right"/>
              <w:rPr/>
            </w:pPr>
            <w:r>
              <w:rPr/>
              <w:t>21,000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28,000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43,000</w:t>
            </w:r>
          </w:p>
        </w:tc>
        <w:tc>
          <w:tcPr>
            <w:tcW w:w="75" w:type="dxa"/>
            <w:tcBorders/>
            <w:shd w:fill="CCEEFF" w:val="clear"/>
            <w:vAlign w:val="center"/>
          </w:tcPr>
          <w:p>
            <w:pPr>
              <w:pStyle w:val="TableContents"/>
              <w:bidi w:val="0"/>
              <w:spacing w:before="0" w:after="283"/>
              <w:jc w:val="left"/>
              <w:rPr/>
            </w:pPr>
            <w:r>
              <w:rPr/>
              <w:t> </w:t>
            </w:r>
            <w:bookmarkStart w:id="511" w:name="xdx_40D_eus-gaap--AmortizationOfIntangib"/>
            <w:bookmarkEnd w:id="511"/>
          </w:p>
        </w:tc>
      </w:tr>
      <w:tr>
        <w:trPr/>
        <w:tc>
          <w:tcPr>
            <w:tcW w:w="3425" w:type="dxa"/>
            <w:tcBorders/>
            <w:shd w:fill="FFFFFF" w:val="clear"/>
            <w:vAlign w:val="center"/>
          </w:tcPr>
          <w:p>
            <w:pPr>
              <w:pStyle w:val="TableContents"/>
              <w:bidi w:val="0"/>
              <w:spacing w:before="0" w:after="283"/>
              <w:jc w:val="left"/>
              <w:rPr/>
            </w:pPr>
            <w:r>
              <w:rPr/>
              <w:t>Licenses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254" w:type="dxa"/>
            <w:tcBorders/>
            <w:shd w:fill="FFFFFF" w:val="clear"/>
            <w:vAlign w:val="center"/>
          </w:tcPr>
          <w:p>
            <w:pPr>
              <w:pStyle w:val="TableContents"/>
              <w:bidi w:val="0"/>
              <w:spacing w:before="0" w:after="283"/>
              <w:jc w:val="right"/>
              <w:rPr/>
            </w:pPr>
            <w:r>
              <w:rPr/>
              <w:t>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bookmarkStart w:id="512" w:name="xdx_40C_eus-gaap--AmortizationOfIntangib"/>
            <w:bookmarkEnd w:id="512"/>
          </w:p>
        </w:tc>
      </w:tr>
      <w:tr>
        <w:trPr/>
        <w:tc>
          <w:tcPr>
            <w:tcW w:w="3425" w:type="dxa"/>
            <w:tcBorders/>
            <w:shd w:fill="CCEEFF" w:val="clear"/>
            <w:vAlign w:val="center"/>
          </w:tcPr>
          <w:p>
            <w:pPr>
              <w:pStyle w:val="TableContents"/>
              <w:bidi w:val="0"/>
              <w:spacing w:before="0" w:after="283"/>
              <w:jc w:val="left"/>
              <w:rPr/>
            </w:pPr>
            <w:r>
              <w:rPr/>
              <w:t>Acquired NDAs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2,529,000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254" w:type="dxa"/>
            <w:tcBorders/>
            <w:shd w:fill="CCEEFF" w:val="clear"/>
            <w:vAlign w:val="center"/>
          </w:tcPr>
          <w:p>
            <w:pPr>
              <w:pStyle w:val="TableContents"/>
              <w:bidi w:val="0"/>
              <w:spacing w:before="0" w:after="283"/>
              <w:jc w:val="right"/>
              <w:rPr/>
            </w:pPr>
            <w:r>
              <w:rPr/>
              <w:t>2,805,000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5,059,000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4,975,000</w:t>
            </w:r>
          </w:p>
        </w:tc>
        <w:tc>
          <w:tcPr>
            <w:tcW w:w="75" w:type="dxa"/>
            <w:tcBorders/>
            <w:shd w:fill="CCEEFF" w:val="clear"/>
            <w:vAlign w:val="center"/>
          </w:tcPr>
          <w:p>
            <w:pPr>
              <w:pStyle w:val="TableContents"/>
              <w:bidi w:val="0"/>
              <w:spacing w:before="0" w:after="283"/>
              <w:jc w:val="left"/>
              <w:rPr/>
            </w:pPr>
            <w:r>
              <w:rPr/>
              <w:t> </w:t>
            </w:r>
            <w:bookmarkStart w:id="513" w:name="xdx_40B_eus-gaap--AmortizationOfIntangib"/>
            <w:bookmarkEnd w:id="513"/>
          </w:p>
        </w:tc>
      </w:tr>
      <w:tr>
        <w:trPr/>
        <w:tc>
          <w:tcPr>
            <w:tcW w:w="342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shd w:fill="FFFFFF" w:val="clear"/>
            <w:tcMar>
              <w:bottom w:w="28" w:type="dxa"/>
            </w:tcMar>
            <w:vAlign w:val="center"/>
          </w:tcPr>
          <w:p>
            <w:pPr>
              <w:pStyle w:val="TableContents"/>
              <w:bidi w:val="0"/>
              <w:spacing w:before="0" w:after="283"/>
              <w:jc w:val="right"/>
              <w:rPr/>
            </w:pPr>
            <w:r>
              <w:rPr/>
              <w:t>6,000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4" w:type="dxa"/>
            <w:tcBorders>
              <w:bottom w:val="single" w:sz="12" w:space="0" w:color="000000"/>
            </w:tcBorders>
            <w:shd w:fill="FFFFFF" w:val="clear"/>
            <w:tcMar>
              <w:bottom w:w="28" w:type="dxa"/>
            </w:tcMar>
            <w:vAlign w:val="center"/>
          </w:tcPr>
          <w:p>
            <w:pPr>
              <w:pStyle w:val="TableContents"/>
              <w:bidi w:val="0"/>
              <w:spacing w:before="0" w:after="283"/>
              <w:jc w:val="right"/>
              <w:rPr/>
            </w:pPr>
            <w:r>
              <w:rPr/>
              <w:t>14,000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16,000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27,000</w:t>
            </w:r>
          </w:p>
        </w:tc>
        <w:tc>
          <w:tcPr>
            <w:tcW w:w="75" w:type="dxa"/>
            <w:tcBorders/>
            <w:shd w:fill="FFFFFF" w:val="clear"/>
            <w:vAlign w:val="center"/>
          </w:tcPr>
          <w:p>
            <w:pPr>
              <w:pStyle w:val="TableContents"/>
              <w:bidi w:val="0"/>
              <w:spacing w:before="0" w:after="283"/>
              <w:jc w:val="left"/>
              <w:rPr/>
            </w:pPr>
            <w:r>
              <w:rPr/>
              <w:t> </w:t>
            </w:r>
            <w:bookmarkStart w:id="514" w:name="xdx_400_eus-gaap--AmortizationOfIntangib"/>
            <w:bookmarkEnd w:id="514"/>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expense of intangible assets</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2,549,000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4" w:type="dxa"/>
            <w:tcBorders>
              <w:bottom w:val="double" w:sz="6" w:space="0" w:color="000000"/>
            </w:tcBorders>
            <w:shd w:fill="CCEEFF" w:val="clear"/>
            <w:tcMar>
              <w:bottom w:w="28" w:type="dxa"/>
            </w:tcMar>
            <w:vAlign w:val="center"/>
          </w:tcPr>
          <w:p>
            <w:pPr>
              <w:pStyle w:val="TableContents"/>
              <w:bidi w:val="0"/>
              <w:spacing w:before="0" w:after="283"/>
              <w:jc w:val="right"/>
              <w:rPr/>
            </w:pPr>
            <w:r>
              <w:rPr/>
              <w:t>2,843,000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pPr>
            <w:r>
              <w:rPr/>
              <w:t>5,103,000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pPr>
            <w:r>
              <w:rPr/>
              <w:t>5,050,000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5" w:name="xdx_8A9_zfW2kGRoRDJg"/>
      <w:bookmarkEnd w:id="51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6" w:name="xdx_892_eus-gaap--ScheduleofFiniteLivedI"/>
      <w:bookmarkEnd w:id="516"/>
      <w:r>
        <w:rPr>
          <w:rFonts w:ascii="Times New Roman;Times;Serif" w:hAnsi="Times New Roman;Times;Serif"/>
          <w:b w:val="false"/>
          <w:i w:val="false"/>
          <w:caps w:val="false"/>
          <w:smallCaps w:val="false"/>
          <w:sz w:val="20"/>
        </w:rPr>
        <w:t>Estimated future amortization expenses for the Company’s intangible assets at June 30, 2024 was as follows:</w:t>
      </w:r>
    </w:p>
    <w:p>
      <w:pPr>
        <w:pStyle w:val="TextBody"/>
        <w:bidi w:val="0"/>
        <w:spacing w:before="0" w:after="0"/>
        <w:ind w:left="0" w:right="0" w:hanging="0"/>
        <w:jc w:val="left"/>
        <w:rPr>
          <w:caps w:val="false"/>
          <w:smallCaps w:val="false"/>
        </w:rPr>
      </w:pPr>
      <w:r>
        <w:rPr>
          <w:caps w:val="false"/>
          <w:smallCaps w:val="false"/>
        </w:rPr>
        <w:t> </w:t>
      </w:r>
      <w:bookmarkStart w:id="517" w:name="xdx_8B0_zV9WbQjfDDk6"/>
      <w:bookmarkEnd w:id="517"/>
      <w:r>
        <w:rPr>
          <w:rFonts w:ascii="Times New Roman;Times;Serif" w:hAnsi="Times New Roman;Times;Serif"/>
          <w:b w:val="false"/>
          <w:i w:val="false"/>
          <w:caps w:val="false"/>
          <w:smallCaps w:val="false"/>
          <w:sz w:val="20"/>
        </w:rPr>
        <w:t>SCHEDULE OF ESTIMATED FUTURE AMORTIZATION EXPENSE</w:t>
      </w:r>
    </w:p>
    <w:tbl>
      <w:tblPr>
        <w:tblW w:w="3360" w:type="dxa"/>
        <w:jc w:val="left"/>
        <w:tblInd w:w="0" w:type="dxa"/>
        <w:tblLayout w:type="fixed"/>
        <w:tblCellMar>
          <w:top w:w="0" w:type="dxa"/>
          <w:left w:w="0" w:type="dxa"/>
          <w:bottom w:w="0" w:type="dxa"/>
          <w:right w:w="0" w:type="dxa"/>
        </w:tblCellMar>
      </w:tblPr>
      <w:tblGrid>
        <w:gridCol w:w="1865"/>
        <w:gridCol w:w="60"/>
        <w:gridCol w:w="140"/>
        <w:gridCol w:w="1220"/>
        <w:gridCol w:w="75"/>
      </w:tblGrid>
      <w:tr>
        <w:trPr/>
        <w:tc>
          <w:tcPr>
            <w:tcW w:w="1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18" w:name="xdx_49D_20240630_z3HFGFlpN4w4"/>
            <w:bookmarkEnd w:id="518"/>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19" w:name="xdx_404_eus-gaap--FiniteLivedIntangibleA"/>
            <w:bookmarkEnd w:id="519"/>
          </w:p>
        </w:tc>
      </w:tr>
      <w:tr>
        <w:trPr/>
        <w:tc>
          <w:tcPr>
            <w:tcW w:w="1865" w:type="dxa"/>
            <w:tcBorders/>
            <w:shd w:fill="CCEEFF" w:val="clear"/>
            <w:vAlign w:val="center"/>
          </w:tcPr>
          <w:p>
            <w:pPr>
              <w:pStyle w:val="TableContents"/>
              <w:bidi w:val="0"/>
              <w:spacing w:before="0" w:after="283"/>
              <w:jc w:val="left"/>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5,098,000</w:t>
            </w:r>
          </w:p>
        </w:tc>
        <w:tc>
          <w:tcPr>
            <w:tcW w:w="75" w:type="dxa"/>
            <w:tcBorders/>
            <w:shd w:fill="CCEEFF" w:val="clear"/>
            <w:vAlign w:val="center"/>
          </w:tcPr>
          <w:p>
            <w:pPr>
              <w:pStyle w:val="TableContents"/>
              <w:bidi w:val="0"/>
              <w:spacing w:before="0" w:after="283"/>
              <w:jc w:val="left"/>
              <w:rPr/>
            </w:pPr>
            <w:r>
              <w:rPr/>
              <w:t> </w:t>
            </w:r>
            <w:bookmarkStart w:id="520" w:name="xdx_408_eus-gaap--FiniteLivedIntangibleA"/>
            <w:bookmarkEnd w:id="520"/>
          </w:p>
        </w:tc>
      </w:tr>
      <w:tr>
        <w:trPr/>
        <w:tc>
          <w:tcPr>
            <w:tcW w:w="186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13,658,000</w:t>
            </w:r>
          </w:p>
        </w:tc>
        <w:tc>
          <w:tcPr>
            <w:tcW w:w="75" w:type="dxa"/>
            <w:tcBorders/>
            <w:shd w:fill="FFFFFF" w:val="clear"/>
            <w:vAlign w:val="center"/>
          </w:tcPr>
          <w:p>
            <w:pPr>
              <w:pStyle w:val="TableContents"/>
              <w:bidi w:val="0"/>
              <w:spacing w:before="0" w:after="283"/>
              <w:jc w:val="left"/>
              <w:rPr/>
            </w:pPr>
            <w:r>
              <w:rPr/>
              <w:t> </w:t>
            </w:r>
            <w:bookmarkStart w:id="521" w:name="xdx_40B_eus-gaap--FiniteLivedIntangibleA"/>
            <w:bookmarkEnd w:id="521"/>
          </w:p>
        </w:tc>
      </w:tr>
      <w:tr>
        <w:trPr/>
        <w:tc>
          <w:tcPr>
            <w:tcW w:w="186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13,658,000</w:t>
            </w:r>
          </w:p>
        </w:tc>
        <w:tc>
          <w:tcPr>
            <w:tcW w:w="75" w:type="dxa"/>
            <w:tcBorders/>
            <w:shd w:fill="CCEEFF" w:val="clear"/>
            <w:vAlign w:val="center"/>
          </w:tcPr>
          <w:p>
            <w:pPr>
              <w:pStyle w:val="TableContents"/>
              <w:bidi w:val="0"/>
              <w:spacing w:before="0" w:after="283"/>
              <w:jc w:val="left"/>
              <w:rPr/>
            </w:pPr>
            <w:r>
              <w:rPr/>
              <w:t> </w:t>
            </w:r>
            <w:bookmarkStart w:id="522" w:name="xdx_40C_eus-gaap--FiniteLivedIntangibleA"/>
            <w:bookmarkEnd w:id="522"/>
          </w:p>
        </w:tc>
      </w:tr>
      <w:tr>
        <w:trPr/>
        <w:tc>
          <w:tcPr>
            <w:tcW w:w="18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13,309,000</w:t>
            </w:r>
          </w:p>
        </w:tc>
        <w:tc>
          <w:tcPr>
            <w:tcW w:w="75" w:type="dxa"/>
            <w:tcBorders/>
            <w:shd w:fill="FFFFFF" w:val="clear"/>
            <w:vAlign w:val="center"/>
          </w:tcPr>
          <w:p>
            <w:pPr>
              <w:pStyle w:val="TableContents"/>
              <w:bidi w:val="0"/>
              <w:spacing w:before="0" w:after="283"/>
              <w:jc w:val="left"/>
              <w:rPr/>
            </w:pPr>
            <w:r>
              <w:rPr/>
              <w:t> </w:t>
            </w:r>
            <w:bookmarkStart w:id="523" w:name="xdx_400_eus-gaap--FiniteLivedIntangibleA"/>
            <w:bookmarkEnd w:id="523"/>
          </w:p>
        </w:tc>
      </w:tr>
      <w:tr>
        <w:trPr/>
        <w:tc>
          <w:tcPr>
            <w:tcW w:w="186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12,961,000</w:t>
            </w:r>
          </w:p>
        </w:tc>
        <w:tc>
          <w:tcPr>
            <w:tcW w:w="75" w:type="dxa"/>
            <w:tcBorders/>
            <w:shd w:fill="CCEEFF" w:val="clear"/>
            <w:vAlign w:val="center"/>
          </w:tcPr>
          <w:p>
            <w:pPr>
              <w:pStyle w:val="TableContents"/>
              <w:bidi w:val="0"/>
              <w:spacing w:before="0" w:after="283"/>
              <w:jc w:val="left"/>
              <w:rPr/>
            </w:pPr>
            <w:r>
              <w:rPr/>
              <w:t> </w:t>
            </w:r>
            <w:bookmarkStart w:id="524" w:name="xdx_401_ecustom--FiniteLivedIntangibleAs"/>
            <w:bookmarkEnd w:id="524"/>
          </w:p>
        </w:tc>
      </w:tr>
      <w:tr>
        <w:trPr/>
        <w:tc>
          <w:tcPr>
            <w:tcW w:w="186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95,966,000</w:t>
            </w:r>
          </w:p>
        </w:tc>
        <w:tc>
          <w:tcPr>
            <w:tcW w:w="75" w:type="dxa"/>
            <w:tcBorders/>
            <w:shd w:fill="FFFFFF" w:val="clear"/>
            <w:vAlign w:val="center"/>
          </w:tcPr>
          <w:p>
            <w:pPr>
              <w:pStyle w:val="TableContents"/>
              <w:bidi w:val="0"/>
              <w:spacing w:before="0" w:after="283"/>
              <w:jc w:val="left"/>
              <w:rPr/>
            </w:pPr>
            <w:r>
              <w:rPr/>
              <w:t> </w:t>
            </w:r>
            <w:bookmarkStart w:id="525" w:name="xdx_408_eus-gaap--FiniteLivedIntangibleA"/>
            <w:bookmarkEnd w:id="525"/>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154,650,000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6" w:name="xdx_8AB_zm1fjFklfwg2"/>
      <w:bookmarkEnd w:id="5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527" w:name="xdx_90D_eus-gaap--GoodwillPeriodIncrease"/>
      <w:bookmarkStart w:id="528" w:name="xdx_909_eus-gaap--GoodwillPeriodIncrease"/>
      <w:bookmarkStart w:id="529" w:name="xdx_90B_eus-gaap--GoodwillPeriodIncrease"/>
      <w:bookmarkStart w:id="530" w:name="xdx_90A_eus-gaap--GoodwillPeriodIncrease"/>
      <w:bookmarkEnd w:id="527"/>
      <w:bookmarkEnd w:id="528"/>
      <w:bookmarkEnd w:id="529"/>
      <w:bookmarkEnd w:id="530"/>
      <w:r>
        <w:rPr>
          <w:rFonts w:ascii="Times New Roman;Times;Serif" w:hAnsi="Times New Roman;Times;Serif"/>
          <w:b w:val="false"/>
          <w:i w:val="false"/>
          <w:caps w:val="false"/>
          <w:smallCaps w:val="false"/>
          <w:sz w:val="20"/>
        </w:rPr>
        <w:t>no changes to the carrying value of the Company’s goodwill during the three and six months ended June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1" w:name="xdx_808_eus-gaap--AccountsPayableAndAccr"/>
      <w:bookmarkEnd w:id="531"/>
      <w:r>
        <w:rPr>
          <w:rFonts w:ascii="Times New Roman;Times;Serif" w:hAnsi="Times New Roman;Times;Serif"/>
          <w:b/>
          <w:i w:val="false"/>
          <w:caps w:val="false"/>
          <w:smallCaps w:val="false"/>
          <w:sz w:val="20"/>
        </w:rPr>
        <w:t xml:space="preserve">NOTE 10. </w:t>
      </w:r>
      <w:bookmarkStart w:id="532" w:name="xdx_826_zCMD6RHUMaIh"/>
      <w:bookmarkEnd w:id="532"/>
      <w:r>
        <w:rPr>
          <w:rFonts w:ascii="Times New Roman;Times;Serif" w:hAnsi="Times New Roman;Times;Serif"/>
          <w:b/>
          <w:i w:val="false"/>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3" w:name="xdx_898_eus-gaap--ScheduleOfAccountsPaya"/>
      <w:bookmarkEnd w:id="533"/>
      <w:r>
        <w:rPr>
          <w:rFonts w:ascii="Times New Roman;Times;Serif" w:hAnsi="Times New Roman;Times;Serif"/>
          <w:b w:val="false"/>
          <w:i w:val="false"/>
          <w:caps w:val="false"/>
          <w:smallCaps w:val="false"/>
          <w:sz w:val="20"/>
        </w:rPr>
        <w:t>Accounts payable and accrued expenses consisted of the following:</w:t>
      </w:r>
    </w:p>
    <w:p>
      <w:pPr>
        <w:pStyle w:val="TextBody"/>
        <w:bidi w:val="0"/>
        <w:spacing w:before="0" w:after="0"/>
        <w:ind w:left="0" w:right="0" w:hanging="0"/>
        <w:jc w:val="both"/>
        <w:rPr>
          <w:caps w:val="false"/>
          <w:smallCaps w:val="false"/>
        </w:rPr>
      </w:pPr>
      <w:r>
        <w:rPr>
          <w:caps w:val="false"/>
          <w:smallCaps w:val="false"/>
        </w:rPr>
        <w:t> </w:t>
      </w:r>
      <w:bookmarkStart w:id="534" w:name="xdx_8BD_zrFwGnbfELA7"/>
      <w:bookmarkEnd w:id="534"/>
      <w:r>
        <w:rPr>
          <w:rFonts w:ascii="Times New Roman;Times;Serif" w:hAnsi="Times New Roman;Times;Serif"/>
          <w:b w:val="false"/>
          <w:i w:val="false"/>
          <w:caps w:val="false"/>
          <w:smallCaps w:val="false"/>
          <w:sz w:val="20"/>
        </w:rPr>
        <w:t>SCHEDULE OF ACCOUNTS PAYABLE AND ACCRUED EXPENSES</w:t>
      </w:r>
    </w:p>
    <w:tbl>
      <w:tblPr>
        <w:tblW w:w="7994" w:type="dxa"/>
        <w:jc w:val="left"/>
        <w:tblInd w:w="0" w:type="dxa"/>
        <w:tblLayout w:type="fixed"/>
        <w:tblCellMar>
          <w:top w:w="0" w:type="dxa"/>
          <w:left w:w="0" w:type="dxa"/>
          <w:bottom w:w="0" w:type="dxa"/>
          <w:right w:w="0" w:type="dxa"/>
        </w:tblCellMar>
      </w:tblPr>
      <w:tblGrid>
        <w:gridCol w:w="4625"/>
        <w:gridCol w:w="60"/>
        <w:gridCol w:w="140"/>
        <w:gridCol w:w="1175"/>
        <w:gridCol w:w="95"/>
        <w:gridCol w:w="60"/>
        <w:gridCol w:w="184"/>
        <w:gridCol w:w="1545"/>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5" w:name="xdx_497_20240630_zKvZ9r2IDHk3"/>
            <w:bookmarkEnd w:id="535"/>
          </w:p>
        </w:tc>
        <w:tc>
          <w:tcPr>
            <w:tcW w:w="1315" w:type="dxa"/>
            <w:gridSpan w:val="2"/>
            <w:tcBorders/>
            <w:vAlign w:val="center"/>
          </w:tcPr>
          <w:p>
            <w:pPr>
              <w:pStyle w:val="TableContents"/>
              <w:bidi w:val="0"/>
              <w:spacing w:before="0" w:after="283"/>
              <w:jc w:val="center"/>
              <w:rPr>
                <w:b/>
              </w:rPr>
            </w:pPr>
            <w:r>
              <w:rPr>
                <w:b/>
              </w:rPr>
              <w:t>At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6" w:name="xdx_49A_20231231_zCHnCXxUD3j8"/>
            <w:bookmarkEnd w:id="536"/>
          </w:p>
        </w:tc>
        <w:tc>
          <w:tcPr>
            <w:tcW w:w="1729" w:type="dxa"/>
            <w:gridSpan w:val="2"/>
            <w:tcBorders/>
            <w:vAlign w:val="center"/>
          </w:tcPr>
          <w:p>
            <w:pPr>
              <w:pStyle w:val="TableContents"/>
              <w:bidi w:val="0"/>
              <w:spacing w:before="0" w:after="283"/>
              <w:jc w:val="center"/>
              <w:rPr>
                <w:b/>
              </w:rPr>
            </w:pPr>
            <w:r>
              <w:rPr>
                <w:b/>
              </w:rPr>
              <w:t>At 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37" w:name="xdx_401_eus-gaap--AccountsPayableCurrent"/>
            <w:bookmarkEnd w:id="537"/>
          </w:p>
        </w:tc>
      </w:tr>
      <w:tr>
        <w:trPr/>
        <w:tc>
          <w:tcPr>
            <w:tcW w:w="462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20,177,000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545" w:type="dxa"/>
            <w:tcBorders/>
            <w:shd w:fill="CCEEFF" w:val="clear"/>
            <w:vAlign w:val="center"/>
          </w:tcPr>
          <w:p>
            <w:pPr>
              <w:pStyle w:val="TableContents"/>
              <w:bidi w:val="0"/>
              <w:spacing w:before="0" w:after="283"/>
              <w:jc w:val="right"/>
              <w:rPr/>
            </w:pPr>
            <w:r>
              <w:rPr/>
              <w:t>21,424,000</w:t>
            </w:r>
          </w:p>
        </w:tc>
        <w:tc>
          <w:tcPr>
            <w:tcW w:w="110" w:type="dxa"/>
            <w:tcBorders/>
            <w:shd w:fill="CCEEFF" w:val="clear"/>
            <w:vAlign w:val="center"/>
          </w:tcPr>
          <w:p>
            <w:pPr>
              <w:pStyle w:val="TableContents"/>
              <w:bidi w:val="0"/>
              <w:spacing w:before="0" w:after="283"/>
              <w:jc w:val="left"/>
              <w:rPr/>
            </w:pPr>
            <w:r>
              <w:rPr/>
              <w:t> </w:t>
            </w:r>
            <w:bookmarkStart w:id="538" w:name="xdx_403_eus-gaap--AccruedInsuranceCurren"/>
            <w:bookmarkEnd w:id="538"/>
          </w:p>
        </w:tc>
      </w:tr>
      <w:tr>
        <w:trPr/>
        <w:tc>
          <w:tcPr>
            <w:tcW w:w="4625" w:type="dxa"/>
            <w:tcBorders/>
            <w:shd w:fill="FFFFFF" w:val="clear"/>
            <w:vAlign w:val="center"/>
          </w:tcPr>
          <w:p>
            <w:pPr>
              <w:pStyle w:val="TableContents"/>
              <w:bidi w:val="0"/>
              <w:spacing w:before="0" w:after="283"/>
              <w:jc w:val="left"/>
              <w:rPr/>
            </w:pPr>
            <w:r>
              <w:rPr/>
              <w:t>Accrued insurance premium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t>873,000</w:t>
            </w:r>
          </w:p>
        </w:tc>
        <w:tc>
          <w:tcPr>
            <w:tcW w:w="110" w:type="dxa"/>
            <w:tcBorders/>
            <w:shd w:fill="FFFFFF" w:val="clear"/>
            <w:vAlign w:val="center"/>
          </w:tcPr>
          <w:p>
            <w:pPr>
              <w:pStyle w:val="TableContents"/>
              <w:bidi w:val="0"/>
              <w:spacing w:before="0" w:after="283"/>
              <w:jc w:val="left"/>
              <w:rPr/>
            </w:pPr>
            <w:r>
              <w:rPr/>
              <w:t> </w:t>
            </w:r>
            <w:bookmarkStart w:id="539" w:name="xdx_400_eus-gaap--OtherAccruedLiabilitie"/>
            <w:bookmarkEnd w:id="539"/>
          </w:p>
        </w:tc>
      </w:tr>
      <w:tr>
        <w:trPr/>
        <w:tc>
          <w:tcPr>
            <w:tcW w:w="4625" w:type="dxa"/>
            <w:tcBorders/>
            <w:shd w:fill="CCEEFF" w:val="clear"/>
            <w:vAlign w:val="center"/>
          </w:tcPr>
          <w:p>
            <w:pPr>
              <w:pStyle w:val="TableContents"/>
              <w:bidi w:val="0"/>
              <w:spacing w:before="0" w:after="283"/>
              <w:jc w:val="left"/>
              <w:rPr/>
            </w:pPr>
            <w:r>
              <w:rPr/>
              <w:t>Other accrued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106,000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pPr>
            <w:r>
              <w:rPr/>
              <w:t>306,000</w:t>
            </w:r>
          </w:p>
        </w:tc>
        <w:tc>
          <w:tcPr>
            <w:tcW w:w="110" w:type="dxa"/>
            <w:tcBorders/>
            <w:shd w:fill="CCEEFF" w:val="clear"/>
            <w:vAlign w:val="center"/>
          </w:tcPr>
          <w:p>
            <w:pPr>
              <w:pStyle w:val="TableContents"/>
              <w:bidi w:val="0"/>
              <w:spacing w:before="0" w:after="283"/>
              <w:jc w:val="left"/>
              <w:rPr/>
            </w:pPr>
            <w:r>
              <w:rPr/>
              <w:t> </w:t>
            </w:r>
            <w:bookmarkStart w:id="540" w:name="xdx_402_eus-gaap--InterestPayableCurrent"/>
            <w:bookmarkEnd w:id="540"/>
          </w:p>
        </w:tc>
      </w:tr>
      <w:tr>
        <w:trPr/>
        <w:tc>
          <w:tcPr>
            <w:tcW w:w="4625" w:type="dxa"/>
            <w:tcBorders/>
            <w:shd w:fill="FFFFFF" w:val="clear"/>
            <w:vAlign w:val="center"/>
          </w:tcPr>
          <w:p>
            <w:pPr>
              <w:pStyle w:val="TableContents"/>
              <w:bidi w:val="0"/>
              <w:spacing w:before="0" w:after="283"/>
              <w:jc w:val="left"/>
              <w:rPr/>
            </w:pPr>
            <w:r>
              <w:rPr/>
              <w:t>Accrued interest (see Note 11)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1,981,000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t>1,978,000</w:t>
            </w:r>
          </w:p>
        </w:tc>
        <w:tc>
          <w:tcPr>
            <w:tcW w:w="110" w:type="dxa"/>
            <w:tcBorders/>
            <w:shd w:fill="FFFFFF" w:val="clear"/>
            <w:vAlign w:val="center"/>
          </w:tcPr>
          <w:p>
            <w:pPr>
              <w:pStyle w:val="TableContents"/>
              <w:bidi w:val="0"/>
              <w:spacing w:before="0" w:after="283"/>
              <w:jc w:val="left"/>
              <w:rPr/>
            </w:pPr>
            <w:r>
              <w:rPr/>
              <w:t> </w:t>
            </w:r>
            <w:bookmarkStart w:id="541" w:name="xdx_40F_ecustom--AccruedExitFeeForLoanCu"/>
            <w:bookmarkEnd w:id="541"/>
          </w:p>
        </w:tc>
      </w:tr>
      <w:tr>
        <w:trPr/>
        <w:tc>
          <w:tcPr>
            <w:tcW w:w="4625" w:type="dxa"/>
            <w:tcBorders/>
            <w:shd w:fill="CCEEFF" w:val="clear"/>
            <w:vAlign w:val="center"/>
          </w:tcPr>
          <w:p>
            <w:pPr>
              <w:pStyle w:val="TableContents"/>
              <w:bidi w:val="0"/>
              <w:spacing w:before="0" w:after="283"/>
              <w:jc w:val="left"/>
              <w:rPr/>
            </w:pPr>
            <w:r>
              <w:rPr/>
              <w:t>Accrued exit fee for Oaktree Loan (see Note 11)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2,713,000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5" w:type="dxa"/>
            <w:tcBorders>
              <w:bottom w:val="single" w:sz="12" w:space="0" w:color="000000"/>
            </w:tcBorders>
            <w:shd w:fill="CCEEFF" w:val="clear"/>
            <w:tcMar>
              <w:bottom w:w="28" w:type="dxa"/>
            </w:tcMar>
            <w:vAlign w:val="center"/>
          </w:tcPr>
          <w:p>
            <w:pPr>
              <w:pStyle w:val="TableContents"/>
              <w:bidi w:val="0"/>
              <w:spacing w:before="0" w:after="283"/>
              <w:jc w:val="right"/>
              <w:rPr/>
            </w:pPr>
            <w:r>
              <w:rPr/>
              <w:t>2,713,000</w:t>
            </w:r>
          </w:p>
        </w:tc>
        <w:tc>
          <w:tcPr>
            <w:tcW w:w="110" w:type="dxa"/>
            <w:tcBorders/>
            <w:shd w:fill="CCEEFF" w:val="clear"/>
            <w:vAlign w:val="center"/>
          </w:tcPr>
          <w:p>
            <w:pPr>
              <w:pStyle w:val="TableContents"/>
              <w:bidi w:val="0"/>
              <w:spacing w:before="0" w:after="283"/>
              <w:jc w:val="left"/>
              <w:rPr/>
            </w:pPr>
            <w:r>
              <w:rPr/>
              <w:t> </w:t>
            </w:r>
            <w:bookmarkStart w:id="542" w:name="xdx_40A_eus-gaap--AccountsPayableAndAccr"/>
            <w:bookmarkEnd w:id="542"/>
          </w:p>
        </w:tc>
      </w:tr>
      <w:tr>
        <w:trPr/>
        <w:tc>
          <w:tcPr>
            <w:tcW w:w="4625" w:type="dxa"/>
            <w:tcBorders/>
            <w:shd w:fill="FFFFFF" w:val="clear"/>
            <w:vAlign w:val="center"/>
          </w:tcPr>
          <w:p>
            <w:pPr>
              <w:pStyle w:val="TableContents"/>
              <w:bidi w:val="0"/>
              <w:spacing w:before="0" w:after="283"/>
              <w:jc w:val="left"/>
              <w:rPr/>
            </w:pPr>
            <w:r>
              <w:rPr/>
              <w:t>Total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24,977,000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545" w:type="dxa"/>
            <w:tcBorders/>
            <w:shd w:fill="FFFFFF" w:val="clear"/>
            <w:vAlign w:val="center"/>
          </w:tcPr>
          <w:p>
            <w:pPr>
              <w:pStyle w:val="TableContents"/>
              <w:bidi w:val="0"/>
              <w:spacing w:before="0" w:after="283"/>
              <w:jc w:val="right"/>
              <w:rPr/>
            </w:pPr>
            <w:r>
              <w:rPr/>
              <w:t>27,294,000</w:t>
            </w:r>
          </w:p>
        </w:tc>
        <w:tc>
          <w:tcPr>
            <w:tcW w:w="110" w:type="dxa"/>
            <w:tcBorders/>
            <w:shd w:fill="FFFFFF" w:val="clear"/>
            <w:vAlign w:val="center"/>
          </w:tcPr>
          <w:p>
            <w:pPr>
              <w:pStyle w:val="TableContents"/>
              <w:bidi w:val="0"/>
              <w:spacing w:before="0" w:after="283"/>
              <w:jc w:val="left"/>
              <w:rPr/>
            </w:pPr>
            <w:r>
              <w:rPr/>
              <w:t> </w:t>
            </w:r>
            <w:bookmarkStart w:id="543" w:name="xdx_407_eus-gaap--AccountsPayableAndAccr"/>
            <w:bookmarkEnd w:id="543"/>
          </w:p>
        </w:tc>
      </w:tr>
      <w:tr>
        <w:trPr/>
        <w:tc>
          <w:tcPr>
            <w:tcW w:w="4625" w:type="dxa"/>
            <w:tcBorders/>
            <w:shd w:fill="CCEEFF" w:val="clear"/>
            <w:vAlign w:val="center"/>
          </w:tcPr>
          <w:p>
            <w:pPr>
              <w:pStyle w:val="TableContents"/>
              <w:bidi w:val="0"/>
              <w:spacing w:before="0" w:after="283"/>
              <w:jc w:val="left"/>
              <w:rPr/>
            </w:pPr>
            <w:r>
              <w:rPr/>
              <w:t>Less: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(22,264,000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5" w:type="dxa"/>
            <w:tcBorders>
              <w:bottom w:val="single" w:sz="12" w:space="0" w:color="000000"/>
            </w:tcBorders>
            <w:shd w:fill="CCEEFF" w:val="clear"/>
            <w:tcMar>
              <w:bottom w:w="28" w:type="dxa"/>
            </w:tcMar>
            <w:vAlign w:val="center"/>
          </w:tcPr>
          <w:p>
            <w:pPr>
              <w:pStyle w:val="TableContents"/>
              <w:bidi w:val="0"/>
              <w:spacing w:before="0" w:after="283"/>
              <w:jc w:val="right"/>
              <w:rPr/>
            </w:pPr>
            <w:r>
              <w:rPr/>
              <w:t>(24,581,000</w:t>
            </w:r>
          </w:p>
        </w:tc>
        <w:tc>
          <w:tcPr>
            <w:tcW w:w="110" w:type="dxa"/>
            <w:tcBorders/>
            <w:shd w:fill="CCEEFF" w:val="clear"/>
            <w:vAlign w:val="center"/>
          </w:tcPr>
          <w:p>
            <w:pPr>
              <w:pStyle w:val="TableContents"/>
              <w:bidi w:val="0"/>
              <w:spacing w:before="0" w:after="283"/>
              <w:jc w:val="left"/>
              <w:rPr/>
            </w:pPr>
            <w:r>
              <w:rPr/>
              <w:t>)</w:t>
            </w:r>
            <w:bookmarkStart w:id="544" w:name="xdx_405_eus-gaap--AccountsPayableAndAccr"/>
            <w:bookmarkEnd w:id="544"/>
          </w:p>
        </w:tc>
      </w:tr>
      <w:tr>
        <w:trPr/>
        <w:tc>
          <w:tcPr>
            <w:tcW w:w="4625" w:type="dxa"/>
            <w:tcBorders/>
            <w:shd w:fill="FFFFFF" w:val="clear"/>
            <w:vAlign w:val="center"/>
          </w:tcPr>
          <w:p>
            <w:pPr>
              <w:pStyle w:val="TableContents"/>
              <w:bidi w:val="0"/>
              <w:spacing w:before="0" w:after="283"/>
              <w:jc w:val="left"/>
              <w:rPr/>
            </w:pPr>
            <w:r>
              <w:rPr/>
              <w:t>Non-current total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2,713,000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45" w:type="dxa"/>
            <w:tcBorders>
              <w:bottom w:val="double" w:sz="6" w:space="0" w:color="000000"/>
            </w:tcBorders>
            <w:shd w:fill="FFFFFF" w:val="clear"/>
            <w:tcMar>
              <w:bottom w:w="28" w:type="dxa"/>
            </w:tcMar>
            <w:vAlign w:val="center"/>
          </w:tcPr>
          <w:p>
            <w:pPr>
              <w:pStyle w:val="TableContents"/>
              <w:bidi w:val="0"/>
              <w:spacing w:before="0" w:after="283"/>
              <w:jc w:val="right"/>
              <w:rPr/>
            </w:pPr>
            <w:r>
              <w:rPr/>
              <w:t>2,713,000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5" w:name="xdx_8A4_zM3tzB6HHkQl"/>
      <w:bookmarkEnd w:id="54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financed insurance policies for the policy terms of August 2023 through August 2024. The financing agreement had an interest rate of </w:t>
      </w:r>
      <w:bookmarkStart w:id="546" w:name="xdx_909_eus-gaap--DebtInstrumentInterest"/>
      <w:bookmarkEnd w:id="546"/>
      <w:r>
        <w:rPr>
          <w:rFonts w:ascii="Times New Roman;Times;Serif" w:hAnsi="Times New Roman;Times;Serif"/>
          <w:b w:val="false"/>
          <w:i w:val="false"/>
          <w:caps w:val="false"/>
          <w:smallCaps w:val="false"/>
          <w:sz w:val="20"/>
        </w:rPr>
        <w:t xml:space="preserve">7.48% per annum and required </w:t>
      </w:r>
      <w:bookmarkStart w:id="547" w:name="xdx_906_eus-gaap--DebtInstrumentFrequenc"/>
      <w:bookmarkEnd w:id="547"/>
      <w:r>
        <w:rPr>
          <w:rFonts w:ascii="Times New Roman;Times;Serif" w:hAnsi="Times New Roman;Times;Serif"/>
          <w:b w:val="false"/>
          <w:i w:val="false"/>
          <w:caps w:val="false"/>
          <w:smallCaps w:val="false"/>
          <w:sz w:val="20"/>
        </w:rPr>
        <w:t>nine monthly payments of $</w:t>
      </w:r>
      <w:bookmarkStart w:id="548" w:name="xdx_908_eus-gaap--DebtInstrumentPeriodic"/>
      <w:bookmarkEnd w:id="548"/>
      <w:r>
        <w:rPr>
          <w:rFonts w:ascii="Times New Roman;Times;Serif" w:hAnsi="Times New Roman;Times;Serif"/>
          <w:b w:val="false"/>
          <w:i w:val="false"/>
          <w:caps w:val="false"/>
          <w:smallCaps w:val="false"/>
          <w:sz w:val="20"/>
        </w:rPr>
        <w:t>150,000 all of which had been paid as of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9" w:name="xdx_804_eus-gaap--DebtDisclosureTextBloc"/>
      <w:bookmarkEnd w:id="549"/>
      <w:r>
        <w:rPr>
          <w:rFonts w:ascii="Times New Roman;Times;Serif" w:hAnsi="Times New Roman;Times;Serif"/>
          <w:b/>
          <w:i w:val="false"/>
          <w:caps w:val="false"/>
          <w:smallCaps w:val="false"/>
          <w:sz w:val="20"/>
        </w:rPr>
        <w:t xml:space="preserve">NOTE 11. </w:t>
      </w:r>
      <w:bookmarkStart w:id="550" w:name="xdx_82F_zqy58ujPujSe"/>
      <w:bookmarkEnd w:id="550"/>
      <w:r>
        <w:rPr>
          <w:rFonts w:ascii="Times New Roman;Times;Serif" w:hAnsi="Times New Roman;Times;Serif"/>
          <w:b/>
          <w:i w:val="false"/>
          <w:caps w:val="false"/>
          <w:smallCaps w:val="false"/>
          <w:sz w:val="20"/>
        </w:rPr>
        <w:t xml:space="preserve">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Oaktree Loan Due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the Company entered into a Credit Agreement and Guaranty, (the “Oaktree Loan”) with Oaktree Fund Administration, LLC, as administrative agent for the lenders (together, “Oaktree”), providing for a senior secured term loan facility to the Company with a principal amount of up to $</w:t>
      </w:r>
      <w:bookmarkStart w:id="551" w:name="xdx_90D_eus-gaap--LineOfCreditFacilityMa"/>
      <w:bookmarkEnd w:id="551"/>
      <w:r>
        <w:rPr>
          <w:rFonts w:ascii="Times New Roman;Times;Serif" w:hAnsi="Times New Roman;Times;Serif"/>
          <w:b w:val="false"/>
          <w:i w:val="false"/>
          <w:caps w:val="false"/>
          <w:smallCaps w:val="false"/>
          <w:sz w:val="20"/>
        </w:rPr>
        <w:t>100,000,000. Upon entering into the Oaktree Loan, the Company drew a principal amount of $</w:t>
      </w:r>
      <w:bookmarkStart w:id="552" w:name="xdx_908_eus-gaap--ProceedsFromLinesOfCre"/>
      <w:bookmarkEnd w:id="552"/>
      <w:r>
        <w:rPr>
          <w:rFonts w:ascii="Times New Roman;Times;Serif" w:hAnsi="Times New Roman;Times;Serif"/>
          <w:b w:val="false"/>
          <w:i w:val="false"/>
          <w:caps w:val="false"/>
          <w:smallCaps w:val="false"/>
          <w:sz w:val="20"/>
        </w:rPr>
        <w:t>65,000,000. In July 2023, the Company drew an additional principal amount of $</w:t>
      </w:r>
      <w:bookmarkStart w:id="553" w:name="xdx_90E_eus-gaap--ProceedsFromLinesOfCre"/>
      <w:bookmarkEnd w:id="553"/>
      <w:r>
        <w:rPr>
          <w:rFonts w:ascii="Times New Roman;Times;Serif" w:hAnsi="Times New Roman;Times;Serif"/>
          <w:b w:val="false"/>
          <w:i w:val="false"/>
          <w:caps w:val="false"/>
          <w:smallCaps w:val="false"/>
          <w:sz w:val="20"/>
        </w:rPr>
        <w:t>12,500,000 and entered into the First Amendment to the Oaktree Loan (the “Oaktree Amendment”). Under the Oaktree Amendment, the overall credit facility size was increased from $</w:t>
      </w:r>
      <w:bookmarkStart w:id="554" w:name="xdx_906_eus-gaap--LineOfCreditFacilityMa"/>
      <w:bookmarkEnd w:id="554"/>
      <w:r>
        <w:rPr>
          <w:rFonts w:ascii="Times New Roman;Times;Serif" w:hAnsi="Times New Roman;Times;Serif"/>
          <w:b w:val="false"/>
          <w:i w:val="false"/>
          <w:caps w:val="false"/>
          <w:smallCaps w:val="false"/>
          <w:sz w:val="20"/>
        </w:rPr>
        <w:t>100,000,000 to $</w:t>
      </w:r>
      <w:bookmarkStart w:id="555" w:name="xdx_90A_eus-gaap--LineOfCreditFacilityMa"/>
      <w:bookmarkEnd w:id="555"/>
      <w:r>
        <w:rPr>
          <w:rFonts w:ascii="Times New Roman;Times;Serif" w:hAnsi="Times New Roman;Times;Serif"/>
          <w:b w:val="false"/>
          <w:i w:val="false"/>
          <w:caps w:val="false"/>
          <w:smallCaps w:val="false"/>
          <w:sz w:val="20"/>
        </w:rPr>
        <w:t>112,500,000. The additional principal loan amount of up to $</w:t>
      </w:r>
      <w:bookmarkStart w:id="556" w:name="xdx_909_eus-gaap--LineOfCreditFacilityMa"/>
      <w:bookmarkEnd w:id="556"/>
      <w:r>
        <w:rPr>
          <w:rFonts w:ascii="Times New Roman;Times;Serif" w:hAnsi="Times New Roman;Times;Serif"/>
          <w:b w:val="false"/>
          <w:i w:val="false"/>
          <w:caps w:val="false"/>
          <w:smallCaps w:val="false"/>
          <w:sz w:val="20"/>
        </w:rPr>
        <w:t>35,000,000 available under the Oaktree Loan (“Tranche B”) is made available to the Company upon the commercialization of TRIESENCE. Since Tranche B was not drawn by the Company on or before March 27, 2024, the amount available under Tranche B decreased to $</w:t>
      </w:r>
      <w:bookmarkStart w:id="557" w:name="xdx_90F_eus-gaap--LineOfCreditFacilityMa"/>
      <w:bookmarkEnd w:id="557"/>
      <w:r>
        <w:rPr>
          <w:rFonts w:ascii="Times New Roman;Times;Serif" w:hAnsi="Times New Roman;Times;Serif"/>
          <w:b w:val="false"/>
          <w:i w:val="false"/>
          <w:caps w:val="false"/>
          <w:smallCaps w:val="false"/>
          <w:sz w:val="20"/>
        </w:rPr>
        <w:t xml:space="preserve">30,000,000. While undrawn, the Company is required to pay a commitment fee related to the Tranche B amount equal to </w:t>
      </w:r>
      <w:bookmarkStart w:id="558" w:name="xdx_90E_eus-gaap--LineOfCreditFacilityUn"/>
      <w:bookmarkEnd w:id="558"/>
      <w:r>
        <w:rPr>
          <w:rFonts w:ascii="Times New Roman;Times;Serif" w:hAnsi="Times New Roman;Times;Serif"/>
          <w:b w:val="false"/>
          <w:i w:val="false"/>
          <w:caps w:val="false"/>
          <w:smallCaps w:val="false"/>
          <w:sz w:val="20"/>
        </w:rPr>
        <w:t>2% per annum, payable quarterly. This fee is recorded within prepaid expenses and other current assets and is being amortized on a straight-line basis over the access period.</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related to the Oaktree Loan totaled $</w:t>
      </w:r>
      <w:bookmarkStart w:id="559" w:name="xdx_902_eus-gaap--InterestExpenseOtherLo"/>
      <w:bookmarkEnd w:id="559"/>
      <w:r>
        <w:rPr>
          <w:rFonts w:ascii="Times New Roman;Times;Serif" w:hAnsi="Times New Roman;Times;Serif"/>
          <w:b w:val="false"/>
          <w:i w:val="false"/>
          <w:caps w:val="false"/>
          <w:smallCaps w:val="false"/>
          <w:sz w:val="20"/>
        </w:rPr>
        <w:t>2,944,000 and $</w:t>
      </w:r>
      <w:bookmarkStart w:id="560" w:name="xdx_908_eus-gaap--InterestExpenseOtherLo"/>
      <w:bookmarkEnd w:id="560"/>
      <w:r>
        <w:rPr>
          <w:rFonts w:ascii="Times New Roman;Times;Serif" w:hAnsi="Times New Roman;Times;Serif"/>
          <w:b w:val="false"/>
          <w:i w:val="false"/>
          <w:caps w:val="false"/>
          <w:smallCaps w:val="false"/>
          <w:sz w:val="20"/>
        </w:rPr>
        <w:t>5,897,000 for the three and six months ended June 30, 2024, respectively, and included the amortization of debt issuance costs and discount of $</w:t>
      </w:r>
      <w:bookmarkStart w:id="561" w:name="xdx_90B_eus-gaap--AmortizationOfFinancin"/>
      <w:bookmarkEnd w:id="561"/>
      <w:r>
        <w:rPr>
          <w:rFonts w:ascii="Times New Roman;Times;Serif" w:hAnsi="Times New Roman;Times;Serif"/>
          <w:b w:val="false"/>
          <w:i w:val="false"/>
          <w:caps w:val="false"/>
          <w:smallCaps w:val="false"/>
          <w:sz w:val="20"/>
        </w:rPr>
        <w:t>602,000 and $</w:t>
      </w:r>
      <w:bookmarkStart w:id="562" w:name="xdx_902_eus-gaap--AmortizationOfFinancin"/>
      <w:bookmarkEnd w:id="562"/>
      <w:r>
        <w:rPr>
          <w:rFonts w:ascii="Times New Roman;Times;Serif" w:hAnsi="Times New Roman;Times;Serif"/>
          <w:b w:val="false"/>
          <w:i w:val="false"/>
          <w:caps w:val="false"/>
          <w:smallCaps w:val="false"/>
          <w:sz w:val="20"/>
        </w:rPr>
        <w:t>1,205,000, respectively. Interest expense related to the Oaktree Loan totaled $</w:t>
      </w:r>
      <w:bookmarkStart w:id="563" w:name="xdx_904_eus-gaap--InterestExpenseOtherLo"/>
      <w:bookmarkEnd w:id="563"/>
      <w:r>
        <w:rPr>
          <w:rFonts w:ascii="Times New Roman;Times;Serif" w:hAnsi="Times New Roman;Times;Serif"/>
          <w:b w:val="false"/>
          <w:i w:val="false"/>
          <w:caps w:val="false"/>
          <w:smallCaps w:val="false"/>
          <w:sz w:val="20"/>
        </w:rPr>
        <w:t>2,570,000 and $</w:t>
      </w:r>
      <w:bookmarkStart w:id="564" w:name="xdx_902_eus-gaap--InterestExpenseOtherLo"/>
      <w:bookmarkEnd w:id="564"/>
      <w:r>
        <w:rPr>
          <w:rFonts w:ascii="Times New Roman;Times;Serif" w:hAnsi="Times New Roman;Times;Serif"/>
          <w:b w:val="false"/>
          <w:i w:val="false"/>
          <w:caps w:val="false"/>
          <w:smallCaps w:val="false"/>
          <w:sz w:val="20"/>
        </w:rPr>
        <w:t>2,665,000 for the three and six months ended June 30, 2023, respectively, and included the amortization of debt issuance costs and discount of $</w:t>
      </w:r>
      <w:bookmarkStart w:id="565" w:name="xdx_907_eus-gaap--AmortizationOfFinancin"/>
      <w:bookmarkEnd w:id="565"/>
      <w:r>
        <w:rPr>
          <w:rFonts w:ascii="Times New Roman;Times;Serif" w:hAnsi="Times New Roman;Times;Serif"/>
          <w:b w:val="false"/>
          <w:i w:val="false"/>
          <w:caps w:val="false"/>
          <w:smallCaps w:val="false"/>
          <w:sz w:val="20"/>
        </w:rPr>
        <w:t>514,000 and $</w:t>
      </w:r>
      <w:bookmarkStart w:id="566" w:name="xdx_90E_eus-gaap--AmortizationOfFinancin"/>
      <w:bookmarkEnd w:id="566"/>
      <w:r>
        <w:rPr>
          <w:rFonts w:ascii="Times New Roman;Times;Serif" w:hAnsi="Times New Roman;Times;Serif"/>
          <w:b w:val="false"/>
          <w:i w:val="false"/>
          <w:caps w:val="false"/>
          <w:smallCaps w:val="false"/>
          <w:sz w:val="20"/>
        </w:rPr>
        <w:t>526,000,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Oaktree Loan carries an exit fee equal to </w:t>
      </w:r>
      <w:bookmarkStart w:id="567" w:name="xdx_907_ecustom--ExitFeePercentage_iI_dp"/>
      <w:bookmarkEnd w:id="567"/>
      <w:r>
        <w:rPr>
          <w:rFonts w:ascii="Times New Roman;Times;Serif" w:hAnsi="Times New Roman;Times;Serif"/>
          <w:b w:val="false"/>
          <w:i w:val="false"/>
          <w:caps w:val="false"/>
          <w:smallCaps w:val="false"/>
          <w:sz w:val="20"/>
        </w:rPr>
        <w:t>3.5% of the aggregate principal amount owed, payable at maturity. As of June 30, 2024 and December 31, 2023, the Company had recorded in accrued expenses the total exit fee liability of $</w:t>
      </w:r>
      <w:bookmarkStart w:id="568" w:name="xdx_90A_ecustom--AccruedExitFeeForNotePa"/>
      <w:bookmarkStart w:id="569" w:name="xdx_903_ecustom--AccruedExitFeeForNotePa"/>
      <w:bookmarkEnd w:id="568"/>
      <w:bookmarkEnd w:id="569"/>
      <w:r>
        <w:rPr>
          <w:rFonts w:ascii="Times New Roman;Times;Serif" w:hAnsi="Times New Roman;Times;Serif"/>
          <w:b w:val="false"/>
          <w:i w:val="false"/>
          <w:caps w:val="false"/>
          <w:smallCaps w:val="false"/>
          <w:sz w:val="20"/>
        </w:rPr>
        <w:t>2,713,000.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HROWM – 11.875% Senior Notes Due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and January 2023, the Company closed offerings of $</w:t>
      </w:r>
      <w:bookmarkStart w:id="570" w:name="xdx_90A_eus-gaap--DebtInstrumentFaceAmou"/>
      <w:bookmarkEnd w:id="570"/>
      <w:r>
        <w:rPr>
          <w:rFonts w:ascii="Times New Roman;Times;Serif" w:hAnsi="Times New Roman;Times;Serif"/>
          <w:b w:val="false"/>
          <w:i w:val="false"/>
          <w:caps w:val="false"/>
          <w:smallCaps w:val="false"/>
          <w:sz w:val="20"/>
        </w:rPr>
        <w:t xml:space="preserve">40,250,000 aggregate principal amount of </w:t>
      </w:r>
      <w:bookmarkStart w:id="571" w:name="xdx_906_eus-gaap--DebtInstrumentInterest"/>
      <w:bookmarkEnd w:id="571"/>
      <w:r>
        <w:rPr>
          <w:rFonts w:ascii="Times New Roman;Times;Serif" w:hAnsi="Times New Roman;Times;Serif"/>
          <w:b w:val="false"/>
          <w:i w:val="false"/>
          <w:caps w:val="false"/>
          <w:smallCaps w:val="false"/>
          <w:sz w:val="20"/>
        </w:rPr>
        <w:t xml:space="preserve">11.875% senior notes due </w:t>
      </w:r>
      <w:bookmarkStart w:id="572" w:name="xdx_904_eus-gaap--DebtInstrumentMaturity"/>
      <w:bookmarkEnd w:id="572"/>
      <w:r>
        <w:rPr>
          <w:rFonts w:ascii="Times New Roman;Times;Serif" w:hAnsi="Times New Roman;Times;Serif"/>
          <w:b w:val="false"/>
          <w:i w:val="false"/>
          <w:caps w:val="false"/>
          <w:smallCaps w:val="false"/>
          <w:sz w:val="20"/>
        </w:rPr>
        <w:t>December 2027 (the “2027 Notes”). Interest expense related to the 2027 Notes totaled $</w:t>
      </w:r>
      <w:bookmarkStart w:id="573" w:name="xdx_901_eus-gaap--InterestExpenseOtherLo"/>
      <w:bookmarkEnd w:id="573"/>
      <w:r>
        <w:rPr>
          <w:rFonts w:ascii="Times New Roman;Times;Serif" w:hAnsi="Times New Roman;Times;Serif"/>
          <w:b w:val="false"/>
          <w:i w:val="false"/>
          <w:caps w:val="false"/>
          <w:smallCaps w:val="false"/>
          <w:sz w:val="20"/>
        </w:rPr>
        <w:t>1,373,000 and $</w:t>
      </w:r>
      <w:bookmarkStart w:id="574" w:name="xdx_90F_eus-gaap--InterestExpenseOtherLo"/>
      <w:bookmarkEnd w:id="574"/>
      <w:r>
        <w:rPr>
          <w:rFonts w:ascii="Times New Roman;Times;Serif" w:hAnsi="Times New Roman;Times;Serif"/>
          <w:b w:val="false"/>
          <w:i w:val="false"/>
          <w:caps w:val="false"/>
          <w:smallCaps w:val="false"/>
          <w:sz w:val="20"/>
        </w:rPr>
        <w:t>2,746,000 for the three and six months ended June 30, 2024, respectively, and included amortization of debt issuance costs and debt discount of $</w:t>
      </w:r>
      <w:bookmarkStart w:id="575" w:name="xdx_905_eus-gaap--AmortizationOfFinancin"/>
      <w:bookmarkEnd w:id="575"/>
      <w:r>
        <w:rPr>
          <w:rFonts w:ascii="Times New Roman;Times;Serif" w:hAnsi="Times New Roman;Times;Serif"/>
          <w:b w:val="false"/>
          <w:i w:val="false"/>
          <w:caps w:val="false"/>
          <w:smallCaps w:val="false"/>
          <w:sz w:val="20"/>
        </w:rPr>
        <w:t>178,000 and $</w:t>
      </w:r>
      <w:bookmarkStart w:id="576" w:name="xdx_90A_eus-gaap--AmortizationOfFinancin"/>
      <w:bookmarkEnd w:id="576"/>
      <w:r>
        <w:rPr>
          <w:rFonts w:ascii="Times New Roman;Times;Serif" w:hAnsi="Times New Roman;Times;Serif"/>
          <w:b w:val="false"/>
          <w:i w:val="false"/>
          <w:caps w:val="false"/>
          <w:smallCaps w:val="false"/>
          <w:sz w:val="20"/>
        </w:rPr>
        <w:t>356,000, respectively. Interest expense related to the 2027 Notes totaled $</w:t>
      </w:r>
      <w:bookmarkStart w:id="577" w:name="xdx_907_eus-gaap--InterestExpenseOtherLo"/>
      <w:bookmarkEnd w:id="577"/>
      <w:r>
        <w:rPr>
          <w:rFonts w:ascii="Times New Roman;Times;Serif" w:hAnsi="Times New Roman;Times;Serif"/>
          <w:b w:val="false"/>
          <w:i w:val="false"/>
          <w:caps w:val="false"/>
          <w:smallCaps w:val="false"/>
          <w:sz w:val="20"/>
        </w:rPr>
        <w:t>1,371,000 and $</w:t>
      </w:r>
      <w:bookmarkStart w:id="578" w:name="xdx_900_eus-gaap--InterestExpenseOtherLo"/>
      <w:bookmarkEnd w:id="578"/>
      <w:r>
        <w:rPr>
          <w:rFonts w:ascii="Times New Roman;Times;Serif" w:hAnsi="Times New Roman;Times;Serif"/>
          <w:b w:val="false"/>
          <w:i w:val="false"/>
          <w:caps w:val="false"/>
          <w:smallCaps w:val="false"/>
          <w:sz w:val="20"/>
        </w:rPr>
        <w:t>2,766,000 for the three and six months ended June 30, 2023, respectively, and included amortization of debt issuance costs and debt discount of $</w:t>
      </w:r>
      <w:bookmarkStart w:id="579" w:name="xdx_90F_eus-gaap--AmortizationOfFinancin"/>
      <w:bookmarkEnd w:id="579"/>
      <w:r>
        <w:rPr>
          <w:rFonts w:ascii="Times New Roman;Times;Serif" w:hAnsi="Times New Roman;Times;Serif"/>
          <w:b w:val="false"/>
          <w:i w:val="false"/>
          <w:caps w:val="false"/>
          <w:smallCaps w:val="false"/>
          <w:sz w:val="20"/>
        </w:rPr>
        <w:t>176,000 and $</w:t>
      </w:r>
      <w:bookmarkStart w:id="580" w:name="xdx_902_eus-gaap--AmortizationOfFinancin"/>
      <w:bookmarkEnd w:id="580"/>
      <w:r>
        <w:rPr>
          <w:rFonts w:ascii="Times New Roman;Times;Serif" w:hAnsi="Times New Roman;Times;Serif"/>
          <w:b w:val="false"/>
          <w:i w:val="false"/>
          <w:caps w:val="false"/>
          <w:smallCaps w:val="false"/>
          <w:sz w:val="20"/>
        </w:rPr>
        <w:t>376,000,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HROWL – 8.625% Senior Notes Due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September 2021, the Company closed offerings (including an over-allotment exercise in May 2021) of $</w:t>
      </w:r>
      <w:bookmarkStart w:id="581" w:name="xdx_902_eus-gaap--DebtInstrumentFaceAmou"/>
      <w:bookmarkEnd w:id="581"/>
      <w:r>
        <w:rPr>
          <w:rFonts w:ascii="Times New Roman;Times;Serif" w:hAnsi="Times New Roman;Times;Serif"/>
          <w:b w:val="false"/>
          <w:i w:val="false"/>
          <w:caps w:val="false"/>
          <w:smallCaps w:val="false"/>
          <w:sz w:val="20"/>
        </w:rPr>
        <w:t xml:space="preserve">75,000,000 aggregate principal amount of </w:t>
      </w:r>
      <w:bookmarkStart w:id="582" w:name="xdx_902_eus-gaap--DebtInstrumentInterest"/>
      <w:bookmarkEnd w:id="582"/>
      <w:r>
        <w:rPr>
          <w:rFonts w:ascii="Times New Roman;Times;Serif" w:hAnsi="Times New Roman;Times;Serif"/>
          <w:b w:val="false"/>
          <w:i w:val="false"/>
          <w:caps w:val="false"/>
          <w:smallCaps w:val="false"/>
          <w:sz w:val="20"/>
        </w:rPr>
        <w:t xml:space="preserve">8.625% senior notes due </w:t>
      </w:r>
      <w:bookmarkStart w:id="583" w:name="xdx_90F_eus-gaap--DebtInstrumentMaturity"/>
      <w:bookmarkEnd w:id="583"/>
      <w:r>
        <w:rPr>
          <w:rFonts w:ascii="Times New Roman;Times;Serif" w:hAnsi="Times New Roman;Times;Serif"/>
          <w:b w:val="false"/>
          <w:i w:val="false"/>
          <w:caps w:val="false"/>
          <w:smallCaps w:val="false"/>
          <w:sz w:val="20"/>
        </w:rPr>
        <w:t>April 2026 (the “2026 Notes”). Interest expense related to the 2026 Notes totaled $</w:t>
      </w:r>
      <w:bookmarkStart w:id="584" w:name="xdx_907_eus-gaap--InterestExpenseOtherLo"/>
      <w:bookmarkEnd w:id="584"/>
      <w:r>
        <w:rPr>
          <w:rFonts w:ascii="Times New Roman;Times;Serif" w:hAnsi="Times New Roman;Times;Serif"/>
          <w:b w:val="false"/>
          <w:i w:val="false"/>
          <w:caps w:val="false"/>
          <w:smallCaps w:val="false"/>
          <w:sz w:val="20"/>
        </w:rPr>
        <w:t>1,812,000 and $</w:t>
      </w:r>
      <w:bookmarkStart w:id="585" w:name="xdx_903_eus-gaap--InterestExpenseOtherLo"/>
      <w:bookmarkEnd w:id="585"/>
      <w:r>
        <w:rPr>
          <w:rFonts w:ascii="Times New Roman;Times;Serif" w:hAnsi="Times New Roman;Times;Serif"/>
          <w:b w:val="false"/>
          <w:i w:val="false"/>
          <w:caps w:val="false"/>
          <w:smallCaps w:val="false"/>
          <w:sz w:val="20"/>
        </w:rPr>
        <w:t>3,624,000 for the three and six months ended June 30, 2024, respectively, and included amortization of debt issuance costs and debt discount of $</w:t>
      </w:r>
      <w:bookmarkStart w:id="586" w:name="xdx_908_eus-gaap--AmortizationOfFinancin"/>
      <w:bookmarkEnd w:id="586"/>
      <w:r>
        <w:rPr>
          <w:rFonts w:ascii="Times New Roman;Times;Serif" w:hAnsi="Times New Roman;Times;Serif"/>
          <w:b w:val="false"/>
          <w:i w:val="false"/>
          <w:caps w:val="false"/>
          <w:smallCaps w:val="false"/>
          <w:sz w:val="20"/>
        </w:rPr>
        <w:t>195,000 and $</w:t>
      </w:r>
      <w:bookmarkStart w:id="587" w:name="xdx_90E_eus-gaap--AmortizationOfFinancin"/>
      <w:bookmarkEnd w:id="587"/>
      <w:r>
        <w:rPr>
          <w:rFonts w:ascii="Times New Roman;Times;Serif" w:hAnsi="Times New Roman;Times;Serif"/>
          <w:b w:val="false"/>
          <w:i w:val="false"/>
          <w:caps w:val="false"/>
          <w:smallCaps w:val="false"/>
          <w:sz w:val="20"/>
        </w:rPr>
        <w:t>390,000, respectively. Interest expense related to the 2026 Notes totaled $</w:t>
      </w:r>
      <w:bookmarkStart w:id="588" w:name="xdx_904_eus-gaap--InterestExpenseOtherLo"/>
      <w:bookmarkEnd w:id="588"/>
      <w:r>
        <w:rPr>
          <w:rFonts w:ascii="Times New Roman;Times;Serif" w:hAnsi="Times New Roman;Times;Serif"/>
          <w:b w:val="false"/>
          <w:i w:val="false"/>
          <w:caps w:val="false"/>
          <w:smallCaps w:val="false"/>
          <w:sz w:val="20"/>
        </w:rPr>
        <w:t>1,812,000 and $</w:t>
      </w:r>
      <w:bookmarkStart w:id="589" w:name="xdx_909_eus-gaap--InterestExpenseOtherLo"/>
      <w:bookmarkEnd w:id="589"/>
      <w:r>
        <w:rPr>
          <w:rFonts w:ascii="Times New Roman;Times;Serif" w:hAnsi="Times New Roman;Times;Serif"/>
          <w:b w:val="false"/>
          <w:i w:val="false"/>
          <w:caps w:val="false"/>
          <w:smallCaps w:val="false"/>
          <w:sz w:val="20"/>
        </w:rPr>
        <w:t>3,622,000 for the three and six months ended June 30, 2023, respectively, and included amortization of debt issuance costs and debt discount of $</w:t>
      </w:r>
      <w:bookmarkStart w:id="590" w:name="xdx_908_eus-gaap--AmortizationOfFinancin"/>
      <w:bookmarkEnd w:id="590"/>
      <w:r>
        <w:rPr>
          <w:rFonts w:ascii="Times New Roman;Times;Serif" w:hAnsi="Times New Roman;Times;Serif"/>
          <w:b w:val="false"/>
          <w:i w:val="false"/>
          <w:caps w:val="false"/>
          <w:smallCaps w:val="false"/>
          <w:sz w:val="20"/>
        </w:rPr>
        <w:t>195,000 and $</w:t>
      </w:r>
      <w:bookmarkStart w:id="591" w:name="xdx_900_eus-gaap--AmortizationOfFinancin"/>
      <w:bookmarkEnd w:id="591"/>
      <w:r>
        <w:rPr>
          <w:rFonts w:ascii="Times New Roman;Times;Serif" w:hAnsi="Times New Roman;Times;Serif"/>
          <w:b w:val="false"/>
          <w:i w:val="false"/>
          <w:caps w:val="false"/>
          <w:smallCaps w:val="false"/>
          <w:sz w:val="20"/>
        </w:rPr>
        <w:t>388,000,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2" w:name="xdx_894_eus-gaap--ScheduleOfDebtInstrume"/>
      <w:bookmarkEnd w:id="592"/>
      <w:r>
        <w:rPr>
          <w:rFonts w:ascii="Times New Roman;Times;Serif" w:hAnsi="Times New Roman;Times;Serif"/>
          <w:b w:val="false"/>
          <w:i w:val="false"/>
          <w:caps w:val="false"/>
          <w:smallCaps w:val="false"/>
          <w:sz w:val="20"/>
        </w:rPr>
        <w:t>A summary of the Company’s debt is described as follows:</w:t>
      </w:r>
    </w:p>
    <w:p>
      <w:pPr>
        <w:pStyle w:val="TextBody"/>
        <w:bidi w:val="0"/>
        <w:spacing w:before="0" w:after="0"/>
        <w:ind w:left="0" w:right="0" w:hanging="0"/>
        <w:jc w:val="both"/>
        <w:rPr>
          <w:caps w:val="false"/>
          <w:smallCaps w:val="false"/>
        </w:rPr>
      </w:pPr>
      <w:r>
        <w:rPr>
          <w:caps w:val="false"/>
          <w:smallCaps w:val="false"/>
        </w:rPr>
        <w:t> </w:t>
      </w:r>
      <w:bookmarkStart w:id="593" w:name="xdx_8B6_zIbmSe6L5jGg"/>
      <w:bookmarkEnd w:id="593"/>
      <w:r>
        <w:rPr>
          <w:rFonts w:ascii="Times New Roman;Times;Serif" w:hAnsi="Times New Roman;Times;Serif"/>
          <w:b w:val="false"/>
          <w:i w:val="false"/>
          <w:caps w:val="false"/>
          <w:smallCaps w:val="false"/>
          <w:sz w:val="20"/>
        </w:rPr>
        <w:t>SCHEDULE OF LONG TERM DEBT</w:t>
      </w:r>
    </w:p>
    <w:tbl>
      <w:tblPr>
        <w:tblW w:w="8639" w:type="dxa"/>
        <w:jc w:val="left"/>
        <w:tblInd w:w="0" w:type="dxa"/>
        <w:tblLayout w:type="fixed"/>
        <w:tblCellMar>
          <w:top w:w="0" w:type="dxa"/>
          <w:left w:w="0" w:type="dxa"/>
          <w:bottom w:w="0" w:type="dxa"/>
          <w:right w:w="0" w:type="dxa"/>
        </w:tblCellMar>
      </w:tblPr>
      <w:tblGrid>
        <w:gridCol w:w="5225"/>
        <w:gridCol w:w="60"/>
        <w:gridCol w:w="140"/>
        <w:gridCol w:w="1220"/>
        <w:gridCol w:w="95"/>
        <w:gridCol w:w="60"/>
        <w:gridCol w:w="178"/>
        <w:gridCol w:w="1551"/>
        <w:gridCol w:w="11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4" w:name="xdx_492_20240630_z87IGX5h7vWg"/>
            <w:bookmarkEnd w:id="594"/>
          </w:p>
        </w:tc>
        <w:tc>
          <w:tcPr>
            <w:tcW w:w="1360" w:type="dxa"/>
            <w:gridSpan w:val="2"/>
            <w:tcBorders/>
            <w:vAlign w:val="center"/>
          </w:tcPr>
          <w:p>
            <w:pPr>
              <w:pStyle w:val="TableContents"/>
              <w:bidi w:val="0"/>
              <w:spacing w:before="0" w:after="283"/>
              <w:jc w:val="center"/>
              <w:rPr>
                <w:b/>
              </w:rPr>
            </w:pPr>
            <w:r>
              <w:rPr>
                <w:b/>
              </w:rPr>
              <w:t>At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5" w:name="xdx_49C_20231231_z7Slj2Y5l0l7"/>
            <w:bookmarkEnd w:id="595"/>
          </w:p>
        </w:tc>
        <w:tc>
          <w:tcPr>
            <w:tcW w:w="1729" w:type="dxa"/>
            <w:gridSpan w:val="2"/>
            <w:tcBorders/>
            <w:vAlign w:val="center"/>
          </w:tcPr>
          <w:p>
            <w:pPr>
              <w:pStyle w:val="TableContents"/>
              <w:bidi w:val="0"/>
              <w:spacing w:before="0" w:after="283"/>
              <w:jc w:val="center"/>
              <w:rPr>
                <w:b/>
              </w:rPr>
            </w:pPr>
            <w:r>
              <w:rPr>
                <w:b/>
              </w:rPr>
              <w:t>At December 31,</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bookmarkStart w:id="596" w:name="xdx_40B_eus-gaap--DebtInstrumentCarrying"/>
            <w:bookmarkEnd w:id="596"/>
          </w:p>
        </w:tc>
      </w:tr>
      <w:tr>
        <w:trPr/>
        <w:tc>
          <w:tcPr>
            <w:tcW w:w="5225" w:type="dxa"/>
            <w:tcBorders/>
            <w:shd w:fill="CCEEFF" w:val="clear"/>
            <w:vAlign w:val="center"/>
          </w:tcPr>
          <w:p>
            <w:pPr>
              <w:pStyle w:val="TableContents"/>
              <w:bidi w:val="0"/>
              <w:spacing w:before="0" w:after="283"/>
              <w:jc w:val="left"/>
              <w:rPr/>
            </w:pPr>
            <w:bookmarkStart w:id="597" w:name="xdx_90B_eus-gaap--DebtInstrumentInterest"/>
            <w:bookmarkEnd w:id="597"/>
            <w:r>
              <w:rPr/>
              <w:t xml:space="preserve">8.625% Senior Notes due </w:t>
            </w:r>
            <w:bookmarkStart w:id="598" w:name="xdx_907_eus-gaap--DebtInstrumentMaturity"/>
            <w:bookmarkEnd w:id="598"/>
            <w:r>
              <w:rPr/>
              <w:t>April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75,000,000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1551" w:type="dxa"/>
            <w:tcBorders/>
            <w:shd w:fill="CCEEFF" w:val="clear"/>
            <w:vAlign w:val="center"/>
          </w:tcPr>
          <w:p>
            <w:pPr>
              <w:pStyle w:val="TableContents"/>
              <w:bidi w:val="0"/>
              <w:spacing w:before="0" w:after="283"/>
              <w:jc w:val="right"/>
              <w:rPr/>
            </w:pPr>
            <w:r>
              <w:rPr/>
              <w:t>75,000,000</w:t>
            </w:r>
          </w:p>
        </w:tc>
        <w:tc>
          <w:tcPr>
            <w:tcW w:w="110" w:type="dxa"/>
            <w:tcBorders/>
            <w:shd w:fill="CCEEFF" w:val="clear"/>
            <w:vAlign w:val="center"/>
          </w:tcPr>
          <w:p>
            <w:pPr>
              <w:pStyle w:val="TableContents"/>
              <w:bidi w:val="0"/>
              <w:spacing w:before="0" w:after="283"/>
              <w:jc w:val="left"/>
              <w:rPr/>
            </w:pPr>
            <w:r>
              <w:rPr/>
              <w:t> </w:t>
            </w:r>
            <w:bookmarkStart w:id="599" w:name="xdx_40E_eus-gaap--DebtInstrumentCarrying"/>
            <w:bookmarkEnd w:id="599"/>
          </w:p>
        </w:tc>
      </w:tr>
      <w:tr>
        <w:trPr/>
        <w:tc>
          <w:tcPr>
            <w:tcW w:w="5225" w:type="dxa"/>
            <w:tcBorders/>
            <w:shd w:fill="FFFFFF" w:val="clear"/>
            <w:vAlign w:val="center"/>
          </w:tcPr>
          <w:p>
            <w:pPr>
              <w:pStyle w:val="TableContents"/>
              <w:bidi w:val="0"/>
              <w:spacing w:before="0" w:after="283"/>
              <w:jc w:val="left"/>
              <w:rPr/>
            </w:pPr>
            <w:bookmarkStart w:id="600" w:name="xdx_900_eus-gaap--DebtInstrumentInterest"/>
            <w:bookmarkEnd w:id="600"/>
            <w:r>
              <w:rPr/>
              <w:t xml:space="preserve">11.875% Senior Notes due </w:t>
            </w:r>
            <w:bookmarkStart w:id="601" w:name="xdx_907_eus-gaap--DebtInstrumentMaturity"/>
            <w:bookmarkEnd w:id="601"/>
            <w:r>
              <w:rPr/>
              <w:t>December 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40,250,000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40,250,000</w:t>
            </w:r>
          </w:p>
        </w:tc>
        <w:tc>
          <w:tcPr>
            <w:tcW w:w="110" w:type="dxa"/>
            <w:tcBorders/>
            <w:shd w:fill="FFFFFF" w:val="clear"/>
            <w:vAlign w:val="center"/>
          </w:tcPr>
          <w:p>
            <w:pPr>
              <w:pStyle w:val="TableContents"/>
              <w:bidi w:val="0"/>
              <w:spacing w:before="0" w:after="283"/>
              <w:jc w:val="left"/>
              <w:rPr/>
            </w:pPr>
            <w:r>
              <w:rPr/>
              <w:t> </w:t>
            </w:r>
            <w:bookmarkStart w:id="602" w:name="xdx_405_eus-gaap--DebtInstrumentCarrying"/>
            <w:bookmarkEnd w:id="602"/>
          </w:p>
        </w:tc>
      </w:tr>
      <w:tr>
        <w:trPr/>
        <w:tc>
          <w:tcPr>
            <w:tcW w:w="5225" w:type="dxa"/>
            <w:tcBorders/>
            <w:shd w:fill="CCEEFF" w:val="clear"/>
            <w:vAlign w:val="center"/>
          </w:tcPr>
          <w:p>
            <w:pPr>
              <w:pStyle w:val="TableContents"/>
              <w:bidi w:val="0"/>
              <w:spacing w:before="0" w:after="283"/>
              <w:jc w:val="left"/>
              <w:rPr/>
            </w:pPr>
            <w:r>
              <w:rPr/>
              <w:t xml:space="preserve">Oaktree Loan due </w:t>
            </w:r>
            <w:bookmarkStart w:id="603" w:name="xdx_903_eus-gaap--DebtInstrumentMaturity"/>
            <w:bookmarkEnd w:id="603"/>
            <w:r>
              <w:rPr/>
              <w:t>January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77,500,000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single" w:sz="12" w:space="0" w:color="000000"/>
            </w:tcBorders>
            <w:shd w:fill="CCEEFF" w:val="clear"/>
            <w:tcMar>
              <w:bottom w:w="28" w:type="dxa"/>
            </w:tcMar>
            <w:vAlign w:val="center"/>
          </w:tcPr>
          <w:p>
            <w:pPr>
              <w:pStyle w:val="TableContents"/>
              <w:bidi w:val="0"/>
              <w:spacing w:before="0" w:after="283"/>
              <w:jc w:val="right"/>
              <w:rPr/>
            </w:pPr>
            <w:r>
              <w:rPr/>
              <w:t>77,500,000</w:t>
            </w:r>
          </w:p>
        </w:tc>
        <w:tc>
          <w:tcPr>
            <w:tcW w:w="110" w:type="dxa"/>
            <w:tcBorders/>
            <w:shd w:fill="CCEEFF" w:val="clear"/>
            <w:vAlign w:val="center"/>
          </w:tcPr>
          <w:p>
            <w:pPr>
              <w:pStyle w:val="TableContents"/>
              <w:bidi w:val="0"/>
              <w:spacing w:before="0" w:after="283"/>
              <w:jc w:val="left"/>
              <w:rPr/>
            </w:pPr>
            <w:r>
              <w:rPr/>
              <w:t> </w:t>
            </w:r>
            <w:bookmarkStart w:id="604" w:name="xdx_400_eus-gaap--DebtInstrumentCarrying"/>
            <w:bookmarkEnd w:id="604"/>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gross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192,750,000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192,750,000</w:t>
            </w:r>
          </w:p>
        </w:tc>
        <w:tc>
          <w:tcPr>
            <w:tcW w:w="110" w:type="dxa"/>
            <w:tcBorders/>
            <w:shd w:fill="FFFFFF" w:val="clear"/>
            <w:vAlign w:val="center"/>
          </w:tcPr>
          <w:p>
            <w:pPr>
              <w:pStyle w:val="TableContents"/>
              <w:bidi w:val="0"/>
              <w:spacing w:before="0" w:after="283"/>
              <w:jc w:val="left"/>
              <w:rPr/>
            </w:pPr>
            <w:r>
              <w:rPr/>
              <w:t> </w:t>
            </w:r>
            <w:bookmarkStart w:id="605" w:name="xdx_404_eus-gaap--DebtInstrumentUnamorti"/>
            <w:bookmarkEnd w:id="605"/>
          </w:p>
        </w:tc>
      </w:tr>
      <w:tr>
        <w:trPr/>
        <w:tc>
          <w:tcPr>
            <w:tcW w:w="5225" w:type="dxa"/>
            <w:tcBorders/>
            <w:shd w:fill="CCEEFF" w:val="clear"/>
            <w:vAlign w:val="center"/>
          </w:tcPr>
          <w:p>
            <w:pPr>
              <w:pStyle w:val="TableContents"/>
              <w:bidi w:val="0"/>
              <w:spacing w:before="0" w:after="283"/>
              <w:jc w:val="left"/>
              <w:rPr/>
            </w:pPr>
            <w:r>
              <w:rPr/>
              <w:t>Less: Unamortized debt issuance costs, net of premium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(7,727,000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51" w:type="dxa"/>
            <w:tcBorders>
              <w:bottom w:val="single" w:sz="12" w:space="0" w:color="000000"/>
            </w:tcBorders>
            <w:shd w:fill="CCEEFF" w:val="clear"/>
            <w:tcMar>
              <w:bottom w:w="28" w:type="dxa"/>
            </w:tcMar>
            <w:vAlign w:val="center"/>
          </w:tcPr>
          <w:p>
            <w:pPr>
              <w:pStyle w:val="TableContents"/>
              <w:bidi w:val="0"/>
              <w:spacing w:before="0" w:after="283"/>
              <w:jc w:val="right"/>
              <w:rPr/>
            </w:pPr>
            <w:r>
              <w:rPr/>
              <w:t>(9,578,000</w:t>
            </w:r>
          </w:p>
        </w:tc>
        <w:tc>
          <w:tcPr>
            <w:tcW w:w="110" w:type="dxa"/>
            <w:tcBorders/>
            <w:shd w:fill="CCEEFF" w:val="clear"/>
            <w:vAlign w:val="center"/>
          </w:tcPr>
          <w:p>
            <w:pPr>
              <w:pStyle w:val="TableContents"/>
              <w:bidi w:val="0"/>
              <w:spacing w:before="0" w:after="283"/>
              <w:jc w:val="left"/>
              <w:rPr/>
            </w:pPr>
            <w:r>
              <w:rPr/>
              <w:t>)</w:t>
            </w:r>
            <w:bookmarkStart w:id="606" w:name="xdx_405_eus-gaap--LongTermNotesPayable_i"/>
            <w:bookmarkEnd w:id="606"/>
          </w:p>
        </w:tc>
      </w:tr>
      <w:tr>
        <w:trPr/>
        <w:tc>
          <w:tcPr>
            <w:tcW w:w="52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payable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185,023,000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51" w:type="dxa"/>
            <w:tcBorders>
              <w:bottom w:val="double" w:sz="6" w:space="0" w:color="000000"/>
            </w:tcBorders>
            <w:shd w:fill="FFFFFF" w:val="clear"/>
            <w:tcMar>
              <w:bottom w:w="28" w:type="dxa"/>
            </w:tcMar>
            <w:vAlign w:val="center"/>
          </w:tcPr>
          <w:p>
            <w:pPr>
              <w:pStyle w:val="TableContents"/>
              <w:bidi w:val="0"/>
              <w:spacing w:before="0" w:after="283"/>
              <w:jc w:val="right"/>
              <w:rPr/>
            </w:pPr>
            <w:r>
              <w:rPr/>
              <w:t>183,172,000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607" w:name="xdx_8A2_zdu5ThS5JAaf"/>
      <w:bookmarkEnd w:id="60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three and six months ended June 30, 2024, the total effective interest rate of the Company’s debt was </w:t>
      </w:r>
      <w:bookmarkStart w:id="608" w:name="xdx_909_eus-gaap--DebtInstrumentInterest"/>
      <w:bookmarkEnd w:id="608"/>
      <w:r>
        <w:rPr>
          <w:rFonts w:ascii="Times New Roman;Times;Serif" w:hAnsi="Times New Roman;Times;Serif"/>
          <w:b w:val="false"/>
          <w:i w:val="false"/>
          <w:caps w:val="false"/>
          <w:smallCaps w:val="false"/>
          <w:sz w:val="20"/>
        </w:rPr>
        <w:t xml:space="preserve">10.78% and </w:t>
      </w:r>
      <w:bookmarkStart w:id="609" w:name="xdx_902_eus-gaap--DebtInstrumentInterest"/>
      <w:bookmarkEnd w:id="609"/>
      <w:r>
        <w:rPr>
          <w:rFonts w:ascii="Times New Roman;Times;Serif" w:hAnsi="Times New Roman;Times;Serif"/>
          <w:b w:val="false"/>
          <w:i w:val="false"/>
          <w:caps w:val="false"/>
          <w:smallCaps w:val="false"/>
          <w:sz w:val="20"/>
        </w:rPr>
        <w:t xml:space="preserve">10.88%, respectively, and </w:t>
      </w:r>
      <w:bookmarkStart w:id="610" w:name="xdx_906_eus-gaap--DebtInstrumentInterest"/>
      <w:bookmarkEnd w:id="610"/>
      <w:r>
        <w:rPr>
          <w:rFonts w:ascii="Times New Roman;Times;Serif" w:hAnsi="Times New Roman;Times;Serif"/>
          <w:b w:val="false"/>
          <w:i w:val="false"/>
          <w:caps w:val="false"/>
          <w:smallCaps w:val="false"/>
          <w:sz w:val="20"/>
        </w:rPr>
        <w:t xml:space="preserve">10.71% and </w:t>
      </w:r>
      <w:bookmarkStart w:id="611" w:name="xdx_909_eus-gaap--DebtInstrumentInterest"/>
      <w:bookmarkEnd w:id="611"/>
      <w:r>
        <w:rPr>
          <w:rFonts w:ascii="Times New Roman;Times;Serif" w:hAnsi="Times New Roman;Times;Serif"/>
          <w:b w:val="false"/>
          <w:i w:val="false"/>
          <w:caps w:val="false"/>
          <w:smallCaps w:val="false"/>
          <w:sz w:val="20"/>
        </w:rPr>
        <w:t xml:space="preserve">10.81% for the same periods in 2023,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12" w:name="xdx_89A_eus-gaap--ScheduleOfMaturitiesOf"/>
      <w:bookmarkEnd w:id="612"/>
      <w:r>
        <w:rPr>
          <w:rFonts w:ascii="Times New Roman;Times;Serif" w:hAnsi="Times New Roman;Times;Serif"/>
          <w:b w:val="false"/>
          <w:i w:val="false"/>
          <w:caps w:val="false"/>
          <w:smallCaps w:val="false"/>
          <w:sz w:val="20"/>
        </w:rPr>
        <w:t>At June 30, 2024, future minimum payments under the Company’s debt were as follows: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613" w:name="xdx_8BC_zqrjj6WFjo4h"/>
      <w:bookmarkEnd w:id="613"/>
      <w:r>
        <w:rPr>
          <w:rFonts w:ascii="Times New Roman;Times;Serif" w:hAnsi="Times New Roman;Times;Serif"/>
          <w:b w:val="false"/>
          <w:i w:val="false"/>
          <w:caps w:val="false"/>
          <w:smallCaps w:val="false"/>
          <w:sz w:val="20"/>
        </w:rPr>
        <w:t>SCHEDULE OF FUTURE MINIMUM PAYMENT UNDER NOTES PAYABLES </w:t>
      </w:r>
    </w:p>
    <w:tbl>
      <w:tblPr>
        <w:tblW w:w="6695" w:type="dxa"/>
        <w:jc w:val="left"/>
        <w:tblInd w:w="0" w:type="dxa"/>
        <w:tblLayout w:type="fixed"/>
        <w:tblCellMar>
          <w:top w:w="0" w:type="dxa"/>
          <w:left w:w="0" w:type="dxa"/>
          <w:bottom w:w="0" w:type="dxa"/>
          <w:right w:w="0" w:type="dxa"/>
        </w:tblCellMar>
      </w:tblPr>
      <w:tblGrid>
        <w:gridCol w:w="5165"/>
        <w:gridCol w:w="60"/>
        <w:gridCol w:w="140"/>
        <w:gridCol w:w="1220"/>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14" w:name="xdx_49D_20240630_zFjXteonS7X9"/>
            <w:bookmarkEnd w:id="614"/>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bookmarkStart w:id="615" w:name="xdx_406_eus-gaap--LongTermDebtMaturities"/>
            <w:bookmarkEnd w:id="615"/>
          </w:p>
        </w:tc>
      </w:tr>
      <w:tr>
        <w:trPr/>
        <w:tc>
          <w:tcPr>
            <w:tcW w:w="5165" w:type="dxa"/>
            <w:tcBorders/>
            <w:shd w:fill="CCEEFF" w:val="clear"/>
            <w:vAlign w:val="center"/>
          </w:tcPr>
          <w:p>
            <w:pPr>
              <w:pStyle w:val="TableContents"/>
              <w:bidi w:val="0"/>
              <w:spacing w:before="0" w:after="283"/>
              <w:jc w:val="left"/>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10,674,000</w:t>
            </w:r>
          </w:p>
        </w:tc>
        <w:tc>
          <w:tcPr>
            <w:tcW w:w="110" w:type="dxa"/>
            <w:tcBorders/>
            <w:shd w:fill="CCEEFF" w:val="clear"/>
            <w:vAlign w:val="center"/>
          </w:tcPr>
          <w:p>
            <w:pPr>
              <w:pStyle w:val="TableContents"/>
              <w:bidi w:val="0"/>
              <w:spacing w:before="0" w:after="283"/>
              <w:jc w:val="left"/>
              <w:rPr/>
            </w:pPr>
            <w:r>
              <w:rPr/>
              <w:t> </w:t>
            </w:r>
            <w:bookmarkStart w:id="616" w:name="xdx_40C_eus-gaap--LongTermDebtMaturities"/>
            <w:bookmarkEnd w:id="616"/>
          </w:p>
        </w:tc>
      </w:tr>
      <w:tr>
        <w:trPr/>
        <w:tc>
          <w:tcPr>
            <w:tcW w:w="516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20,658,000</w:t>
            </w:r>
          </w:p>
        </w:tc>
        <w:tc>
          <w:tcPr>
            <w:tcW w:w="110" w:type="dxa"/>
            <w:tcBorders/>
            <w:shd w:fill="FFFFFF" w:val="clear"/>
            <w:vAlign w:val="center"/>
          </w:tcPr>
          <w:p>
            <w:pPr>
              <w:pStyle w:val="TableContents"/>
              <w:bidi w:val="0"/>
              <w:spacing w:before="0" w:after="283"/>
              <w:jc w:val="left"/>
              <w:rPr/>
            </w:pPr>
            <w:r>
              <w:rPr/>
              <w:t> </w:t>
            </w:r>
            <w:bookmarkStart w:id="617" w:name="xdx_409_eus-gaap--LongTermDebtMaturities"/>
            <w:bookmarkEnd w:id="617"/>
          </w:p>
        </w:tc>
      </w:tr>
      <w:tr>
        <w:trPr/>
        <w:tc>
          <w:tcPr>
            <w:tcW w:w="516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159,899,000</w:t>
            </w:r>
          </w:p>
        </w:tc>
        <w:tc>
          <w:tcPr>
            <w:tcW w:w="110" w:type="dxa"/>
            <w:tcBorders/>
            <w:shd w:fill="CCEEFF" w:val="clear"/>
            <w:vAlign w:val="center"/>
          </w:tcPr>
          <w:p>
            <w:pPr>
              <w:pStyle w:val="TableContents"/>
              <w:bidi w:val="0"/>
              <w:spacing w:before="0" w:after="283"/>
              <w:jc w:val="left"/>
              <w:rPr/>
            </w:pPr>
            <w:r>
              <w:rPr/>
              <w:t> </w:t>
            </w:r>
            <w:bookmarkStart w:id="618" w:name="xdx_40B_eus-gaap--LongTermDebtMaturities"/>
            <w:bookmarkEnd w:id="618"/>
          </w:p>
        </w:tc>
      </w:tr>
      <w:tr>
        <w:trPr/>
        <w:tc>
          <w:tcPr>
            <w:tcW w:w="51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45,030,000</w:t>
            </w:r>
          </w:p>
        </w:tc>
        <w:tc>
          <w:tcPr>
            <w:tcW w:w="110" w:type="dxa"/>
            <w:tcBorders/>
            <w:shd w:fill="FFFFFF" w:val="clear"/>
            <w:vAlign w:val="center"/>
          </w:tcPr>
          <w:p>
            <w:pPr>
              <w:pStyle w:val="TableContents"/>
              <w:bidi w:val="0"/>
              <w:spacing w:before="0" w:after="283"/>
              <w:jc w:val="left"/>
              <w:rPr/>
            </w:pPr>
            <w:r>
              <w:rPr/>
              <w:t> </w:t>
            </w:r>
            <w:bookmarkStart w:id="619" w:name="xdx_403_eus-gaap--LongTermDebt_iTI_mtCzg"/>
            <w:bookmarkEnd w:id="619"/>
          </w:p>
        </w:tc>
      </w:tr>
      <w:tr>
        <w:trPr/>
        <w:tc>
          <w:tcPr>
            <w:tcW w:w="5165" w:type="dxa"/>
            <w:tcBorders/>
            <w:shd w:fill="CCEEFF" w:val="clear"/>
            <w:vAlign w:val="center"/>
          </w:tcPr>
          <w:p>
            <w:pPr>
              <w:pStyle w:val="TableContents"/>
              <w:bidi w:val="0"/>
              <w:spacing w:before="0" w:after="283"/>
              <w:jc w:val="left"/>
              <w:rPr/>
            </w:pPr>
            <w:r>
              <w:rPr/>
              <w:t>Total minimum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236,261,000</w:t>
            </w:r>
          </w:p>
        </w:tc>
        <w:tc>
          <w:tcPr>
            <w:tcW w:w="110" w:type="dxa"/>
            <w:tcBorders/>
            <w:shd w:fill="CCEEFF" w:val="clear"/>
            <w:vAlign w:val="center"/>
          </w:tcPr>
          <w:p>
            <w:pPr>
              <w:pStyle w:val="TableContents"/>
              <w:bidi w:val="0"/>
              <w:spacing w:before="0" w:after="283"/>
              <w:jc w:val="left"/>
              <w:rPr/>
            </w:pPr>
            <w:r>
              <w:rPr/>
              <w:t> </w:t>
            </w:r>
            <w:bookmarkStart w:id="620" w:name="xdx_405_eus-gaap--InterestPayableCurrent"/>
            <w:bookmarkEnd w:id="620"/>
          </w:p>
        </w:tc>
      </w:tr>
      <w:tr>
        <w:trPr/>
        <w:tc>
          <w:tcPr>
            <w:tcW w:w="5165" w:type="dxa"/>
            <w:tcBorders/>
            <w:shd w:fill="FFFFFF" w:val="clear"/>
            <w:vAlign w:val="center"/>
          </w:tcPr>
          <w:p>
            <w:pPr>
              <w:pStyle w:val="TableContents"/>
              <w:bidi w:val="0"/>
              <w:spacing w:before="0" w:after="283"/>
              <w:jc w:val="left"/>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(43,511,000</w:t>
            </w:r>
          </w:p>
        </w:tc>
        <w:tc>
          <w:tcPr>
            <w:tcW w:w="110" w:type="dxa"/>
            <w:tcBorders/>
            <w:shd w:fill="FFFFFF" w:val="clear"/>
            <w:vAlign w:val="center"/>
          </w:tcPr>
          <w:p>
            <w:pPr>
              <w:pStyle w:val="TableContents"/>
              <w:bidi w:val="0"/>
              <w:spacing w:before="0" w:after="283"/>
              <w:jc w:val="left"/>
              <w:rPr/>
            </w:pPr>
            <w:r>
              <w:rPr/>
              <w:t>)</w:t>
            </w:r>
            <w:bookmarkStart w:id="621" w:name="xdx_401_eus-gaap--DebtInstrumentCarrying"/>
            <w:bookmarkEnd w:id="621"/>
          </w:p>
        </w:tc>
      </w:tr>
      <w:tr>
        <w:trPr/>
        <w:tc>
          <w:tcPr>
            <w:tcW w:w="5165" w:type="dxa"/>
            <w:tcBorders/>
            <w:shd w:fill="CCEEFF" w:val="clear"/>
            <w:vAlign w:val="center"/>
          </w:tcPr>
          <w:p>
            <w:pPr>
              <w:pStyle w:val="TableContents"/>
              <w:bidi w:val="0"/>
              <w:spacing w:before="0" w:after="283"/>
              <w:jc w:val="left"/>
              <w:rPr/>
            </w:pPr>
            <w:r>
              <w:rPr/>
              <w:t>Notes payable, gross principal amount due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192,750,000</w:t>
            </w:r>
          </w:p>
        </w:tc>
        <w:tc>
          <w:tcPr>
            <w:tcW w:w="110" w:type="dxa"/>
            <w:tcBorders/>
            <w:shd w:fill="CCEEFF" w:val="clear"/>
            <w:vAlign w:val="center"/>
          </w:tcPr>
          <w:p>
            <w:pPr>
              <w:pStyle w:val="TableContents"/>
              <w:bidi w:val="0"/>
              <w:spacing w:before="0" w:after="283"/>
              <w:jc w:val="left"/>
              <w:rPr/>
            </w:pPr>
            <w:r>
              <w:rPr/>
              <w:t> </w:t>
            </w:r>
            <w:bookmarkStart w:id="622" w:name="xdx_40F_eus-gaap--DebtInstrumentUnamorti"/>
            <w:bookmarkEnd w:id="622"/>
          </w:p>
        </w:tc>
      </w:tr>
      <w:tr>
        <w:trPr/>
        <w:tc>
          <w:tcPr>
            <w:tcW w:w="5165" w:type="dxa"/>
            <w:tcBorders/>
            <w:shd w:fill="FFFFFF" w:val="clear"/>
            <w:vAlign w:val="center"/>
          </w:tcPr>
          <w:p>
            <w:pPr>
              <w:pStyle w:val="TableContents"/>
              <w:bidi w:val="0"/>
              <w:spacing w:before="0" w:after="283"/>
              <w:jc w:val="left"/>
              <w:rPr/>
            </w:pPr>
            <w:r>
              <w:rPr/>
              <w:t>Less: unamortized debt issuance costs, net of premium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(7,727,000</w:t>
            </w:r>
          </w:p>
        </w:tc>
        <w:tc>
          <w:tcPr>
            <w:tcW w:w="110" w:type="dxa"/>
            <w:tcBorders/>
            <w:shd w:fill="FFFFFF" w:val="clear"/>
            <w:vAlign w:val="center"/>
          </w:tcPr>
          <w:p>
            <w:pPr>
              <w:pStyle w:val="TableContents"/>
              <w:bidi w:val="0"/>
              <w:spacing w:before="0" w:after="283"/>
              <w:jc w:val="left"/>
              <w:rPr/>
            </w:pPr>
            <w:r>
              <w:rPr/>
              <w:t>)</w:t>
            </w:r>
            <w:bookmarkStart w:id="623" w:name="xdx_40F_eus-gaap--LongTermNotesPayable_i"/>
            <w:bookmarkEnd w:id="623"/>
          </w:p>
        </w:tc>
      </w:tr>
      <w:tr>
        <w:trPr/>
        <w:tc>
          <w:tcPr>
            <w:tcW w:w="5165" w:type="dxa"/>
            <w:tcBorders/>
            <w:shd w:fill="CCEEFF" w:val="clear"/>
            <w:vAlign w:val="center"/>
          </w:tcPr>
          <w:p>
            <w:pPr>
              <w:pStyle w:val="TableContents"/>
              <w:bidi w:val="0"/>
              <w:spacing w:before="0" w:after="283"/>
              <w:jc w:val="left"/>
              <w:rPr/>
            </w:pPr>
            <w:r>
              <w:rPr/>
              <w:t>Notes payable, net of unamortized debt issuance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185,023,000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4" w:name="xdx_8A6_zIq7KXw52y1b"/>
      <w:bookmarkEnd w:id="624"/>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5" w:name="xdx_80A_eus-gaap--LesseeOperatingLeasesT"/>
      <w:bookmarkEnd w:id="625"/>
      <w:r>
        <w:rPr>
          <w:rFonts w:ascii="Times New Roman;Times;Serif" w:hAnsi="Times New Roman;Times;Serif"/>
          <w:b/>
          <w:i w:val="false"/>
          <w:caps w:val="false"/>
          <w:smallCaps w:val="false"/>
          <w:sz w:val="20"/>
        </w:rPr>
        <w:t xml:space="preserve">NOTE 12. </w:t>
      </w:r>
      <w:bookmarkStart w:id="626" w:name="xdx_829_zgbomKRHR0Wf"/>
      <w:bookmarkEnd w:id="626"/>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office and laboratory space under non-cancelable operating leases listed below. These lease agreements have remaining terms between </w:t>
      </w:r>
      <w:bookmarkStart w:id="627" w:name="xdx_90D_eus-gaap--LesseeOperatingLeaseRe"/>
      <w:bookmarkEnd w:id="627"/>
      <w:r>
        <w:rPr>
          <w:rFonts w:ascii="Times New Roman;Times;Serif" w:hAnsi="Times New Roman;Times;Serif"/>
          <w:b w:val="false"/>
          <w:i w:val="false"/>
          <w:caps w:val="false"/>
          <w:smallCaps w:val="false"/>
          <w:sz w:val="20"/>
        </w:rPr>
        <w:t xml:space="preserve">one to </w:t>
      </w:r>
      <w:bookmarkStart w:id="628" w:name="xdx_908_eus-gaap--LesseeOperatingLeaseRe"/>
      <w:bookmarkEnd w:id="628"/>
      <w:r>
        <w:rPr>
          <w:rFonts w:ascii="Times New Roman;Times;Serif" w:hAnsi="Times New Roman;Times;Serif"/>
          <w:b w:val="false"/>
          <w:i w:val="false"/>
          <w:caps w:val="false"/>
          <w:smallCaps w:val="false"/>
          <w:sz w:val="20"/>
        </w:rPr>
        <w:t>seven years and contain various clauses for renewal at the Company’s option.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29" w:name="xdx_90C_eus-gaap--AreaOfLand_iI_uSquareF"/>
            <w:bookmarkEnd w:id="629"/>
            <w:r>
              <w:rPr>
                <w:rFonts w:ascii="Times New Roman;Times;Serif" w:hAnsi="Times New Roman;Times;Serif"/>
                <w:b w:val="false"/>
                <w:i w:val="false"/>
                <w:caps w:val="false"/>
                <w:smallCaps w:val="false"/>
                <w:sz w:val="20"/>
              </w:rPr>
              <w:t xml:space="preserve">5,789 square feet of office space in Carlsbad, California, which commenced in January 2022 and will expire in </w:t>
            </w:r>
            <w:bookmarkStart w:id="630" w:name="xdx_90C_ecustom--LeaseExpirationDateDesc"/>
            <w:bookmarkEnd w:id="630"/>
            <w:r>
              <w:rPr>
                <w:rFonts w:ascii="Times New Roman;Times;Serif" w:hAnsi="Times New Roman;Times;Serif"/>
                <w:b w:val="false"/>
                <w:i w:val="false"/>
                <w:caps w:val="false"/>
                <w:smallCaps w:val="false"/>
                <w:sz w:val="20"/>
              </w:rPr>
              <w:t>March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31" w:name="xdx_902_eus-gaap--AreaOfLand_iI_uSquareF"/>
            <w:bookmarkEnd w:id="631"/>
            <w:r>
              <w:rPr>
                <w:rFonts w:ascii="Times New Roman;Times;Serif" w:hAnsi="Times New Roman;Times;Serif"/>
                <w:b w:val="false"/>
                <w:i w:val="false"/>
                <w:caps w:val="false"/>
                <w:smallCaps w:val="false"/>
                <w:sz w:val="20"/>
              </w:rPr>
              <w:t xml:space="preserve">38,153 square feet of lab, warehouse and office space in Ledgewood, New Jersey that expires in </w:t>
            </w:r>
            <w:bookmarkStart w:id="632" w:name="xdx_906_ecustom--LeaseExpirationDateDesc"/>
            <w:bookmarkEnd w:id="632"/>
            <w:r>
              <w:rPr>
                <w:rFonts w:ascii="Times New Roman;Times;Serif" w:hAnsi="Times New Roman;Times;Serif"/>
                <w:b w:val="false"/>
                <w:i w:val="false"/>
                <w:caps w:val="false"/>
                <w:smallCaps w:val="false"/>
                <w:sz w:val="20"/>
              </w:rPr>
              <w:t xml:space="preserve">July 2027, with an </w:t>
            </w:r>
            <w:bookmarkStart w:id="633" w:name="xdx_905_eus-gaap--LesseeOperatingLeaseOp"/>
            <w:bookmarkEnd w:id="633"/>
            <w:r>
              <w:rPr>
                <w:rFonts w:ascii="Times New Roman;Times;Serif" w:hAnsi="Times New Roman;Times;Serif"/>
                <w:b w:val="false"/>
                <w:i w:val="false"/>
                <w:caps w:val="false"/>
                <w:smallCaps w:val="false"/>
                <w:sz w:val="20"/>
              </w:rPr>
              <w:t xml:space="preserve">option to extend the term for two additional five-year periods. This includes an amendment, which was made effective July 2020, that extended the term of the original lease and added </w:t>
            </w:r>
            <w:bookmarkStart w:id="634" w:name="xdx_907_ecustom--AdditionalAreaOfLand_uS"/>
            <w:bookmarkEnd w:id="634"/>
            <w:r>
              <w:rPr>
                <w:rFonts w:ascii="Times New Roman;Times;Serif" w:hAnsi="Times New Roman;Times;Serif"/>
                <w:b w:val="false"/>
                <w:i w:val="false"/>
                <w:caps w:val="false"/>
                <w:smallCaps w:val="false"/>
                <w:sz w:val="20"/>
              </w:rPr>
              <w:t xml:space="preserve">1,400 of additional square footage to the lease, another amendment entered into in May 2021 that extended the term of the lease to </w:t>
            </w:r>
            <w:bookmarkStart w:id="635" w:name="xdx_909_ecustom--LeaseExpirationDateDesc"/>
            <w:bookmarkEnd w:id="635"/>
            <w:r>
              <w:rPr>
                <w:rFonts w:ascii="Times New Roman;Times;Serif" w:hAnsi="Times New Roman;Times;Serif"/>
                <w:b w:val="false"/>
                <w:i w:val="false"/>
                <w:caps w:val="false"/>
                <w:smallCaps w:val="false"/>
                <w:sz w:val="20"/>
              </w:rPr>
              <w:t xml:space="preserve">July 2027 and added </w:t>
            </w:r>
            <w:bookmarkStart w:id="636" w:name="xdx_902_ecustom--AdditionalAreaOfLand_uS"/>
            <w:bookmarkEnd w:id="636"/>
            <w:r>
              <w:rPr>
                <w:rFonts w:ascii="Times New Roman;Times;Serif" w:hAnsi="Times New Roman;Times;Serif"/>
                <w:b w:val="false"/>
                <w:i w:val="false"/>
                <w:caps w:val="false"/>
                <w:smallCaps w:val="false"/>
                <w:sz w:val="20"/>
              </w:rPr>
              <w:t xml:space="preserve">8,900 square feet of space, and another amendment entered into in January 2024 that added </w:t>
            </w:r>
            <w:bookmarkStart w:id="637" w:name="xdx_90F_ecustom--AdditionalAreaOfLand_uS"/>
            <w:bookmarkEnd w:id="637"/>
            <w:r>
              <w:rPr>
                <w:rFonts w:ascii="Times New Roman;Times;Serif" w:hAnsi="Times New Roman;Times;Serif"/>
                <w:b w:val="false"/>
                <w:i w:val="false"/>
                <w:caps w:val="false"/>
                <w:smallCaps w:val="false"/>
                <w:sz w:val="20"/>
              </w:rPr>
              <w:t>2,861 square feet of space.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38" w:name="xdx_90F_eus-gaap--AreaOfLand_iI_uSquareF"/>
            <w:bookmarkEnd w:id="638"/>
            <w:r>
              <w:rPr>
                <w:rFonts w:ascii="Times New Roman;Times;Serif" w:hAnsi="Times New Roman;Times;Serif"/>
                <w:b w:val="false"/>
                <w:i w:val="false"/>
                <w:caps w:val="false"/>
                <w:smallCaps w:val="false"/>
                <w:sz w:val="20"/>
              </w:rPr>
              <w:t xml:space="preserve">5,500 square feet of office space in Nashville, Tennessee, which commenced in January 2020 and will expire in </w:t>
            </w:r>
            <w:bookmarkStart w:id="639" w:name="xdx_90F_ecustom--LeaseExpirationDateDesc"/>
            <w:bookmarkEnd w:id="639"/>
            <w:r>
              <w:rPr>
                <w:rFonts w:ascii="Times New Roman;Times;Serif" w:hAnsi="Times New Roman;Times;Serif"/>
                <w:b w:val="false"/>
                <w:i w:val="false"/>
                <w:caps w:val="false"/>
                <w:smallCaps w:val="false"/>
                <w:sz w:val="20"/>
              </w:rPr>
              <w:t xml:space="preserve">December 2024, with an </w:t>
            </w:r>
            <w:bookmarkStart w:id="640" w:name="xdx_908_eus-gaap--LesseeOperatingLeaseOp"/>
            <w:bookmarkEnd w:id="640"/>
            <w:r>
              <w:rPr>
                <w:rFonts w:ascii="Times New Roman;Times;Serif" w:hAnsi="Times New Roman;Times;Serif"/>
                <w:b w:val="false"/>
                <w:i w:val="false"/>
                <w:caps w:val="false"/>
                <w:smallCaps w:val="false"/>
                <w:sz w:val="20"/>
              </w:rPr>
              <w:t>option to extend the term for two additional five-year periods. The Company does not intend to exercise its option to extend the term of this lease.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operating lease for </w:t>
            </w:r>
            <w:bookmarkStart w:id="641" w:name="xdx_903_eus-gaap--AreaOfLand_iI_uSquareF"/>
            <w:bookmarkEnd w:id="641"/>
            <w:r>
              <w:rPr>
                <w:rFonts w:ascii="Times New Roman;Times;Serif" w:hAnsi="Times New Roman;Times;Serif"/>
                <w:b w:val="false"/>
                <w:i w:val="false"/>
                <w:caps w:val="false"/>
                <w:smallCaps w:val="false"/>
                <w:sz w:val="20"/>
              </w:rPr>
              <w:t xml:space="preserve">11,552 square feet of lab and office space in Nashville, Tennessee, which commenced in September 2022 and will expire in </w:t>
            </w:r>
            <w:bookmarkStart w:id="642" w:name="xdx_902_ecustom--LeaseExpirationDateDesc"/>
            <w:bookmarkEnd w:id="642"/>
            <w:r>
              <w:rPr>
                <w:rFonts w:ascii="Times New Roman;Times;Serif" w:hAnsi="Times New Roman;Times;Serif"/>
                <w:b w:val="false"/>
                <w:i w:val="false"/>
                <w:caps w:val="false"/>
                <w:smallCaps w:val="false"/>
                <w:sz w:val="20"/>
              </w:rPr>
              <w:t>September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Company entered into an operating lease for </w:t>
            </w:r>
            <w:bookmarkStart w:id="643" w:name="xdx_909_eus-gaap--AreaOfLand_iI_uSquareF"/>
            <w:bookmarkEnd w:id="643"/>
            <w:r>
              <w:rPr>
                <w:rFonts w:ascii="Times New Roman;Times;Serif" w:hAnsi="Times New Roman;Times;Serif"/>
                <w:b w:val="false"/>
                <w:i w:val="false"/>
                <w:caps w:val="false"/>
                <w:smallCaps w:val="false"/>
                <w:sz w:val="20"/>
              </w:rPr>
              <w:t xml:space="preserve">17,625 square feet of office space in Nashville, Tennessee which is expected to commence in August 2024 and has a </w:t>
            </w:r>
            <w:bookmarkStart w:id="644" w:name="xdx_901_eus-gaap--LesseeOperatingLeaseLe"/>
            <w:bookmarkEnd w:id="644"/>
            <w:r>
              <w:rPr>
                <w:rFonts w:ascii="Times New Roman;Times;Serif" w:hAnsi="Times New Roman;Times;Serif"/>
                <w:b w:val="false"/>
                <w:i w:val="false"/>
                <w:caps w:val="false"/>
                <w:smallCaps w:val="false"/>
                <w:sz w:val="20"/>
              </w:rPr>
              <w:t xml:space="preserve">seven year term (target expiration date of </w:t>
            </w:r>
            <w:bookmarkStart w:id="645" w:name="xdx_909_eus-gaap--LeaseExpirationDate1_d"/>
            <w:bookmarkEnd w:id="645"/>
            <w:r>
              <w:rPr>
                <w:rFonts w:ascii="Times New Roman;Times;Serif" w:hAnsi="Times New Roman;Times;Serif"/>
                <w:b w:val="false"/>
                <w:i w:val="false"/>
                <w:caps w:val="false"/>
                <w:smallCaps w:val="false"/>
                <w:sz w:val="20"/>
              </w:rPr>
              <w:t xml:space="preserve">June 30, 2032) with an </w:t>
            </w:r>
            <w:bookmarkStart w:id="646" w:name="xdx_902_eus-gaap--LesseeOperatingLeaseLe"/>
            <w:bookmarkEnd w:id="646"/>
            <w:r>
              <w:rPr>
                <w:rFonts w:ascii="Times New Roman;Times;Serif" w:hAnsi="Times New Roman;Times;Serif"/>
                <w:b w:val="false"/>
                <w:i w:val="false"/>
                <w:caps w:val="false"/>
                <w:smallCaps w:val="false"/>
                <w:sz w:val="20"/>
              </w:rPr>
              <w:t xml:space="preserve">option to extend the term for two additional five-year periods. Once occupied, the Company expects this office space to serve as the Company’s new corporate headquarters. Any operating lease right-of-use assets and liabilities related to this lease will be recognized at its commencement date.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June 30, 2024, the weighted average incremental borrowing rate and the weighted average remaining lease term for the operating leases held by the Company were </w:t>
      </w:r>
      <w:bookmarkStart w:id="647" w:name="xdx_908_eus-gaap--OperatingLeaseWeighted"/>
      <w:bookmarkEnd w:id="647"/>
      <w:r>
        <w:rPr>
          <w:rFonts w:ascii="Times New Roman;Times;Serif" w:hAnsi="Times New Roman;Times;Serif"/>
          <w:b w:val="false"/>
          <w:i w:val="false"/>
          <w:caps w:val="false"/>
          <w:smallCaps w:val="false"/>
          <w:sz w:val="20"/>
        </w:rPr>
        <w:t xml:space="preserve">6.60% and </w:t>
      </w:r>
      <w:bookmarkStart w:id="648" w:name="xdx_90B_eus-gaap--OperatingLeaseWeighted"/>
      <w:bookmarkEnd w:id="648"/>
      <w:r>
        <w:rPr>
          <w:rFonts w:ascii="Times New Roman;Times;Serif" w:hAnsi="Times New Roman;Times;Serif"/>
          <w:b w:val="false"/>
          <w:i w:val="false"/>
          <w:caps w:val="false"/>
          <w:smallCaps w:val="false"/>
          <w:sz w:val="20"/>
        </w:rPr>
        <w:t>11.2 years,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cash paid for amounts included for the operating lease liabilities was $</w:t>
      </w:r>
      <w:bookmarkStart w:id="649" w:name="xdx_90E_eus-gaap--OperatingLeasePayments"/>
      <w:bookmarkEnd w:id="649"/>
      <w:r>
        <w:rPr>
          <w:rFonts w:ascii="Times New Roman;Times;Serif" w:hAnsi="Times New Roman;Times;Serif"/>
          <w:b w:val="false"/>
          <w:i w:val="false"/>
          <w:caps w:val="false"/>
          <w:smallCaps w:val="false"/>
          <w:sz w:val="20"/>
        </w:rPr>
        <w:t>327,000 and $</w:t>
      </w:r>
      <w:bookmarkStart w:id="650" w:name="xdx_900_eus-gaap--OperatingLeasePayments"/>
      <w:bookmarkEnd w:id="650"/>
      <w:r>
        <w:rPr>
          <w:rFonts w:ascii="Times New Roman;Times;Serif" w:hAnsi="Times New Roman;Times;Serif"/>
          <w:b w:val="false"/>
          <w:i w:val="false"/>
          <w:caps w:val="false"/>
          <w:smallCaps w:val="false"/>
          <w:sz w:val="20"/>
        </w:rPr>
        <w:t>650,000, respectively, and $</w:t>
      </w:r>
      <w:bookmarkStart w:id="651" w:name="xdx_907_eus-gaap--OperatingLeasePayments"/>
      <w:bookmarkEnd w:id="651"/>
      <w:r>
        <w:rPr>
          <w:rFonts w:ascii="Times New Roman;Times;Serif" w:hAnsi="Times New Roman;Times;Serif"/>
          <w:b w:val="false"/>
          <w:i w:val="false"/>
          <w:caps w:val="false"/>
          <w:smallCaps w:val="false"/>
          <w:sz w:val="20"/>
        </w:rPr>
        <w:t>306,000 and $</w:t>
      </w:r>
      <w:bookmarkStart w:id="652" w:name="xdx_908_eus-gaap--OperatingLeasePayments"/>
      <w:bookmarkEnd w:id="652"/>
      <w:r>
        <w:rPr>
          <w:rFonts w:ascii="Times New Roman;Times;Serif" w:hAnsi="Times New Roman;Times;Serif"/>
          <w:b w:val="false"/>
          <w:i w:val="false"/>
          <w:caps w:val="false"/>
          <w:smallCaps w:val="false"/>
          <w:sz w:val="20"/>
        </w:rPr>
        <w:t>611,000 for the same periods in 2023, respectively. During the three and six months ended June 30, 2024, the Company recorded operating lease expense of $</w:t>
      </w:r>
      <w:bookmarkStart w:id="653" w:name="xdx_903_eus-gaap--OperatingLeaseExpense_"/>
      <w:bookmarkEnd w:id="653"/>
      <w:r>
        <w:rPr>
          <w:rFonts w:ascii="Times New Roman;Times;Serif" w:hAnsi="Times New Roman;Times;Serif"/>
          <w:b w:val="false"/>
          <w:i w:val="false"/>
          <w:caps w:val="false"/>
          <w:smallCaps w:val="false"/>
          <w:sz w:val="20"/>
        </w:rPr>
        <w:t>319,000 and $</w:t>
      </w:r>
      <w:bookmarkStart w:id="654" w:name="xdx_906_eus-gaap--OperatingLeaseExpense_"/>
      <w:bookmarkEnd w:id="654"/>
      <w:r>
        <w:rPr>
          <w:rFonts w:ascii="Times New Roman;Times;Serif" w:hAnsi="Times New Roman;Times;Serif"/>
          <w:b w:val="false"/>
          <w:i w:val="false"/>
          <w:caps w:val="false"/>
          <w:smallCaps w:val="false"/>
          <w:sz w:val="20"/>
        </w:rPr>
        <w:t>638,000, respectively, and $</w:t>
      </w:r>
      <w:bookmarkStart w:id="655" w:name="xdx_90D_eus-gaap--OperatingLeaseExpense_"/>
      <w:bookmarkEnd w:id="655"/>
      <w:r>
        <w:rPr>
          <w:rFonts w:ascii="Times New Roman;Times;Serif" w:hAnsi="Times New Roman;Times;Serif"/>
          <w:b w:val="false"/>
          <w:i w:val="false"/>
          <w:caps w:val="false"/>
          <w:smallCaps w:val="false"/>
          <w:sz w:val="20"/>
        </w:rPr>
        <w:t>308,000 and $</w:t>
      </w:r>
      <w:bookmarkStart w:id="656" w:name="xdx_906_eus-gaap--OperatingLeaseExpense_"/>
      <w:bookmarkEnd w:id="656"/>
      <w:r>
        <w:rPr>
          <w:rFonts w:ascii="Times New Roman;Times;Serif" w:hAnsi="Times New Roman;Times;Serif"/>
          <w:b w:val="false"/>
          <w:i w:val="false"/>
          <w:caps w:val="false"/>
          <w:smallCaps w:val="false"/>
          <w:sz w:val="20"/>
        </w:rPr>
        <w:t>617,000 for the same periods in 2023, respectively, which is included in 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7" w:name="xdx_89E_eus-gaap--LesseeOperatingLeaseLi"/>
      <w:bookmarkEnd w:id="657"/>
      <w:r>
        <w:rPr>
          <w:rFonts w:ascii="Times New Roman;Times;Serif" w:hAnsi="Times New Roman;Times;Serif"/>
          <w:b w:val="false"/>
          <w:i w:val="false"/>
          <w:caps w:val="false"/>
          <w:smallCaps w:val="false"/>
          <w:sz w:val="20"/>
        </w:rPr>
        <w:t>Future lease payments under operating leases as of June 30, 2024 were as follows</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bookmarkStart w:id="658" w:name="xdx_8BA_zNBvh742pwBd"/>
      <w:bookmarkEnd w:id="658"/>
      <w:r>
        <w:rPr>
          <w:rFonts w:ascii="Times New Roman;Times;Serif" w:hAnsi="Times New Roman;Times;Serif"/>
          <w:b w:val="false"/>
          <w:i w:val="false"/>
          <w:caps w:val="false"/>
          <w:smallCaps w:val="false"/>
          <w:sz w:val="20"/>
        </w:rPr>
        <w:t>SCHEDULE OF FUTURE LEASE PAYMENTS UNDER OPERATING LEASES</w:t>
      </w:r>
    </w:p>
    <w:tbl>
      <w:tblPr>
        <w:tblW w:w="6674" w:type="dxa"/>
        <w:jc w:val="left"/>
        <w:tblInd w:w="0" w:type="dxa"/>
        <w:tblLayout w:type="fixed"/>
        <w:tblCellMar>
          <w:top w:w="0" w:type="dxa"/>
          <w:left w:w="0" w:type="dxa"/>
          <w:bottom w:w="0" w:type="dxa"/>
          <w:right w:w="0" w:type="dxa"/>
        </w:tblCellMar>
      </w:tblPr>
      <w:tblGrid>
        <w:gridCol w:w="4715"/>
        <w:gridCol w:w="60"/>
        <w:gridCol w:w="202"/>
        <w:gridCol w:w="1587"/>
        <w:gridCol w:w="110"/>
      </w:tblGrid>
      <w:tr>
        <w:trPr/>
        <w:tc>
          <w:tcPr>
            <w:tcW w:w="4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9" w:name="xdx_49F_20240630_zHKxwgAZRl6c"/>
            <w:bookmarkEnd w:id="659"/>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Operating Leases</w:t>
            </w:r>
          </w:p>
        </w:tc>
        <w:tc>
          <w:tcPr>
            <w:tcW w:w="110" w:type="dxa"/>
            <w:tcBorders/>
            <w:vAlign w:val="center"/>
          </w:tcPr>
          <w:p>
            <w:pPr>
              <w:pStyle w:val="TableContents"/>
              <w:bidi w:val="0"/>
              <w:spacing w:before="0" w:after="283"/>
              <w:jc w:val="left"/>
              <w:rPr/>
            </w:pPr>
            <w:r>
              <w:rPr/>
              <w:t> </w:t>
            </w:r>
            <w:bookmarkStart w:id="660" w:name="xdx_40E_eus-gaap--LesseeOperatingLeaseLi"/>
            <w:bookmarkEnd w:id="660"/>
          </w:p>
        </w:tc>
      </w:tr>
      <w:tr>
        <w:trPr/>
        <w:tc>
          <w:tcPr>
            <w:tcW w:w="4715" w:type="dxa"/>
            <w:tcBorders/>
            <w:shd w:fill="CCEEFF" w:val="clear"/>
            <w:vAlign w:val="center"/>
          </w:tcPr>
          <w:p>
            <w:pPr>
              <w:pStyle w:val="TableContents"/>
              <w:bidi w:val="0"/>
              <w:spacing w:before="0" w:after="283"/>
              <w:jc w:val="left"/>
              <w:rPr/>
            </w:pPr>
            <w:r>
              <w:rPr/>
              <w:t>Remainder of 2024</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1587" w:type="dxa"/>
            <w:tcBorders/>
            <w:shd w:fill="CCEEFF" w:val="clear"/>
            <w:vAlign w:val="center"/>
          </w:tcPr>
          <w:p>
            <w:pPr>
              <w:pStyle w:val="TableContents"/>
              <w:bidi w:val="0"/>
              <w:spacing w:before="0" w:after="283"/>
              <w:jc w:val="right"/>
              <w:rPr/>
            </w:pPr>
            <w:r>
              <w:rPr/>
              <w:t>655,000</w:t>
            </w:r>
          </w:p>
        </w:tc>
        <w:tc>
          <w:tcPr>
            <w:tcW w:w="110" w:type="dxa"/>
            <w:tcBorders/>
            <w:shd w:fill="CCEEFF" w:val="clear"/>
            <w:vAlign w:val="center"/>
          </w:tcPr>
          <w:p>
            <w:pPr>
              <w:pStyle w:val="TableContents"/>
              <w:bidi w:val="0"/>
              <w:spacing w:before="0" w:after="283"/>
              <w:jc w:val="left"/>
              <w:rPr/>
            </w:pPr>
            <w:r>
              <w:rPr/>
              <w:t> </w:t>
            </w:r>
            <w:bookmarkStart w:id="661" w:name="xdx_408_eus-gaap--LesseeOperatingLeaseLi"/>
            <w:bookmarkEnd w:id="661"/>
          </w:p>
        </w:tc>
      </w:tr>
      <w:tr>
        <w:trPr/>
        <w:tc>
          <w:tcPr>
            <w:tcW w:w="471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1,133,000</w:t>
            </w:r>
          </w:p>
        </w:tc>
        <w:tc>
          <w:tcPr>
            <w:tcW w:w="110" w:type="dxa"/>
            <w:tcBorders/>
            <w:shd w:fill="FFFFFF" w:val="clear"/>
            <w:vAlign w:val="center"/>
          </w:tcPr>
          <w:p>
            <w:pPr>
              <w:pStyle w:val="TableContents"/>
              <w:bidi w:val="0"/>
              <w:spacing w:before="0" w:after="283"/>
              <w:jc w:val="left"/>
              <w:rPr/>
            </w:pPr>
            <w:r>
              <w:rPr/>
              <w:t> </w:t>
            </w:r>
            <w:bookmarkStart w:id="662" w:name="xdx_40E_eus-gaap--LesseeOperatingLeaseLi"/>
            <w:bookmarkEnd w:id="662"/>
          </w:p>
        </w:tc>
      </w:tr>
      <w:tr>
        <w:trPr/>
        <w:tc>
          <w:tcPr>
            <w:tcW w:w="471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1,155,000</w:t>
            </w:r>
          </w:p>
        </w:tc>
        <w:tc>
          <w:tcPr>
            <w:tcW w:w="110" w:type="dxa"/>
            <w:tcBorders/>
            <w:shd w:fill="CCEEFF" w:val="clear"/>
            <w:vAlign w:val="center"/>
          </w:tcPr>
          <w:p>
            <w:pPr>
              <w:pStyle w:val="TableContents"/>
              <w:bidi w:val="0"/>
              <w:spacing w:before="0" w:after="283"/>
              <w:jc w:val="left"/>
              <w:rPr/>
            </w:pPr>
            <w:r>
              <w:rPr/>
              <w:t> </w:t>
            </w:r>
            <w:bookmarkStart w:id="663" w:name="xdx_400_eus-gaap--LesseeOperatingLeaseLi"/>
            <w:bookmarkEnd w:id="663"/>
          </w:p>
        </w:tc>
      </w:tr>
      <w:tr>
        <w:trPr/>
        <w:tc>
          <w:tcPr>
            <w:tcW w:w="47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587" w:type="dxa"/>
            <w:tcBorders/>
            <w:shd w:fill="FFFFFF" w:val="clear"/>
            <w:vAlign w:val="center"/>
          </w:tcPr>
          <w:p>
            <w:pPr>
              <w:pStyle w:val="TableContents"/>
              <w:bidi w:val="0"/>
              <w:spacing w:before="0" w:after="283"/>
              <w:jc w:val="right"/>
              <w:rPr/>
            </w:pPr>
            <w:r>
              <w:rPr/>
              <w:t>1,014,000</w:t>
            </w:r>
          </w:p>
        </w:tc>
        <w:tc>
          <w:tcPr>
            <w:tcW w:w="110" w:type="dxa"/>
            <w:tcBorders/>
            <w:shd w:fill="FFFFFF" w:val="clear"/>
            <w:vAlign w:val="center"/>
          </w:tcPr>
          <w:p>
            <w:pPr>
              <w:pStyle w:val="TableContents"/>
              <w:bidi w:val="0"/>
              <w:spacing w:before="0" w:after="283"/>
              <w:jc w:val="left"/>
              <w:rPr/>
            </w:pPr>
            <w:r>
              <w:rPr/>
              <w:t> </w:t>
            </w:r>
            <w:bookmarkStart w:id="664" w:name="xdx_40A_eus-gaap--LesseeOperatingLeaseLi"/>
            <w:bookmarkEnd w:id="664"/>
          </w:p>
        </w:tc>
      </w:tr>
      <w:tr>
        <w:trPr/>
        <w:tc>
          <w:tcPr>
            <w:tcW w:w="471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699,000</w:t>
            </w:r>
          </w:p>
        </w:tc>
        <w:tc>
          <w:tcPr>
            <w:tcW w:w="110" w:type="dxa"/>
            <w:tcBorders/>
            <w:shd w:fill="CCEEFF" w:val="clear"/>
            <w:vAlign w:val="center"/>
          </w:tcPr>
          <w:p>
            <w:pPr>
              <w:pStyle w:val="TableContents"/>
              <w:bidi w:val="0"/>
              <w:spacing w:before="0" w:after="283"/>
              <w:jc w:val="left"/>
              <w:rPr/>
            </w:pPr>
            <w:r>
              <w:rPr/>
              <w:t> </w:t>
            </w:r>
            <w:bookmarkStart w:id="665" w:name="xdx_401_ecustom--LesseeOperatingLeaseLia"/>
            <w:bookmarkEnd w:id="665"/>
          </w:p>
        </w:tc>
      </w:tr>
      <w:tr>
        <w:trPr/>
        <w:tc>
          <w:tcPr>
            <w:tcW w:w="471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5,533,000</w:t>
            </w:r>
          </w:p>
        </w:tc>
        <w:tc>
          <w:tcPr>
            <w:tcW w:w="110" w:type="dxa"/>
            <w:tcBorders/>
            <w:shd w:fill="FFFFFF" w:val="clear"/>
            <w:vAlign w:val="center"/>
          </w:tcPr>
          <w:p>
            <w:pPr>
              <w:pStyle w:val="TableContents"/>
              <w:bidi w:val="0"/>
              <w:spacing w:before="0" w:after="283"/>
              <w:jc w:val="left"/>
              <w:rPr/>
            </w:pPr>
            <w:r>
              <w:rPr/>
              <w:t> </w:t>
            </w:r>
            <w:bookmarkStart w:id="666" w:name="xdx_401_eus-gaap--LesseeOperatingLeaseLi"/>
            <w:bookmarkEnd w:id="666"/>
          </w:p>
        </w:tc>
      </w:tr>
      <w:tr>
        <w:trPr/>
        <w:tc>
          <w:tcPr>
            <w:tcW w:w="4715"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10,189,000</w:t>
            </w:r>
          </w:p>
        </w:tc>
        <w:tc>
          <w:tcPr>
            <w:tcW w:w="110" w:type="dxa"/>
            <w:tcBorders/>
            <w:shd w:fill="CCEEFF" w:val="clear"/>
            <w:vAlign w:val="center"/>
          </w:tcPr>
          <w:p>
            <w:pPr>
              <w:pStyle w:val="TableContents"/>
              <w:bidi w:val="0"/>
              <w:spacing w:before="0" w:after="283"/>
              <w:jc w:val="left"/>
              <w:rPr/>
            </w:pPr>
            <w:r>
              <w:rPr/>
              <w:t> </w:t>
            </w:r>
            <w:bookmarkStart w:id="667" w:name="xdx_400_eus-gaap--LesseeOperatingLeaseLi"/>
            <w:bookmarkEnd w:id="667"/>
          </w:p>
        </w:tc>
      </w:tr>
      <w:tr>
        <w:trPr/>
        <w:tc>
          <w:tcPr>
            <w:tcW w:w="4715" w:type="dxa"/>
            <w:tcBorders/>
            <w:shd w:fill="FFFFFF" w:val="clear"/>
            <w:vAlign w:val="center"/>
          </w:tcPr>
          <w:p>
            <w:pPr>
              <w:pStyle w:val="TableContents"/>
              <w:bidi w:val="0"/>
              <w:spacing w:before="0" w:after="283"/>
              <w:jc w:val="left"/>
              <w:rPr/>
            </w:pPr>
            <w:r>
              <w:rPr/>
              <w:t>Less: amount representing interest payments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(2,879,000</w:t>
            </w:r>
          </w:p>
        </w:tc>
        <w:tc>
          <w:tcPr>
            <w:tcW w:w="110" w:type="dxa"/>
            <w:tcBorders/>
            <w:shd w:fill="FFFFFF" w:val="clear"/>
            <w:vAlign w:val="center"/>
          </w:tcPr>
          <w:p>
            <w:pPr>
              <w:pStyle w:val="TableContents"/>
              <w:bidi w:val="0"/>
              <w:spacing w:before="0" w:after="283"/>
              <w:jc w:val="left"/>
              <w:rPr/>
            </w:pPr>
            <w:r>
              <w:rPr/>
              <w:t>)</w:t>
            </w:r>
            <w:bookmarkStart w:id="668" w:name="xdx_406_eus-gaap--OperatingLeaseLiabilit"/>
            <w:bookmarkEnd w:id="668"/>
          </w:p>
        </w:tc>
      </w:tr>
      <w:tr>
        <w:trPr/>
        <w:tc>
          <w:tcPr>
            <w:tcW w:w="4715" w:type="dxa"/>
            <w:tcBorders/>
            <w:shd w:fill="CCEEFF" w:val="clear"/>
            <w:vAlign w:val="center"/>
          </w:tcPr>
          <w:p>
            <w:pPr>
              <w:pStyle w:val="TableContents"/>
              <w:bidi w:val="0"/>
              <w:spacing w:before="0" w:after="283"/>
              <w:jc w:val="left"/>
              <w:rPr/>
            </w:pPr>
            <w:r>
              <w:rPr/>
              <w:t>Total operating lease obligations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587" w:type="dxa"/>
            <w:tcBorders/>
            <w:shd w:fill="CCEEFF" w:val="clear"/>
            <w:vAlign w:val="center"/>
          </w:tcPr>
          <w:p>
            <w:pPr>
              <w:pStyle w:val="TableContents"/>
              <w:bidi w:val="0"/>
              <w:spacing w:before="0" w:after="283"/>
              <w:jc w:val="right"/>
              <w:rPr/>
            </w:pPr>
            <w:r>
              <w:rPr/>
              <w:t>7,310,000</w:t>
            </w:r>
          </w:p>
        </w:tc>
        <w:tc>
          <w:tcPr>
            <w:tcW w:w="110" w:type="dxa"/>
            <w:tcBorders/>
            <w:shd w:fill="CCEEFF" w:val="clear"/>
            <w:vAlign w:val="center"/>
          </w:tcPr>
          <w:p>
            <w:pPr>
              <w:pStyle w:val="TableContents"/>
              <w:bidi w:val="0"/>
              <w:spacing w:before="0" w:after="283"/>
              <w:jc w:val="left"/>
              <w:rPr/>
            </w:pPr>
            <w:r>
              <w:rPr/>
              <w:t> </w:t>
            </w:r>
            <w:bookmarkStart w:id="669" w:name="xdx_40E_eus-gaap--OperatingLeaseLiabilit"/>
            <w:bookmarkEnd w:id="669"/>
          </w:p>
        </w:tc>
      </w:tr>
      <w:tr>
        <w:trPr/>
        <w:tc>
          <w:tcPr>
            <w:tcW w:w="4715" w:type="dxa"/>
            <w:tcBorders/>
            <w:shd w:fill="FFFFFF" w:val="clear"/>
            <w:vAlign w:val="center"/>
          </w:tcPr>
          <w:p>
            <w:pPr>
              <w:pStyle w:val="TableContents"/>
              <w:bidi w:val="0"/>
              <w:spacing w:before="0" w:after="283"/>
              <w:jc w:val="left"/>
              <w:rPr/>
            </w:pPr>
            <w:r>
              <w:rPr/>
              <w:t>Less: current portion, operating lease obligations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87" w:type="dxa"/>
            <w:tcBorders>
              <w:bottom w:val="single" w:sz="12" w:space="0" w:color="000000"/>
            </w:tcBorders>
            <w:shd w:fill="FFFFFF" w:val="clear"/>
            <w:tcMar>
              <w:bottom w:w="28" w:type="dxa"/>
            </w:tcMar>
            <w:vAlign w:val="center"/>
          </w:tcPr>
          <w:p>
            <w:pPr>
              <w:pStyle w:val="TableContents"/>
              <w:bidi w:val="0"/>
              <w:spacing w:before="0" w:after="283"/>
              <w:jc w:val="right"/>
              <w:rPr/>
            </w:pPr>
            <w:r>
              <w:rPr/>
              <w:t>(767,000</w:t>
            </w:r>
          </w:p>
        </w:tc>
        <w:tc>
          <w:tcPr>
            <w:tcW w:w="110" w:type="dxa"/>
            <w:tcBorders/>
            <w:shd w:fill="FFFFFF" w:val="clear"/>
            <w:vAlign w:val="center"/>
          </w:tcPr>
          <w:p>
            <w:pPr>
              <w:pStyle w:val="TableContents"/>
              <w:bidi w:val="0"/>
              <w:spacing w:before="0" w:after="283"/>
              <w:jc w:val="left"/>
              <w:rPr/>
            </w:pPr>
            <w:r>
              <w:rPr/>
              <w:t>)</w:t>
            </w:r>
            <w:bookmarkStart w:id="670" w:name="xdx_40C_eus-gaap--OperatingLeaseLiabilit"/>
            <w:bookmarkEnd w:id="670"/>
          </w:p>
        </w:tc>
      </w:tr>
      <w:tr>
        <w:trPr/>
        <w:tc>
          <w:tcPr>
            <w:tcW w:w="4715" w:type="dxa"/>
            <w:tcBorders/>
            <w:shd w:fill="CCEEFF" w:val="clear"/>
            <w:vAlign w:val="center"/>
          </w:tcPr>
          <w:p>
            <w:pPr>
              <w:pStyle w:val="TableContents"/>
              <w:bidi w:val="0"/>
              <w:spacing w:before="0" w:after="283"/>
              <w:jc w:val="left"/>
              <w:rPr/>
            </w:pPr>
            <w:r>
              <w:rPr/>
              <w:t>Operating lease obligations, net of current portion</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pPr>
            <w:r>
              <w:rPr/>
              <w:t>6,543,000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1" w:name="xdx_8AE_zhbtnfyWycsc"/>
      <w:bookmarkEnd w:id="671"/>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2" w:name="xdx_806_eus-gaap--ShareholdersEquityAndS"/>
      <w:bookmarkEnd w:id="672"/>
      <w:r>
        <w:rPr>
          <w:rFonts w:ascii="Times New Roman;Times;Serif" w:hAnsi="Times New Roman;Times;Serif"/>
          <w:b/>
          <w:i w:val="false"/>
          <w:caps w:val="false"/>
          <w:smallCaps w:val="false"/>
          <w:sz w:val="20"/>
        </w:rPr>
        <w:t xml:space="preserve">NOTE 13. </w:t>
      </w:r>
      <w:bookmarkStart w:id="673" w:name="xdx_82A_zuAJhAXOU4Cc"/>
      <w:bookmarkEnd w:id="673"/>
      <w:r>
        <w:rPr>
          <w:rFonts w:ascii="Times New Roman;Times;Serif" w:hAnsi="Times New Roman;Times;Serif"/>
          <w:b/>
          <w:i w:val="false"/>
          <w:caps w:val="false"/>
          <w:smallCaps w:val="false"/>
          <w:sz w:val="20"/>
        </w:rPr>
        <w:t xml:space="preserve">STOCKHOLDERS’ EQUITY AND 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issued </w:t>
      </w:r>
      <w:bookmarkStart w:id="674" w:name="xdx_90A_eus-gaap--StockIssuedDuringPerio"/>
      <w:bookmarkEnd w:id="674"/>
      <w:r>
        <w:rPr>
          <w:rFonts w:ascii="Times New Roman;Times;Serif" w:hAnsi="Times New Roman;Times;Serif"/>
          <w:b w:val="false"/>
          <w:i w:val="false"/>
          <w:caps w:val="false"/>
          <w:smallCaps w:val="false"/>
          <w:sz w:val="20"/>
        </w:rPr>
        <w:t>86,996 shares of common stock and received proceeds of $</w:t>
      </w:r>
      <w:bookmarkStart w:id="675" w:name="xdx_907_eus-gaap--ProceedsFromStockOptio"/>
      <w:bookmarkEnd w:id="675"/>
      <w:r>
        <w:rPr>
          <w:rFonts w:ascii="Times New Roman;Times;Serif" w:hAnsi="Times New Roman;Times;Serif"/>
          <w:b w:val="false"/>
          <w:i w:val="false"/>
          <w:caps w:val="false"/>
          <w:smallCaps w:val="false"/>
          <w:sz w:val="20"/>
        </w:rPr>
        <w:t xml:space="preserve">521,000 upon the exercise of options to purchase </w:t>
      </w:r>
      <w:bookmarkStart w:id="676" w:name="xdx_903_eus-gaap--StockIssuedDuringPerio"/>
      <w:bookmarkEnd w:id="676"/>
      <w:r>
        <w:rPr>
          <w:rFonts w:ascii="Times New Roman;Times;Serif" w:hAnsi="Times New Roman;Times;Serif"/>
          <w:b w:val="false"/>
          <w:i w:val="false"/>
          <w:caps w:val="false"/>
          <w:smallCaps w:val="false"/>
          <w:sz w:val="20"/>
        </w:rPr>
        <w:t>86,996 shares of common stock with exercise prices ranging from $</w:t>
      </w:r>
      <w:bookmarkStart w:id="677" w:name="xdx_901_eus-gaap--ShareBasedCompensation"/>
      <w:bookmarkEnd w:id="677"/>
      <w:r>
        <w:rPr>
          <w:rFonts w:ascii="Times New Roman;Times;Serif" w:hAnsi="Times New Roman;Times;Serif"/>
          <w:b w:val="false"/>
          <w:i w:val="false"/>
          <w:caps w:val="false"/>
          <w:smallCaps w:val="false"/>
          <w:sz w:val="20"/>
        </w:rPr>
        <w:t>1.70 to $</w:t>
      </w:r>
      <w:bookmarkStart w:id="678" w:name="xdx_904_eus-gaap--ShareBasedCompensation"/>
      <w:bookmarkEnd w:id="678"/>
      <w:r>
        <w:rPr>
          <w:rFonts w:ascii="Times New Roman;Times;Serif" w:hAnsi="Times New Roman;Times;Serif"/>
          <w:b w:val="false"/>
          <w:i w:val="false"/>
          <w:caps w:val="false"/>
          <w:smallCaps w:val="false"/>
          <w:sz w:val="20"/>
        </w:rPr>
        <w:t>12.38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issued </w:t>
      </w:r>
      <w:bookmarkStart w:id="679" w:name="xdx_90E_eus-gaap--StockIssuedDuringPerio"/>
      <w:bookmarkEnd w:id="679"/>
      <w:r>
        <w:rPr>
          <w:rFonts w:ascii="Times New Roman;Times;Serif" w:hAnsi="Times New Roman;Times;Serif"/>
          <w:b w:val="false"/>
          <w:i w:val="false"/>
          <w:caps w:val="false"/>
          <w:smallCaps w:val="false"/>
          <w:sz w:val="20"/>
        </w:rPr>
        <w:t xml:space="preserve">199 shares of common stock upon the cashless exercise of options to purchase </w:t>
      </w:r>
      <w:bookmarkStart w:id="680" w:name="xdx_90E_eus-gaap--StockIssuedDuringPerio"/>
      <w:bookmarkEnd w:id="680"/>
      <w:r>
        <w:rPr>
          <w:rFonts w:ascii="Times New Roman;Times;Serif" w:hAnsi="Times New Roman;Times;Serif"/>
          <w:b w:val="false"/>
          <w:i w:val="false"/>
          <w:caps w:val="false"/>
          <w:smallCaps w:val="false"/>
          <w:sz w:val="20"/>
        </w:rPr>
        <w:t>700 shares at an exercise price of $</w:t>
      </w:r>
      <w:bookmarkStart w:id="681" w:name="xdx_90B_eus-gaap--SharesIssuedPricePerSh"/>
      <w:bookmarkEnd w:id="681"/>
      <w:r>
        <w:rPr>
          <w:rFonts w:ascii="Times New Roman;Times;Serif" w:hAnsi="Times New Roman;Times;Serif"/>
          <w:b w:val="false"/>
          <w:i w:val="false"/>
          <w:caps w:val="false"/>
          <w:smallCaps w:val="false"/>
          <w:sz w:val="20"/>
        </w:rPr>
        <w:t>7.60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w:t>
      </w:r>
      <w:bookmarkStart w:id="682" w:name="xdx_901_eus-gaap--ShareBasedCompensation"/>
      <w:bookmarkEnd w:id="682"/>
      <w:r>
        <w:rPr>
          <w:rFonts w:ascii="Times New Roman;Times;Serif" w:hAnsi="Times New Roman;Times;Serif"/>
          <w:b w:val="false"/>
          <w:i w:val="false"/>
          <w:caps w:val="false"/>
          <w:smallCaps w:val="false"/>
          <w:sz w:val="20"/>
        </w:rPr>
        <w:t xml:space="preserve">45,000 RSUs granted in February 2021 to Andrew R. Boll, the Company’s Chief Financial Officer, vested, and </w:t>
      </w:r>
      <w:bookmarkStart w:id="683" w:name="xdx_90A_eus-gaap--StockIssuedDuringPerio"/>
      <w:bookmarkEnd w:id="683"/>
      <w:r>
        <w:rPr>
          <w:rFonts w:ascii="Times New Roman;Times;Serif" w:hAnsi="Times New Roman;Times;Serif"/>
          <w:b w:val="false"/>
          <w:i w:val="false"/>
          <w:caps w:val="false"/>
          <w:smallCaps w:val="false"/>
          <w:sz w:val="20"/>
        </w:rPr>
        <w:t xml:space="preserve">26,520 shares of the Company’s common stock were issued to Mr. Boll, net of </w:t>
      </w:r>
      <w:bookmarkStart w:id="684" w:name="xdx_904_eus-gaap--SharesPaidForTaxWithho"/>
      <w:bookmarkEnd w:id="684"/>
      <w:r>
        <w:rPr>
          <w:rFonts w:ascii="Times New Roman;Times;Serif" w:hAnsi="Times New Roman;Times;Serif"/>
          <w:b w:val="false"/>
          <w:i w:val="false"/>
          <w:caps w:val="false"/>
          <w:smallCaps w:val="false"/>
          <w:sz w:val="20"/>
        </w:rPr>
        <w:t>18,480 shares of common stock withheld for payroll tax withholdings totaling $</w:t>
      </w:r>
      <w:bookmarkStart w:id="685" w:name="xdx_900_eus-gaap--PaymentsRelatedToTaxWi"/>
      <w:bookmarkEnd w:id="685"/>
      <w:r>
        <w:rPr>
          <w:rFonts w:ascii="Times New Roman;Times;Serif" w:hAnsi="Times New Roman;Times;Serif"/>
          <w:b w:val="false"/>
          <w:i w:val="false"/>
          <w:caps w:val="false"/>
          <w:smallCaps w:val="false"/>
          <w:sz w:val="20"/>
        </w:rPr>
        <w:t>197,000.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w:t>
      </w:r>
      <w:bookmarkStart w:id="686" w:name="xdx_90C_eus-gaap--ShareBasedCompensation"/>
      <w:bookmarkEnd w:id="686"/>
      <w:r>
        <w:rPr>
          <w:rFonts w:ascii="Times New Roman;Times;Serif" w:hAnsi="Times New Roman;Times;Serif"/>
          <w:b w:val="false"/>
          <w:i w:val="false"/>
          <w:caps w:val="false"/>
          <w:smallCaps w:val="false"/>
          <w:sz w:val="20"/>
        </w:rPr>
        <w:t xml:space="preserve">150,000 RSUs granted in February 2021 to Mark L. Baum, the Company’s Chief Executive Officer, vested, and 90,164 shares of the Company’s common stock were issued to Mr. Baum, net of </w:t>
      </w:r>
      <w:bookmarkStart w:id="687" w:name="xdx_90B_eus-gaap--SharesPaidForTaxWithho"/>
      <w:bookmarkEnd w:id="687"/>
      <w:r>
        <w:rPr>
          <w:rFonts w:ascii="Times New Roman;Times;Serif" w:hAnsi="Times New Roman;Times;Serif"/>
          <w:b w:val="false"/>
          <w:i w:val="false"/>
          <w:caps w:val="false"/>
          <w:smallCaps w:val="false"/>
          <w:sz w:val="20"/>
        </w:rPr>
        <w:t>59,836 shares of common stock withheld for payroll tax withholdings totaling $</w:t>
      </w:r>
      <w:bookmarkStart w:id="688" w:name="xdx_906_eus-gaap--PaymentsRelatedToTaxWi"/>
      <w:bookmarkEnd w:id="688"/>
      <w:r>
        <w:rPr>
          <w:rFonts w:ascii="Times New Roman;Times;Serif" w:hAnsi="Times New Roman;Times;Serif"/>
          <w:b w:val="false"/>
          <w:i w:val="false"/>
          <w:caps w:val="false"/>
          <w:smallCaps w:val="false"/>
          <w:sz w:val="20"/>
        </w:rPr>
        <w:t>638,000.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w:t>
      </w:r>
      <w:bookmarkStart w:id="689" w:name="xdx_902_eus-gaap--ShareBasedCompensation"/>
      <w:bookmarkEnd w:id="689"/>
      <w:r>
        <w:rPr>
          <w:rFonts w:ascii="Times New Roman;Times;Serif" w:hAnsi="Times New Roman;Times;Serif"/>
          <w:b w:val="false"/>
          <w:i w:val="false"/>
          <w:caps w:val="false"/>
          <w:smallCaps w:val="false"/>
          <w:sz w:val="20"/>
        </w:rPr>
        <w:t xml:space="preserve">30,000 RSUs granted in February 2021 to John Saharek, the Company’s Chief Commercial Officer, vested, and </w:t>
      </w:r>
      <w:bookmarkStart w:id="690" w:name="xdx_90D_eus-gaap--StockIssuedDuringPerio"/>
      <w:bookmarkEnd w:id="690"/>
      <w:r>
        <w:rPr>
          <w:rFonts w:ascii="Times New Roman;Times;Serif" w:hAnsi="Times New Roman;Times;Serif"/>
          <w:b w:val="false"/>
          <w:i w:val="false"/>
          <w:caps w:val="false"/>
          <w:smallCaps w:val="false"/>
          <w:sz w:val="20"/>
        </w:rPr>
        <w:t xml:space="preserve">17,384 shares of the Company’s common stock were issued to Mr. Saharek, net of </w:t>
      </w:r>
      <w:bookmarkStart w:id="691" w:name="xdx_90A_eus-gaap--SharesPaidForTaxWithho"/>
      <w:bookmarkEnd w:id="691"/>
      <w:r>
        <w:rPr>
          <w:rFonts w:ascii="Times New Roman;Times;Serif" w:hAnsi="Times New Roman;Times;Serif"/>
          <w:b w:val="false"/>
          <w:i w:val="false"/>
          <w:caps w:val="false"/>
          <w:smallCaps w:val="false"/>
          <w:sz w:val="20"/>
        </w:rPr>
        <w:t>12,616 shares of common stock withheld for payroll tax withholdings totaling $</w:t>
      </w:r>
      <w:bookmarkStart w:id="692" w:name="xdx_903_eus-gaap--PaymentsRelatedToTaxWi"/>
      <w:bookmarkEnd w:id="692"/>
      <w:r>
        <w:rPr>
          <w:rFonts w:ascii="Times New Roman;Times;Serif" w:hAnsi="Times New Roman;Times;Serif"/>
          <w:b w:val="false"/>
          <w:i w:val="false"/>
          <w:caps w:val="false"/>
          <w:smallCaps w:val="false"/>
          <w:sz w:val="20"/>
        </w:rPr>
        <w:t>135,000.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w:t>
      </w:r>
      <w:bookmarkStart w:id="693" w:name="xdx_900_eus-gaap--ShareBasedCompensation"/>
      <w:bookmarkEnd w:id="693"/>
      <w:r>
        <w:rPr>
          <w:rFonts w:ascii="Times New Roman;Times;Serif" w:hAnsi="Times New Roman;Times;Serif"/>
          <w:b w:val="false"/>
          <w:i w:val="false"/>
          <w:caps w:val="false"/>
          <w:smallCaps w:val="false"/>
          <w:sz w:val="20"/>
        </w:rPr>
        <w:t xml:space="preserve">50,000 RSUs granted in February 2021 to various other employees, vested, and </w:t>
      </w:r>
      <w:bookmarkStart w:id="694" w:name="xdx_90D_eus-gaap--StockIssuedDuringPerio"/>
      <w:bookmarkEnd w:id="694"/>
      <w:r>
        <w:rPr>
          <w:rFonts w:ascii="Times New Roman;Times;Serif" w:hAnsi="Times New Roman;Times;Serif"/>
          <w:b w:val="false"/>
          <w:i w:val="false"/>
          <w:caps w:val="false"/>
          <w:smallCaps w:val="false"/>
          <w:sz w:val="20"/>
        </w:rPr>
        <w:t xml:space="preserve">32,452 shares of the Company’s common stock were issued, net of </w:t>
      </w:r>
      <w:bookmarkStart w:id="695" w:name="xdx_90D_eus-gaap--SharesPaidForTaxWithho"/>
      <w:bookmarkEnd w:id="695"/>
      <w:r>
        <w:rPr>
          <w:rFonts w:ascii="Times New Roman;Times;Serif" w:hAnsi="Times New Roman;Times;Serif"/>
          <w:b w:val="false"/>
          <w:i w:val="false"/>
          <w:caps w:val="false"/>
          <w:smallCaps w:val="false"/>
          <w:sz w:val="20"/>
        </w:rPr>
        <w:t>17,548 shares of common stock withheld for payroll tax withholdings totaling $</w:t>
      </w:r>
      <w:bookmarkStart w:id="696" w:name="xdx_900_eus-gaap--PaymentsRelatedToTaxWi"/>
      <w:bookmarkEnd w:id="696"/>
      <w:r>
        <w:rPr>
          <w:rFonts w:ascii="Times New Roman;Times;Serif" w:hAnsi="Times New Roman;Times;Serif"/>
          <w:b w:val="false"/>
          <w:i w:val="false"/>
          <w:caps w:val="false"/>
          <w:smallCaps w:val="false"/>
          <w:sz w:val="20"/>
        </w:rPr>
        <w:t>187,000.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issued </w:t>
      </w:r>
      <w:bookmarkStart w:id="697" w:name="xdx_904_eus-gaap--StockIssuedDuringPerio"/>
      <w:bookmarkEnd w:id="697"/>
      <w:r>
        <w:rPr>
          <w:rFonts w:ascii="Times New Roman;Times;Serif" w:hAnsi="Times New Roman;Times;Serif"/>
          <w:b w:val="false"/>
          <w:i w:val="false"/>
          <w:caps w:val="false"/>
          <w:smallCaps w:val="false"/>
          <w:sz w:val="20"/>
        </w:rPr>
        <w:t xml:space="preserve">57,517 shares of its common stock underlying RSUs held by directors that ceased providing services to the Company. The RSUs had previously vested, including </w:t>
      </w:r>
      <w:bookmarkStart w:id="698" w:name="xdx_907_eus-gaap--ShareBasedCompensation"/>
      <w:bookmarkEnd w:id="698"/>
      <w:r>
        <w:rPr>
          <w:rFonts w:ascii="Times New Roman;Times;Serif" w:hAnsi="Times New Roman;Times;Serif"/>
          <w:b w:val="false"/>
          <w:i w:val="false"/>
          <w:caps w:val="false"/>
          <w:smallCaps w:val="false"/>
          <w:sz w:val="20"/>
        </w:rPr>
        <w:t>3,872 RSUs that vested during the six months ended June 30, 2024, but the issuance and delivery of the shares were deferred until the director ceased providing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w:t>
      </w:r>
      <w:bookmarkStart w:id="699" w:name="xdx_900_eus-gaap--StockIssuedDuringPerio"/>
      <w:bookmarkEnd w:id="699"/>
      <w:r>
        <w:rPr>
          <w:rFonts w:ascii="Times New Roman;Times;Serif" w:hAnsi="Times New Roman;Times;Serif"/>
          <w:b w:val="false"/>
          <w:i w:val="false"/>
          <w:caps w:val="false"/>
          <w:smallCaps w:val="false"/>
          <w:sz w:val="20"/>
        </w:rPr>
        <w:t>23,016 shares of the Company’s common stock underlying RSUs issued to directors vested, but the issuance and delivery of these shares are deferred until the applicable directors cease providing services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 Option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which was subsequently amended on June 3, 2021 (as amended, the “2017 Plan” together with the 2007 Plan, the “Plans”). As of June 30, 2024, the 2017 Plan provides for the issuance of a maximum of </w:t>
      </w:r>
      <w:bookmarkStart w:id="700" w:name="xdx_901_eus-gaap--ShareBasedCompensation"/>
      <w:bookmarkEnd w:id="700"/>
      <w:r>
        <w:rPr>
          <w:rFonts w:ascii="Times New Roman;Times;Serif" w:hAnsi="Times New Roman;Times;Serif"/>
          <w:b w:val="false"/>
          <w:i w:val="false"/>
          <w:caps w:val="false"/>
          <w:smallCaps w:val="false"/>
          <w:sz w:val="20"/>
        </w:rPr>
        <w:t xml:space="preserve">6,000,000 shares of the Company’s common stock. The purpose of the Plans are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of 1986, as amended, non-qualified stock options, RSUs and restricted stock. The Plans are administered by the Compensation Committee of the Company’s Board of Directors. The Company had </w:t>
      </w:r>
      <w:bookmarkStart w:id="701" w:name="xdx_908_eus-gaap--CommonStockCapitalShar"/>
      <w:bookmarkEnd w:id="701"/>
      <w:r>
        <w:rPr>
          <w:rFonts w:ascii="Times New Roman;Times;Serif" w:hAnsi="Times New Roman;Times;Serif"/>
          <w:b w:val="false"/>
          <w:i w:val="false"/>
          <w:caps w:val="false"/>
          <w:smallCaps w:val="false"/>
          <w:sz w:val="20"/>
        </w:rPr>
        <w:t>173,219 shares available for future issuances under the 2017 Plan at June 30, 2024.</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2" w:name="xdx_896_eus-gaap--ScheduleOfShareBasedCo"/>
      <w:bookmarkEnd w:id="702"/>
      <w:r>
        <w:rPr>
          <w:rFonts w:ascii="Times New Roman;Times;Serif" w:hAnsi="Times New Roman;Times;Serif"/>
          <w:b w:val="false"/>
          <w:i w:val="false"/>
          <w:caps w:val="false"/>
          <w:smallCaps w:val="false"/>
          <w:sz w:val="20"/>
        </w:rPr>
        <w:t>A summary of stock option activity under the Plans for the six months ended June 30, 2024 is as follows:</w:t>
      </w:r>
    </w:p>
    <w:p>
      <w:pPr>
        <w:pStyle w:val="TextBody"/>
        <w:bidi w:val="0"/>
        <w:spacing w:before="0" w:after="0"/>
        <w:ind w:left="0" w:right="0" w:hanging="0"/>
        <w:jc w:val="left"/>
        <w:rPr>
          <w:caps w:val="false"/>
          <w:smallCaps w:val="false"/>
        </w:rPr>
      </w:pPr>
      <w:r>
        <w:rPr>
          <w:caps w:val="false"/>
          <w:smallCaps w:val="false"/>
        </w:rPr>
        <w:t> </w:t>
      </w:r>
      <w:bookmarkStart w:id="703" w:name="xdx_8B5_zN77CFoq3SLc"/>
      <w:bookmarkEnd w:id="703"/>
      <w:r>
        <w:rPr>
          <w:rFonts w:ascii="Times New Roman;Times;Serif" w:hAnsi="Times New Roman;Times;Serif"/>
          <w:b w:val="false"/>
          <w:i w:val="false"/>
          <w:caps w:val="false"/>
          <w:smallCaps w:val="false"/>
          <w:sz w:val="20"/>
        </w:rPr>
        <w:t>SCHEDULE OF STOCK OPTION PLAN ACTIVITY</w:t>
      </w:r>
    </w:p>
    <w:tbl>
      <w:tblPr>
        <w:tblW w:w="10205" w:type="dxa"/>
        <w:jc w:val="left"/>
        <w:tblInd w:w="0" w:type="dxa"/>
        <w:tblLayout w:type="fixed"/>
        <w:tblCellMar>
          <w:top w:w="0" w:type="dxa"/>
          <w:left w:w="0" w:type="dxa"/>
          <w:bottom w:w="0" w:type="dxa"/>
          <w:right w:w="0" w:type="dxa"/>
        </w:tblCellMar>
      </w:tblPr>
      <w:tblGrid>
        <w:gridCol w:w="2084"/>
        <w:gridCol w:w="60"/>
        <w:gridCol w:w="77"/>
        <w:gridCol w:w="1274"/>
        <w:gridCol w:w="95"/>
        <w:gridCol w:w="60"/>
        <w:gridCol w:w="378"/>
        <w:gridCol w:w="1514"/>
        <w:gridCol w:w="60"/>
        <w:gridCol w:w="60"/>
        <w:gridCol w:w="309"/>
        <w:gridCol w:w="2273"/>
        <w:gridCol w:w="60"/>
        <w:gridCol w:w="60"/>
        <w:gridCol w:w="198"/>
        <w:gridCol w:w="1563"/>
        <w:gridCol w:w="80"/>
      </w:tblGrid>
      <w:tr>
        <w:trPr/>
        <w:tc>
          <w:tcPr>
            <w:tcW w:w="20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 Intrinsic Value</w:t>
            </w:r>
          </w:p>
        </w:tc>
        <w:tc>
          <w:tcPr>
            <w:tcW w:w="80" w:type="dxa"/>
            <w:tcBorders/>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outstanding – January 1, 2024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704" w:name="xdx_98B_eus-gaap--ShareBasedCompensation"/>
            <w:bookmarkEnd w:id="704"/>
          </w:p>
        </w:tc>
        <w:tc>
          <w:tcPr>
            <w:tcW w:w="1274" w:type="dxa"/>
            <w:tcBorders/>
            <w:shd w:fill="CCEEFF" w:val="clear"/>
            <w:vAlign w:val="center"/>
          </w:tcPr>
          <w:p>
            <w:pPr>
              <w:pStyle w:val="TableContents"/>
              <w:bidi w:val="0"/>
              <w:spacing w:before="0" w:after="283"/>
              <w:jc w:val="right"/>
              <w:rPr/>
            </w:pPr>
            <w:r>
              <w:rPr/>
              <w:t>2,711,317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705" w:name="xdx_989_eus-gaap--ShareBasedCompensation"/>
            <w:bookmarkEnd w:id="705"/>
          </w:p>
        </w:tc>
        <w:tc>
          <w:tcPr>
            <w:tcW w:w="1514" w:type="dxa"/>
            <w:tcBorders/>
            <w:shd w:fill="CCEEFF" w:val="clear"/>
            <w:vAlign w:val="center"/>
          </w:tcPr>
          <w:p>
            <w:pPr>
              <w:pStyle w:val="TableContents"/>
              <w:bidi w:val="0"/>
              <w:spacing w:before="0" w:after="283"/>
              <w:jc w:val="right"/>
              <w:rPr/>
            </w:pPr>
            <w:r>
              <w:rPr/>
              <w:t>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706" w:name="xdx_983_eus-gaap--ShareBasedCompensation"/>
            <w:bookmarkEnd w:id="706"/>
          </w:p>
        </w:tc>
        <w:tc>
          <w:tcPr>
            <w:tcW w:w="1274" w:type="dxa"/>
            <w:tcBorders/>
            <w:shd w:fill="FFFFFF" w:val="clear"/>
            <w:vAlign w:val="center"/>
          </w:tcPr>
          <w:p>
            <w:pPr>
              <w:pStyle w:val="TableContents"/>
              <w:bidi w:val="0"/>
              <w:spacing w:before="0" w:after="283"/>
              <w:jc w:val="right"/>
              <w:rPr/>
            </w:pPr>
            <w:r>
              <w:rPr/>
              <w:t>105,500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707" w:name="xdx_98B_eus-gaap--ShareBasedCompensation"/>
            <w:bookmarkEnd w:id="707"/>
          </w:p>
        </w:tc>
        <w:tc>
          <w:tcPr>
            <w:tcW w:w="1514" w:type="dxa"/>
            <w:tcBorders/>
            <w:shd w:fill="FFFFFF" w:val="clear"/>
            <w:vAlign w:val="center"/>
          </w:tcPr>
          <w:p>
            <w:pPr>
              <w:pStyle w:val="TableContents"/>
              <w:bidi w:val="0"/>
              <w:spacing w:before="0" w:after="283"/>
              <w:jc w:val="right"/>
              <w:rPr/>
            </w:pPr>
            <w:r>
              <w:rPr/>
              <w:t>10.13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708" w:name="xdx_98B_eus-gaap--StockIssuedDuringPerio"/>
            <w:bookmarkEnd w:id="708"/>
          </w:p>
        </w:tc>
        <w:tc>
          <w:tcPr>
            <w:tcW w:w="1274" w:type="dxa"/>
            <w:tcBorders/>
            <w:shd w:fill="CCEEFF" w:val="clear"/>
            <w:vAlign w:val="center"/>
          </w:tcPr>
          <w:p>
            <w:pPr>
              <w:pStyle w:val="TableContents"/>
              <w:bidi w:val="0"/>
              <w:spacing w:before="0" w:after="283"/>
              <w:jc w:val="right"/>
              <w:rPr/>
            </w:pPr>
            <w:r>
              <w:rPr/>
              <w:t>(87,696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709" w:name="xdx_98A_eus-gaap--ShareBasedCompensation"/>
            <w:bookmarkEnd w:id="709"/>
          </w:p>
        </w:tc>
        <w:tc>
          <w:tcPr>
            <w:tcW w:w="1514" w:type="dxa"/>
            <w:tcBorders/>
            <w:shd w:fill="CCEEFF" w:val="clear"/>
            <w:vAlign w:val="center"/>
          </w:tcPr>
          <w:p>
            <w:pPr>
              <w:pStyle w:val="TableContents"/>
              <w:bidi w:val="0"/>
              <w:spacing w:before="0" w:after="283"/>
              <w:jc w:val="right"/>
              <w:rPr/>
            </w:pPr>
            <w:r>
              <w:rPr/>
              <w:t>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56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cancelled/forfeited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10" w:name="xdx_98C_eus-gaap--ShareBasedCompensation"/>
            <w:bookmarkEnd w:id="710"/>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(79,938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711" w:name="xdx_984_eus-gaap--ShareBasedCompensation"/>
            <w:bookmarkEnd w:id="711"/>
          </w:p>
        </w:tc>
        <w:tc>
          <w:tcPr>
            <w:tcW w:w="1514" w:type="dxa"/>
            <w:tcBorders/>
            <w:shd w:fill="FFFFFF" w:val="clear"/>
            <w:vAlign w:val="center"/>
          </w:tcPr>
          <w:p>
            <w:pPr>
              <w:pStyle w:val="TableContents"/>
              <w:bidi w:val="0"/>
              <w:spacing w:before="0" w:after="283"/>
              <w:jc w:val="right"/>
              <w:rPr/>
            </w:pPr>
            <w:r>
              <w:rPr/>
              <w:t>13.95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56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outstanding – June 30, 2024</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712" w:name="xdx_983_eus-gaap--ShareBasedCompensation"/>
            <w:bookmarkEnd w:id="712"/>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2,649,183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713" w:name="xdx_981_eus-gaap--ShareBasedCompensation"/>
            <w:bookmarkEnd w:id="713"/>
          </w:p>
        </w:tc>
        <w:tc>
          <w:tcPr>
            <w:tcW w:w="1514" w:type="dxa"/>
            <w:tcBorders/>
            <w:shd w:fill="CCEEFF" w:val="clear"/>
            <w:vAlign w:val="center"/>
          </w:tcPr>
          <w:p>
            <w:pPr>
              <w:pStyle w:val="TableContents"/>
              <w:bidi w:val="0"/>
              <w:spacing w:before="0" w:after="283"/>
              <w:jc w:val="right"/>
              <w:rPr/>
            </w:pPr>
            <w:r>
              <w:rPr/>
              <w:t>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bookmarkStart w:id="714" w:name="xdx_901_eus-gaap--SharebasedCompensation"/>
            <w:bookmarkEnd w:id="714"/>
            <w:r>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bookmarkStart w:id="715" w:name="xdx_98F_eus-gaap--ShareBasedCompensation"/>
            <w:bookmarkEnd w:id="715"/>
          </w:p>
        </w:tc>
        <w:tc>
          <w:tcPr>
            <w:tcW w:w="1563" w:type="dxa"/>
            <w:tcBorders/>
            <w:shd w:fill="CCEEFF" w:val="clear"/>
            <w:vAlign w:val="center"/>
          </w:tcPr>
          <w:p>
            <w:pPr>
              <w:pStyle w:val="TableContents"/>
              <w:bidi w:val="0"/>
              <w:spacing w:before="0" w:after="283"/>
              <w:jc w:val="right"/>
              <w:rPr/>
            </w:pPr>
            <w:r>
              <w:rPr/>
              <w:t>39,021,000</w:t>
            </w:r>
          </w:p>
        </w:tc>
        <w:tc>
          <w:tcPr>
            <w:tcW w:w="80" w:type="dxa"/>
            <w:tcBorders/>
            <w:shd w:fill="CCEEFF" w:val="clear"/>
            <w:vAlign w:val="center"/>
          </w:tcPr>
          <w:p>
            <w:pPr>
              <w:pStyle w:val="TableContents"/>
              <w:bidi w:val="0"/>
              <w:spacing w:before="0" w:after="283"/>
              <w:jc w:val="left"/>
              <w:rPr/>
            </w:pPr>
            <w:r>
              <w:rPr/>
              <w:t> </w:t>
            </w:r>
          </w:p>
        </w:tc>
      </w:tr>
      <w:tr>
        <w:trPr/>
        <w:tc>
          <w:tcPr>
            <w:tcW w:w="2084" w:type="dxa"/>
            <w:tcBorders/>
            <w:shd w:fill="FFFFFF" w:val="clear"/>
            <w:vAlign w:val="center"/>
          </w:tcPr>
          <w:p>
            <w:pPr>
              <w:pStyle w:val="TableContents"/>
              <w:bidi w:val="0"/>
              <w:spacing w:before="0" w:after="283"/>
              <w:jc w:val="left"/>
              <w:rPr/>
            </w:pPr>
            <w:r>
              <w:rPr/>
              <w:t>Options exercisable</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716" w:name="xdx_985_eus-gaap--ShareBasedCompensation"/>
            <w:bookmarkEnd w:id="716"/>
          </w:p>
        </w:tc>
        <w:tc>
          <w:tcPr>
            <w:tcW w:w="1274" w:type="dxa"/>
            <w:tcBorders>
              <w:bottom w:val="single" w:sz="12" w:space="0" w:color="000000"/>
            </w:tcBorders>
            <w:shd w:fill="FFFFFF" w:val="clear"/>
            <w:tcMar>
              <w:bottom w:w="28" w:type="dxa"/>
            </w:tcMar>
            <w:vAlign w:val="center"/>
          </w:tcPr>
          <w:p>
            <w:pPr>
              <w:pStyle w:val="TableContents"/>
              <w:bidi w:val="0"/>
              <w:spacing w:before="0" w:after="283"/>
              <w:jc w:val="right"/>
              <w:rPr/>
            </w:pPr>
            <w:r>
              <w:rPr/>
              <w:t>2,382,865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w:t>
            </w:r>
            <w:bookmarkStart w:id="717" w:name="xdx_983_eus-gaap--ShareBasedCompensation"/>
            <w:bookmarkEnd w:id="717"/>
          </w:p>
        </w:tc>
        <w:tc>
          <w:tcPr>
            <w:tcW w:w="1514" w:type="dxa"/>
            <w:tcBorders/>
            <w:shd w:fill="FFFFFF" w:val="clear"/>
            <w:vAlign w:val="center"/>
          </w:tcPr>
          <w:p>
            <w:pPr>
              <w:pStyle w:val="TableContents"/>
              <w:bidi w:val="0"/>
              <w:spacing w:before="0" w:after="283"/>
              <w:jc w:val="right"/>
              <w:rPr/>
            </w:pPr>
            <w:r>
              <w:rPr/>
              <w:t>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pPr>
            <w:r>
              <w:rPr/>
              <w:t> </w:t>
            </w:r>
          </w:p>
        </w:tc>
        <w:tc>
          <w:tcPr>
            <w:tcW w:w="2273" w:type="dxa"/>
            <w:tcBorders/>
            <w:shd w:fill="FFFFFF" w:val="clear"/>
            <w:vAlign w:val="center"/>
          </w:tcPr>
          <w:p>
            <w:pPr>
              <w:pStyle w:val="TableContents"/>
              <w:bidi w:val="0"/>
              <w:spacing w:before="0" w:after="283"/>
              <w:jc w:val="right"/>
              <w:rPr/>
            </w:pPr>
            <w:bookmarkStart w:id="718" w:name="xdx_907_eus-gaap--SharebasedCompensation"/>
            <w:bookmarkEnd w:id="718"/>
            <w:r>
              <w:rPr/>
              <w:t>3.03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w:t>
            </w:r>
            <w:bookmarkStart w:id="719" w:name="xdx_982_eus-gaap--SharebasedCompensation"/>
            <w:bookmarkEnd w:id="719"/>
          </w:p>
        </w:tc>
        <w:tc>
          <w:tcPr>
            <w:tcW w:w="1563" w:type="dxa"/>
            <w:tcBorders/>
            <w:shd w:fill="FFFFFF" w:val="clear"/>
            <w:vAlign w:val="center"/>
          </w:tcPr>
          <w:p>
            <w:pPr>
              <w:pStyle w:val="TableContents"/>
              <w:bidi w:val="0"/>
              <w:spacing w:before="0" w:after="283"/>
              <w:jc w:val="right"/>
              <w:rPr/>
            </w:pPr>
            <w:r>
              <w:rPr/>
              <w:t>36,398,000</w:t>
            </w:r>
          </w:p>
        </w:tc>
        <w:tc>
          <w:tcPr>
            <w:tcW w:w="80" w:type="dxa"/>
            <w:tcBorders/>
            <w:shd w:fill="FFFFFF" w:val="clear"/>
            <w:vAlign w:val="center"/>
          </w:tcPr>
          <w:p>
            <w:pPr>
              <w:pStyle w:val="TableContents"/>
              <w:bidi w:val="0"/>
              <w:spacing w:before="0" w:after="283"/>
              <w:jc w:val="left"/>
              <w:rPr/>
            </w:pPr>
            <w:r>
              <w:rPr/>
              <w:t> </w:t>
            </w:r>
          </w:p>
        </w:tc>
      </w:tr>
      <w:tr>
        <w:trPr/>
        <w:tc>
          <w:tcPr>
            <w:tcW w:w="2084" w:type="dxa"/>
            <w:tcBorders/>
            <w:shd w:fill="CCEEFF" w:val="clear"/>
            <w:vAlign w:val="center"/>
          </w:tcPr>
          <w:p>
            <w:pPr>
              <w:pStyle w:val="TableContents"/>
              <w:bidi w:val="0"/>
              <w:spacing w:before="0" w:after="283"/>
              <w:jc w:val="left"/>
              <w:rPr/>
            </w:pPr>
            <w:r>
              <w:rPr/>
              <w:t>Options vested and expected to vest</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20" w:name="xdx_989_eus-gaap--ShareBasedCompensation"/>
            <w:bookmarkEnd w:id="720"/>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r>
              <w:rPr/>
              <w:t>2,612,254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bookmarkStart w:id="721" w:name="xdx_982_eus-gaap--ShareBasedCompensation"/>
            <w:bookmarkEnd w:id="721"/>
          </w:p>
        </w:tc>
        <w:tc>
          <w:tcPr>
            <w:tcW w:w="1514" w:type="dxa"/>
            <w:tcBorders/>
            <w:shd w:fill="CCEEFF" w:val="clear"/>
            <w:vAlign w:val="center"/>
          </w:tcPr>
          <w:p>
            <w:pPr>
              <w:pStyle w:val="TableContents"/>
              <w:bidi w:val="0"/>
              <w:spacing w:before="0" w:after="283"/>
              <w:jc w:val="right"/>
              <w:rPr/>
            </w:pPr>
            <w:r>
              <w:rPr/>
              <w:t>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2273" w:type="dxa"/>
            <w:tcBorders/>
            <w:shd w:fill="CCEEFF" w:val="clear"/>
            <w:vAlign w:val="center"/>
          </w:tcPr>
          <w:p>
            <w:pPr>
              <w:pStyle w:val="TableContents"/>
              <w:bidi w:val="0"/>
              <w:spacing w:before="0" w:after="283"/>
              <w:jc w:val="right"/>
              <w:rPr/>
            </w:pPr>
            <w:bookmarkStart w:id="722" w:name="xdx_904_eus-gaap--SharebasedCompensation"/>
            <w:bookmarkEnd w:id="722"/>
            <w:r>
              <w:rPr/>
              <w:t>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bookmarkStart w:id="723" w:name="xdx_983_eus-gaap--ShareBasedCompensation"/>
            <w:bookmarkEnd w:id="723"/>
          </w:p>
        </w:tc>
        <w:tc>
          <w:tcPr>
            <w:tcW w:w="1563" w:type="dxa"/>
            <w:tcBorders/>
            <w:shd w:fill="CCEEFF" w:val="clear"/>
            <w:vAlign w:val="center"/>
          </w:tcPr>
          <w:p>
            <w:pPr>
              <w:pStyle w:val="TableContents"/>
              <w:bidi w:val="0"/>
              <w:spacing w:before="0" w:after="283"/>
              <w:jc w:val="right"/>
              <w:rPr/>
            </w:pPr>
            <w:r>
              <w:rPr/>
              <w:t>38,667,000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4" w:name="xdx_8A0_zmxvJUO9Rr3e"/>
      <w:bookmarkEnd w:id="72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in the table above represents the total pre-tax amount of the proceeds, net of exercise price, which would have been received by option holders if all option holders had exercised and immediately sold all shares underlying options with an exercise price lower than the market price on June 28, 2024, based on the closing price of the Company’s common stock of $</w:t>
      </w:r>
      <w:bookmarkStart w:id="725" w:name="xdx_907_eus-gaap--SharePrice_iI_pid_c202"/>
      <w:bookmarkEnd w:id="725"/>
      <w:r>
        <w:rPr>
          <w:rFonts w:ascii="Times New Roman;Times;Serif" w:hAnsi="Times New Roman;Times;Serif"/>
          <w:b w:val="false"/>
          <w:i w:val="false"/>
          <w:caps w:val="false"/>
          <w:smallCaps w:val="false"/>
          <w:sz w:val="20"/>
        </w:rPr>
        <w:t>20.89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2024, the Company granted stock options to certain employees. </w:t>
      </w:r>
      <w:bookmarkStart w:id="726" w:name="xdx_903_eus-gaap--ShareBasedCompensation"/>
      <w:bookmarkEnd w:id="726"/>
      <w:r>
        <w:rPr>
          <w:rFonts w:ascii="Times New Roman;Times;Serif" w:hAnsi="Times New Roman;Times;Serif"/>
          <w:b w:val="false"/>
          <w:i w:val="false"/>
          <w:caps w:val="false"/>
          <w:smallCaps w:val="false"/>
          <w:sz w:val="20"/>
        </w:rPr>
        <w:t>The stock options were granted with an exercise price equal to the current market price of the Company’s common stock, as reported by the securities exchange on which the common stock was then listed, at the grant date and have contractual terms of ten years. Vesting terms for options granted to employees during the six months ended June 30, 2024 included the following vesting schedule: 25% of the shares subject to the option vest and become exercisable on the first anniversary of the grant date and the remaining 75% of the shares subject to the option vest and become exercisable quarterly in equal installments thereafter over three years. Certain option awards provide for accelerated vesting if there is a change in control (as defined in the Plans) and in the event of certain modifications to the option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option award is estimated on the date of grant using the Black-Scholes-Merton option pricing model.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w:t>
      </w:r>
      <w:bookmarkStart w:id="727" w:name="xdx_90D_ecustom--ShareBasedCompensationA"/>
      <w:bookmarkEnd w:id="727"/>
      <w:r>
        <w:rPr>
          <w:rFonts w:ascii="Times New Roman;Times;Serif" w:hAnsi="Times New Roman;Times;Serif"/>
          <w:b w:val="false"/>
          <w:i w:val="false"/>
          <w:caps w:val="false"/>
          <w:smallCaps w:val="false"/>
          <w:sz w:val="20"/>
        </w:rPr>
        <w:t>10%. These factors could change in the future, which would affect the determination of stock-based compensation expense in future periods. Utilizing these assumptions, the fair value is determined at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8" w:name="xdx_89E_eus-gaap--ScheduleOfShareBasedPa"/>
      <w:bookmarkEnd w:id="728"/>
      <w:r>
        <w:rPr>
          <w:rFonts w:ascii="Times New Roman;Times;Serif" w:hAnsi="Times New Roman;Times;Serif"/>
          <w:b w:val="false"/>
          <w:i w:val="false"/>
          <w:caps w:val="false"/>
          <w:smallCaps w:val="false"/>
          <w:sz w:val="20"/>
        </w:rPr>
        <w:t>The table below illustrates the fair value per share determined using the Black-Scholes-Merton option pricing model with the following assumptions used for valuing options granted to employees:</w:t>
      </w:r>
    </w:p>
    <w:p>
      <w:pPr>
        <w:pStyle w:val="TextBody"/>
        <w:bidi w:val="0"/>
        <w:spacing w:before="0" w:after="0"/>
        <w:ind w:left="0" w:right="0" w:hanging="0"/>
        <w:jc w:val="both"/>
        <w:rPr>
          <w:caps w:val="false"/>
          <w:smallCaps w:val="false"/>
        </w:rPr>
      </w:pPr>
      <w:r>
        <w:rPr>
          <w:caps w:val="false"/>
          <w:smallCaps w:val="false"/>
        </w:rPr>
        <w:t> </w:t>
      </w:r>
      <w:bookmarkStart w:id="729" w:name="xdx_8B0_zQE3jkavccnb"/>
      <w:bookmarkEnd w:id="729"/>
      <w:r>
        <w:rPr>
          <w:rFonts w:ascii="Times New Roman;Times;Serif" w:hAnsi="Times New Roman;Times;Serif"/>
          <w:b w:val="false"/>
          <w:i w:val="false"/>
          <w:caps w:val="false"/>
          <w:smallCaps w:val="false"/>
          <w:sz w:val="20"/>
        </w:rPr>
        <w:t>SCHEDULE OF FAIR VALUE ASSUMPTIONS</w:t>
      </w:r>
    </w:p>
    <w:tbl>
      <w:tblPr>
        <w:tblW w:w="5705" w:type="dxa"/>
        <w:jc w:val="left"/>
        <w:tblInd w:w="0" w:type="dxa"/>
        <w:tblLayout w:type="fixed"/>
        <w:tblCellMar>
          <w:top w:w="0" w:type="dxa"/>
          <w:left w:w="0" w:type="dxa"/>
          <w:bottom w:w="0" w:type="dxa"/>
          <w:right w:w="0" w:type="dxa"/>
        </w:tblCellMar>
      </w:tblPr>
      <w:tblGrid>
        <w:gridCol w:w="4475"/>
        <w:gridCol w:w="60"/>
        <w:gridCol w:w="140"/>
        <w:gridCol w:w="800"/>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Weighted-average fair value of options granted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0" w:name="xdx_987_eus-gaap--ShareBasedCompensation"/>
            <w:bookmarkEnd w:id="730"/>
          </w:p>
        </w:tc>
        <w:tc>
          <w:tcPr>
            <w:tcW w:w="800" w:type="dxa"/>
            <w:tcBorders/>
            <w:shd w:fill="CCEEFF" w:val="clear"/>
            <w:vAlign w:val="center"/>
          </w:tcPr>
          <w:p>
            <w:pPr>
              <w:pStyle w:val="TableContents"/>
              <w:bidi w:val="0"/>
              <w:spacing w:before="0" w:after="283"/>
              <w:jc w:val="right"/>
              <w:rPr/>
            </w:pPr>
            <w:r>
              <w:rPr/>
              <w:t>6.57</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Expected terms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731" w:name="xdx_90C_eus-gaap--SharebasedCompensation"/>
            <w:bookmarkEnd w:id="731"/>
            <w:r>
              <w:rPr/>
              <w:t>6.11</w:t>
            </w:r>
          </w:p>
        </w:tc>
        <w:tc>
          <w:tcPr>
            <w:tcW w:w="23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732" w:name="xdx_909_eus-gaap--ShareBasedCompensation"/>
            <w:bookmarkEnd w:id="732"/>
            <w:r>
              <w:rPr/>
              <w:t>68</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733" w:name="xdx_90B_eus-gaap--ShareBasedCompensation"/>
            <w:bookmarkEnd w:id="733"/>
            <w:r>
              <w:rPr>
                <w:rFonts w:ascii="Times New Roman;Times;Serif" w:hAnsi="Times New Roman;Times;Serif"/>
                <w:sz w:val="20"/>
              </w:rPr>
              <w:t>4.06-</w:t>
            </w:r>
            <w:bookmarkStart w:id="734" w:name="xdx_909_eus-gaap--ShareBasedCompensation"/>
            <w:bookmarkEnd w:id="734"/>
            <w:r>
              <w:rPr>
                <w:rFonts w:ascii="Times New Roman;Times;Serif" w:hAnsi="Times New Roman;Times;Serif"/>
                <w:sz w:val="20"/>
              </w:rPr>
              <w:t>4.48</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Dividend yield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35" w:name="xdx_986_eus-gaap--ShareBasedCompensation"/>
            <w:bookmarkEnd w:id="735"/>
          </w:p>
        </w:tc>
        <w:tc>
          <w:tcPr>
            <w:tcW w:w="80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36" w:name="xdx_8AF_zOLGhLKPRKce"/>
      <w:bookmarkEnd w:id="736"/>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7" w:name="xdx_89A_eus-gaap--ScheduleOfShareBasedCo"/>
      <w:bookmarkEnd w:id="737"/>
      <w:r>
        <w:rPr>
          <w:rFonts w:ascii="Times New Roman;Times;Serif" w:hAnsi="Times New Roman;Times;Serif"/>
          <w:b w:val="false"/>
          <w:i w:val="false"/>
          <w:caps w:val="false"/>
          <w:smallCaps w:val="false"/>
          <w:sz w:val="20"/>
        </w:rPr>
        <w:t>The following table summarizes information about stock options outstanding and exercisable at June 30,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738" w:name="xdx_8BC_zZmaPKP60m85"/>
      <w:bookmarkEnd w:id="738"/>
      <w:r>
        <w:rPr>
          <w:rFonts w:ascii="Times New Roman;Times;Serif" w:hAnsi="Times New Roman;Times;Serif"/>
          <w:b w:val="false"/>
          <w:i w:val="false"/>
          <w:caps w:val="false"/>
          <w:smallCaps w:val="false"/>
          <w:sz w:val="20"/>
        </w:rPr>
        <w:t>SCHEDULE OF STOCK OPTION OUTSTANDING AND EXERCISABLE </w:t>
      </w:r>
    </w:p>
    <w:tbl>
      <w:tblPr>
        <w:tblW w:w="10205" w:type="dxa"/>
        <w:jc w:val="left"/>
        <w:tblInd w:w="0" w:type="dxa"/>
        <w:tblLayout w:type="fixed"/>
        <w:tblCellMar>
          <w:top w:w="0" w:type="dxa"/>
          <w:left w:w="0" w:type="dxa"/>
          <w:bottom w:w="0" w:type="dxa"/>
          <w:right w:w="0" w:type="dxa"/>
        </w:tblCellMar>
      </w:tblPr>
      <w:tblGrid>
        <w:gridCol w:w="1668"/>
        <w:gridCol w:w="60"/>
        <w:gridCol w:w="97"/>
        <w:gridCol w:w="1613"/>
        <w:gridCol w:w="60"/>
        <w:gridCol w:w="60"/>
        <w:gridCol w:w="404"/>
        <w:gridCol w:w="2968"/>
        <w:gridCol w:w="60"/>
        <w:gridCol w:w="60"/>
        <w:gridCol w:w="204"/>
        <w:gridCol w:w="646"/>
        <w:gridCol w:w="60"/>
        <w:gridCol w:w="60"/>
        <w:gridCol w:w="64"/>
        <w:gridCol w:w="1060"/>
        <w:gridCol w:w="64"/>
        <w:gridCol w:w="64"/>
        <w:gridCol w:w="204"/>
        <w:gridCol w:w="646"/>
        <w:gridCol w:w="83"/>
      </w:tblGrid>
      <w:tr>
        <w:trPr/>
        <w:tc>
          <w:tcPr>
            <w:tcW w:w="16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17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Options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Options Exercisable</w:t>
            </w:r>
          </w:p>
        </w:tc>
        <w:tc>
          <w:tcPr>
            <w:tcW w:w="83" w:type="dxa"/>
            <w:tcBorders/>
            <w:vAlign w:val="center"/>
          </w:tcPr>
          <w:p>
            <w:pPr>
              <w:pStyle w:val="TableContents"/>
              <w:bidi w:val="0"/>
              <w:spacing w:before="0" w:after="283"/>
              <w:jc w:val="left"/>
              <w:rPr/>
            </w:pPr>
            <w:r>
              <w:rPr/>
              <w:t> </w:t>
            </w:r>
          </w:p>
        </w:tc>
      </w:tr>
      <w:tr>
        <w:trPr/>
        <w:tc>
          <w:tcPr>
            <w:tcW w:w="1668" w:type="dxa"/>
            <w:tcBorders>
              <w:bottom w:val="single" w:sz="12" w:space="0" w:color="000000"/>
            </w:tcBorders>
            <w:tcMar>
              <w:bottom w:w="28" w:type="dxa"/>
            </w:tcMar>
            <w:vAlign w:val="center"/>
          </w:tcPr>
          <w:p>
            <w:pPr>
              <w:pStyle w:val="TableContents"/>
              <w:bidi w:val="0"/>
              <w:spacing w:before="0" w:after="283"/>
              <w:jc w:val="center"/>
              <w:rPr>
                <w:b/>
              </w:rPr>
            </w:pPr>
            <w:r>
              <w:rPr>
                <w:b/>
              </w:rPr>
              <w:t>Range of Exercise Prices</w:t>
            </w:r>
          </w:p>
        </w:tc>
        <w:tc>
          <w:tcPr>
            <w:tcW w:w="60" w:type="dxa"/>
            <w:tcBorders/>
            <w:vAlign w:val="center"/>
          </w:tcPr>
          <w:p>
            <w:pPr>
              <w:pStyle w:val="TableContents"/>
              <w:bidi w:val="0"/>
              <w:spacing w:before="0" w:after="283"/>
              <w:jc w:val="left"/>
              <w:rPr/>
            </w:pPr>
            <w:r>
              <w:rPr/>
              <w:t> </w:t>
            </w:r>
          </w:p>
        </w:tc>
        <w:tc>
          <w:tcPr>
            <w:tcW w:w="17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83" w:type="dxa"/>
            <w:tcBorders/>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739" w:name="xdx_904_eus-gaap--ShareBasedCompensation"/>
            <w:bookmarkEnd w:id="739"/>
            <w:r>
              <w:rPr/>
              <w:t>1.47 - $</w:t>
            </w:r>
            <w:bookmarkStart w:id="740" w:name="xdx_907_eus-gaap--ShareBasedCompensation"/>
            <w:bookmarkEnd w:id="740"/>
            <w:r>
              <w:rPr/>
              <w:t>1.73</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741" w:name="xdx_980_eus-gaap--ShareBasedCompensation"/>
            <w:bookmarkEnd w:id="741"/>
          </w:p>
        </w:tc>
        <w:tc>
          <w:tcPr>
            <w:tcW w:w="1613" w:type="dxa"/>
            <w:tcBorders/>
            <w:shd w:fill="CCEEFF" w:val="clear"/>
            <w:vAlign w:val="center"/>
          </w:tcPr>
          <w:p>
            <w:pPr>
              <w:pStyle w:val="TableContents"/>
              <w:bidi w:val="0"/>
              <w:spacing w:before="0" w:after="283"/>
              <w:jc w:val="right"/>
              <w:rPr/>
            </w:pPr>
            <w:r>
              <w:rPr/>
              <w:t>287,852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742" w:name="xdx_900_eus-gaap--SharebasedCompensation"/>
            <w:bookmarkEnd w:id="742"/>
            <w:r>
              <w:rPr/>
              <w:t>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43" w:name="xdx_985_eus-gaap--SharebasedCompensation"/>
            <w:bookmarkEnd w:id="743"/>
          </w:p>
        </w:tc>
        <w:tc>
          <w:tcPr>
            <w:tcW w:w="646" w:type="dxa"/>
            <w:tcBorders/>
            <w:shd w:fill="CCEEFF" w:val="clear"/>
            <w:vAlign w:val="center"/>
          </w:tcPr>
          <w:p>
            <w:pPr>
              <w:pStyle w:val="TableContents"/>
              <w:bidi w:val="0"/>
              <w:spacing w:before="0" w:after="283"/>
              <w:jc w:val="right"/>
              <w:rPr/>
            </w:pPr>
            <w:r>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44" w:name="xdx_980_eus-gaap--ShareBasedCompensation"/>
            <w:bookmarkEnd w:id="744"/>
          </w:p>
        </w:tc>
        <w:tc>
          <w:tcPr>
            <w:tcW w:w="1060" w:type="dxa"/>
            <w:tcBorders/>
            <w:shd w:fill="CCEEFF" w:val="clear"/>
            <w:vAlign w:val="center"/>
          </w:tcPr>
          <w:p>
            <w:pPr>
              <w:pStyle w:val="TableContents"/>
              <w:bidi w:val="0"/>
              <w:spacing w:before="0" w:after="283"/>
              <w:jc w:val="right"/>
              <w:rPr/>
            </w:pPr>
            <w:r>
              <w:rPr/>
              <w:t>287,852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45" w:name="xdx_985_eus-gaap--SharebasedCompensation"/>
            <w:bookmarkEnd w:id="745"/>
          </w:p>
        </w:tc>
        <w:tc>
          <w:tcPr>
            <w:tcW w:w="646" w:type="dxa"/>
            <w:tcBorders/>
            <w:shd w:fill="CCEEFF" w:val="clear"/>
            <w:vAlign w:val="center"/>
          </w:tcPr>
          <w:p>
            <w:pPr>
              <w:pStyle w:val="TableContents"/>
              <w:bidi w:val="0"/>
              <w:spacing w:before="0" w:after="283"/>
              <w:jc w:val="right"/>
              <w:rPr/>
            </w:pPr>
            <w:r>
              <w:rPr/>
              <w:t>1.72</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746" w:name="xdx_905_eus-gaap--ShareBasedCompensation"/>
            <w:bookmarkEnd w:id="746"/>
            <w:r>
              <w:rPr/>
              <w:t>2.23</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747" w:name="xdx_98A_eus-gaap--ShareBasedCompensation"/>
            <w:bookmarkEnd w:id="747"/>
          </w:p>
        </w:tc>
        <w:tc>
          <w:tcPr>
            <w:tcW w:w="1613" w:type="dxa"/>
            <w:tcBorders/>
            <w:shd w:fill="FFFFFF" w:val="clear"/>
            <w:vAlign w:val="center"/>
          </w:tcPr>
          <w:p>
            <w:pPr>
              <w:pStyle w:val="TableContents"/>
              <w:bidi w:val="0"/>
              <w:spacing w:before="0" w:after="283"/>
              <w:jc w:val="right"/>
              <w:rPr/>
            </w:pPr>
            <w:r>
              <w:rPr/>
              <w:t>270,000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748" w:name="xdx_908_eus-gaap--SharebasedCompensation"/>
            <w:bookmarkEnd w:id="748"/>
            <w:r>
              <w:rPr/>
              <w:t>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749" w:name="xdx_983_eus-gaap--SharebasedCompensation"/>
            <w:bookmarkEnd w:id="749"/>
          </w:p>
        </w:tc>
        <w:tc>
          <w:tcPr>
            <w:tcW w:w="646" w:type="dxa"/>
            <w:tcBorders/>
            <w:shd w:fill="FFFFFF" w:val="clear"/>
            <w:vAlign w:val="center"/>
          </w:tcPr>
          <w:p>
            <w:pPr>
              <w:pStyle w:val="TableContents"/>
              <w:bidi w:val="0"/>
              <w:spacing w:before="0" w:after="283"/>
              <w:jc w:val="right"/>
              <w:rPr/>
            </w:pPr>
            <w:r>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750" w:name="xdx_987_eus-gaap--ShareBasedCompensation"/>
            <w:bookmarkEnd w:id="750"/>
          </w:p>
        </w:tc>
        <w:tc>
          <w:tcPr>
            <w:tcW w:w="1060" w:type="dxa"/>
            <w:tcBorders/>
            <w:shd w:fill="FFFFFF" w:val="clear"/>
            <w:vAlign w:val="center"/>
          </w:tcPr>
          <w:p>
            <w:pPr>
              <w:pStyle w:val="TableContents"/>
              <w:bidi w:val="0"/>
              <w:spacing w:before="0" w:after="283"/>
              <w:jc w:val="right"/>
              <w:rPr/>
            </w:pPr>
            <w:r>
              <w:rPr/>
              <w:t>270,000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751" w:name="xdx_985_eus-gaap--SharebasedCompensation"/>
            <w:bookmarkEnd w:id="751"/>
          </w:p>
        </w:tc>
        <w:tc>
          <w:tcPr>
            <w:tcW w:w="646" w:type="dxa"/>
            <w:tcBorders/>
            <w:shd w:fill="FFFFFF" w:val="clear"/>
            <w:vAlign w:val="center"/>
          </w:tcPr>
          <w:p>
            <w:pPr>
              <w:pStyle w:val="TableContents"/>
              <w:bidi w:val="0"/>
              <w:spacing w:before="0" w:after="283"/>
              <w:jc w:val="right"/>
              <w:rPr/>
            </w:pPr>
            <w:r>
              <w:rPr/>
              <w:t>2.23</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752" w:name="xdx_90E_eus-gaap--ShareBasedCompensation"/>
            <w:bookmarkEnd w:id="752"/>
            <w:r>
              <w:rPr/>
              <w:t>2.40 - $</w:t>
            </w:r>
            <w:bookmarkStart w:id="753" w:name="xdx_906_eus-gaap--ShareBasedCompensation"/>
            <w:bookmarkEnd w:id="753"/>
            <w:r>
              <w:rPr/>
              <w:t>2.60</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754" w:name="xdx_98F_eus-gaap--ShareBasedCompensation"/>
            <w:bookmarkEnd w:id="754"/>
          </w:p>
        </w:tc>
        <w:tc>
          <w:tcPr>
            <w:tcW w:w="1613" w:type="dxa"/>
            <w:tcBorders/>
            <w:shd w:fill="CCEEFF" w:val="clear"/>
            <w:vAlign w:val="center"/>
          </w:tcPr>
          <w:p>
            <w:pPr>
              <w:pStyle w:val="TableContents"/>
              <w:bidi w:val="0"/>
              <w:spacing w:before="0" w:after="283"/>
              <w:jc w:val="right"/>
              <w:rPr/>
            </w:pPr>
            <w:r>
              <w:rPr/>
              <w:t>23,068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755" w:name="xdx_908_eus-gaap--SharebasedCompensation"/>
            <w:bookmarkEnd w:id="755"/>
            <w:r>
              <w:rPr/>
              <w:t>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56" w:name="xdx_983_eus-gaap--SharebasedCompensation"/>
            <w:bookmarkEnd w:id="756"/>
          </w:p>
        </w:tc>
        <w:tc>
          <w:tcPr>
            <w:tcW w:w="646" w:type="dxa"/>
            <w:tcBorders/>
            <w:shd w:fill="CCEEFF" w:val="clear"/>
            <w:vAlign w:val="center"/>
          </w:tcPr>
          <w:p>
            <w:pPr>
              <w:pStyle w:val="TableContents"/>
              <w:bidi w:val="0"/>
              <w:spacing w:before="0" w:after="283"/>
              <w:jc w:val="right"/>
              <w:rPr/>
            </w:pPr>
            <w:r>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57" w:name="xdx_986_eus-gaap--ShareBasedCompensation"/>
            <w:bookmarkEnd w:id="757"/>
          </w:p>
        </w:tc>
        <w:tc>
          <w:tcPr>
            <w:tcW w:w="1060" w:type="dxa"/>
            <w:tcBorders/>
            <w:shd w:fill="CCEEFF" w:val="clear"/>
            <w:vAlign w:val="center"/>
          </w:tcPr>
          <w:p>
            <w:pPr>
              <w:pStyle w:val="TableContents"/>
              <w:bidi w:val="0"/>
              <w:spacing w:before="0" w:after="283"/>
              <w:jc w:val="right"/>
              <w:rPr/>
            </w:pPr>
            <w:r>
              <w:rPr/>
              <w:t>23,068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58" w:name="xdx_98C_eus-gaap--SharebasedCompensation"/>
            <w:bookmarkEnd w:id="758"/>
          </w:p>
        </w:tc>
        <w:tc>
          <w:tcPr>
            <w:tcW w:w="646" w:type="dxa"/>
            <w:tcBorders/>
            <w:shd w:fill="CCEEFF" w:val="clear"/>
            <w:vAlign w:val="center"/>
          </w:tcPr>
          <w:p>
            <w:pPr>
              <w:pStyle w:val="TableContents"/>
              <w:bidi w:val="0"/>
              <w:spacing w:before="0" w:after="283"/>
              <w:jc w:val="right"/>
              <w:rPr/>
            </w:pPr>
            <w:r>
              <w:rPr/>
              <w:t>2.58</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759" w:name="xdx_901_eus-gaap--ShareBasedCompensation"/>
            <w:bookmarkEnd w:id="759"/>
            <w:r>
              <w:rPr/>
              <w:t>3.95</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760" w:name="xdx_987_eus-gaap--ShareBasedCompensation"/>
            <w:bookmarkEnd w:id="760"/>
          </w:p>
        </w:tc>
        <w:tc>
          <w:tcPr>
            <w:tcW w:w="1613" w:type="dxa"/>
            <w:tcBorders/>
            <w:shd w:fill="FFFFFF" w:val="clear"/>
            <w:vAlign w:val="center"/>
          </w:tcPr>
          <w:p>
            <w:pPr>
              <w:pStyle w:val="TableContents"/>
              <w:bidi w:val="0"/>
              <w:spacing w:before="0" w:after="283"/>
              <w:jc w:val="right"/>
              <w:rPr/>
            </w:pPr>
            <w:r>
              <w:rPr/>
              <w:t>308,500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761" w:name="xdx_90C_eus-gaap--SharebasedCompensation"/>
            <w:bookmarkEnd w:id="761"/>
            <w:r>
              <w:rPr/>
              <w:t>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762" w:name="xdx_983_eus-gaap--SharebasedCompensation"/>
            <w:bookmarkEnd w:id="762"/>
          </w:p>
        </w:tc>
        <w:tc>
          <w:tcPr>
            <w:tcW w:w="646" w:type="dxa"/>
            <w:tcBorders/>
            <w:shd w:fill="FFFFFF" w:val="clear"/>
            <w:vAlign w:val="center"/>
          </w:tcPr>
          <w:p>
            <w:pPr>
              <w:pStyle w:val="TableContents"/>
              <w:bidi w:val="0"/>
              <w:spacing w:before="0" w:after="283"/>
              <w:jc w:val="right"/>
              <w:rPr/>
            </w:pPr>
            <w:r>
              <w:rPr/>
              <w:t>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763" w:name="xdx_989_eus-gaap--ShareBasedCompensation"/>
            <w:bookmarkEnd w:id="763"/>
          </w:p>
        </w:tc>
        <w:tc>
          <w:tcPr>
            <w:tcW w:w="1060" w:type="dxa"/>
            <w:tcBorders/>
            <w:shd w:fill="FFFFFF" w:val="clear"/>
            <w:vAlign w:val="center"/>
          </w:tcPr>
          <w:p>
            <w:pPr>
              <w:pStyle w:val="TableContents"/>
              <w:bidi w:val="0"/>
              <w:spacing w:before="0" w:after="283"/>
              <w:jc w:val="right"/>
              <w:rPr/>
            </w:pPr>
            <w:r>
              <w:rPr/>
              <w:t>308,500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764" w:name="xdx_98E_eus-gaap--SharebasedCompensation"/>
            <w:bookmarkEnd w:id="764"/>
          </w:p>
        </w:tc>
        <w:tc>
          <w:tcPr>
            <w:tcW w:w="646" w:type="dxa"/>
            <w:tcBorders/>
            <w:shd w:fill="FFFFFF" w:val="clear"/>
            <w:vAlign w:val="center"/>
          </w:tcPr>
          <w:p>
            <w:pPr>
              <w:pStyle w:val="TableContents"/>
              <w:bidi w:val="0"/>
              <w:spacing w:before="0" w:after="283"/>
              <w:jc w:val="right"/>
              <w:rPr/>
            </w:pPr>
            <w:r>
              <w:rPr/>
              <w:t>3.95</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765" w:name="xdx_90C_eus-gaap--ShareBasedCompensation"/>
            <w:bookmarkEnd w:id="765"/>
            <w:r>
              <w:rPr/>
              <w:t>4.49 - $</w:t>
            </w:r>
            <w:bookmarkStart w:id="766" w:name="xdx_901_eus-gaap--ShareBasedCompensation"/>
            <w:bookmarkEnd w:id="766"/>
            <w:r>
              <w:rPr/>
              <w:t>5.72</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767" w:name="xdx_980_eus-gaap--ShareBasedCompensation"/>
            <w:bookmarkEnd w:id="767"/>
          </w:p>
        </w:tc>
        <w:tc>
          <w:tcPr>
            <w:tcW w:w="1613" w:type="dxa"/>
            <w:tcBorders/>
            <w:shd w:fill="CCEEFF" w:val="clear"/>
            <w:vAlign w:val="center"/>
          </w:tcPr>
          <w:p>
            <w:pPr>
              <w:pStyle w:val="TableContents"/>
              <w:bidi w:val="0"/>
              <w:spacing w:before="0" w:after="283"/>
              <w:jc w:val="right"/>
              <w:rPr/>
            </w:pPr>
            <w:r>
              <w:rPr/>
              <w:t>99,912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768" w:name="xdx_908_eus-gaap--SharebasedCompensation"/>
            <w:bookmarkEnd w:id="768"/>
            <w:r>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69" w:name="xdx_982_eus-gaap--SharebasedCompensation"/>
            <w:bookmarkEnd w:id="769"/>
          </w:p>
        </w:tc>
        <w:tc>
          <w:tcPr>
            <w:tcW w:w="646" w:type="dxa"/>
            <w:tcBorders/>
            <w:shd w:fill="CCEEFF" w:val="clear"/>
            <w:vAlign w:val="center"/>
          </w:tcPr>
          <w:p>
            <w:pPr>
              <w:pStyle w:val="TableContents"/>
              <w:bidi w:val="0"/>
              <w:spacing w:before="0" w:after="283"/>
              <w:jc w:val="right"/>
              <w:rPr/>
            </w:pPr>
            <w:r>
              <w:rPr/>
              <w:t>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70" w:name="xdx_982_eus-gaap--ShareBasedCompensation"/>
            <w:bookmarkEnd w:id="770"/>
          </w:p>
        </w:tc>
        <w:tc>
          <w:tcPr>
            <w:tcW w:w="1060" w:type="dxa"/>
            <w:tcBorders/>
            <w:shd w:fill="CCEEFF" w:val="clear"/>
            <w:vAlign w:val="center"/>
          </w:tcPr>
          <w:p>
            <w:pPr>
              <w:pStyle w:val="TableContents"/>
              <w:bidi w:val="0"/>
              <w:spacing w:before="0" w:after="283"/>
              <w:jc w:val="right"/>
              <w:rPr/>
            </w:pPr>
            <w:r>
              <w:rPr/>
              <w:t>97,978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71" w:name="xdx_98F_eus-gaap--SharebasedCompensation"/>
            <w:bookmarkEnd w:id="771"/>
          </w:p>
        </w:tc>
        <w:tc>
          <w:tcPr>
            <w:tcW w:w="646" w:type="dxa"/>
            <w:tcBorders/>
            <w:shd w:fill="CCEEFF" w:val="clear"/>
            <w:vAlign w:val="center"/>
          </w:tcPr>
          <w:p>
            <w:pPr>
              <w:pStyle w:val="TableContents"/>
              <w:bidi w:val="0"/>
              <w:spacing w:before="0" w:after="283"/>
              <w:jc w:val="right"/>
              <w:rPr/>
            </w:pPr>
            <w:r>
              <w:rPr/>
              <w:t>5.53</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772" w:name="xdx_908_eus-gaap--ShareBasedCompensation"/>
            <w:bookmarkEnd w:id="772"/>
            <w:r>
              <w:rPr/>
              <w:t>6.30</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773" w:name="xdx_98B_eus-gaap--ShareBasedCompensation"/>
            <w:bookmarkEnd w:id="773"/>
          </w:p>
        </w:tc>
        <w:tc>
          <w:tcPr>
            <w:tcW w:w="1613" w:type="dxa"/>
            <w:tcBorders/>
            <w:shd w:fill="FFFFFF" w:val="clear"/>
            <w:vAlign w:val="center"/>
          </w:tcPr>
          <w:p>
            <w:pPr>
              <w:pStyle w:val="TableContents"/>
              <w:bidi w:val="0"/>
              <w:spacing w:before="0" w:after="283"/>
              <w:jc w:val="right"/>
              <w:rPr/>
            </w:pPr>
            <w:r>
              <w:rPr/>
              <w:t>285,000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774" w:name="xdx_903_eus-gaap--SharebasedCompensation"/>
            <w:bookmarkEnd w:id="774"/>
            <w:r>
              <w:rPr/>
              <w:t>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775" w:name="xdx_982_eus-gaap--SharebasedCompensation"/>
            <w:bookmarkEnd w:id="775"/>
          </w:p>
        </w:tc>
        <w:tc>
          <w:tcPr>
            <w:tcW w:w="646" w:type="dxa"/>
            <w:tcBorders/>
            <w:shd w:fill="FFFFFF" w:val="clear"/>
            <w:vAlign w:val="center"/>
          </w:tcPr>
          <w:p>
            <w:pPr>
              <w:pStyle w:val="TableContents"/>
              <w:bidi w:val="0"/>
              <w:spacing w:before="0" w:after="283"/>
              <w:jc w:val="right"/>
              <w:rPr/>
            </w:pPr>
            <w:r>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776" w:name="xdx_981_eus-gaap--ShareBasedCompensation"/>
            <w:bookmarkEnd w:id="776"/>
          </w:p>
        </w:tc>
        <w:tc>
          <w:tcPr>
            <w:tcW w:w="1060" w:type="dxa"/>
            <w:tcBorders/>
            <w:shd w:fill="FFFFFF" w:val="clear"/>
            <w:vAlign w:val="center"/>
          </w:tcPr>
          <w:p>
            <w:pPr>
              <w:pStyle w:val="TableContents"/>
              <w:bidi w:val="0"/>
              <w:spacing w:before="0" w:after="283"/>
              <w:jc w:val="right"/>
              <w:rPr/>
            </w:pPr>
            <w:r>
              <w:rPr/>
              <w:t>285,000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777" w:name="xdx_983_eus-gaap--SharebasedCompensation"/>
            <w:bookmarkEnd w:id="777"/>
          </w:p>
        </w:tc>
        <w:tc>
          <w:tcPr>
            <w:tcW w:w="646" w:type="dxa"/>
            <w:tcBorders/>
            <w:shd w:fill="FFFFFF" w:val="clear"/>
            <w:vAlign w:val="center"/>
          </w:tcPr>
          <w:p>
            <w:pPr>
              <w:pStyle w:val="TableContents"/>
              <w:bidi w:val="0"/>
              <w:spacing w:before="0" w:after="283"/>
              <w:jc w:val="right"/>
              <w:rPr/>
            </w:pPr>
            <w:r>
              <w:rPr/>
              <w:t>6.30</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778" w:name="xdx_909_eus-gaap--ShareBasedCompensation"/>
            <w:bookmarkEnd w:id="778"/>
            <w:r>
              <w:rPr/>
              <w:t>6.75 - $</w:t>
            </w:r>
            <w:bookmarkStart w:id="779" w:name="xdx_901_eus-gaap--ShareBasedCompensation"/>
            <w:bookmarkEnd w:id="779"/>
            <w:r>
              <w:rPr/>
              <w:t>7.26</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780" w:name="xdx_984_eus-gaap--ShareBasedCompensation"/>
            <w:bookmarkEnd w:id="780"/>
          </w:p>
        </w:tc>
        <w:tc>
          <w:tcPr>
            <w:tcW w:w="1613" w:type="dxa"/>
            <w:tcBorders/>
            <w:shd w:fill="CCEEFF" w:val="clear"/>
            <w:vAlign w:val="center"/>
          </w:tcPr>
          <w:p>
            <w:pPr>
              <w:pStyle w:val="TableContents"/>
              <w:bidi w:val="0"/>
              <w:spacing w:before="0" w:after="283"/>
              <w:jc w:val="right"/>
              <w:rPr/>
            </w:pPr>
            <w:r>
              <w:rPr/>
              <w:t>58,406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781" w:name="xdx_906_eus-gaap--SharebasedCompensation"/>
            <w:bookmarkEnd w:id="781"/>
            <w:r>
              <w:rPr/>
              <w:t>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82" w:name="xdx_98A_eus-gaap--SharebasedCompensation"/>
            <w:bookmarkEnd w:id="782"/>
          </w:p>
        </w:tc>
        <w:tc>
          <w:tcPr>
            <w:tcW w:w="646" w:type="dxa"/>
            <w:tcBorders/>
            <w:shd w:fill="CCEEFF" w:val="clear"/>
            <w:vAlign w:val="center"/>
          </w:tcPr>
          <w:p>
            <w:pPr>
              <w:pStyle w:val="TableContents"/>
              <w:bidi w:val="0"/>
              <w:spacing w:before="0" w:after="283"/>
              <w:jc w:val="right"/>
              <w:rPr/>
            </w:pPr>
            <w:r>
              <w:rPr/>
              <w:t>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83" w:name="xdx_984_eus-gaap--ShareBasedCompensation"/>
            <w:bookmarkEnd w:id="783"/>
          </w:p>
        </w:tc>
        <w:tc>
          <w:tcPr>
            <w:tcW w:w="1060" w:type="dxa"/>
            <w:tcBorders/>
            <w:shd w:fill="CCEEFF" w:val="clear"/>
            <w:vAlign w:val="center"/>
          </w:tcPr>
          <w:p>
            <w:pPr>
              <w:pStyle w:val="TableContents"/>
              <w:bidi w:val="0"/>
              <w:spacing w:before="0" w:after="283"/>
              <w:jc w:val="right"/>
              <w:rPr/>
            </w:pPr>
            <w:r>
              <w:rPr/>
              <w:t>26,566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84" w:name="xdx_981_eus-gaap--SharebasedCompensation"/>
            <w:bookmarkEnd w:id="784"/>
          </w:p>
        </w:tc>
        <w:tc>
          <w:tcPr>
            <w:tcW w:w="646" w:type="dxa"/>
            <w:tcBorders/>
            <w:shd w:fill="CCEEFF" w:val="clear"/>
            <w:vAlign w:val="center"/>
          </w:tcPr>
          <w:p>
            <w:pPr>
              <w:pStyle w:val="TableContents"/>
              <w:bidi w:val="0"/>
              <w:spacing w:before="0" w:after="283"/>
              <w:jc w:val="right"/>
              <w:rPr/>
            </w:pPr>
            <w:r>
              <w:rPr/>
              <w:t>6.93</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785" w:name="xdx_909_eus-gaap--ShareBasedCompensation"/>
            <w:bookmarkEnd w:id="785"/>
            <w:r>
              <w:rPr/>
              <w:t>7.30</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786" w:name="xdx_98A_eus-gaap--ShareBasedCompensation"/>
            <w:bookmarkEnd w:id="786"/>
          </w:p>
        </w:tc>
        <w:tc>
          <w:tcPr>
            <w:tcW w:w="1613" w:type="dxa"/>
            <w:tcBorders/>
            <w:shd w:fill="FFFFFF" w:val="clear"/>
            <w:vAlign w:val="center"/>
          </w:tcPr>
          <w:p>
            <w:pPr>
              <w:pStyle w:val="TableContents"/>
              <w:bidi w:val="0"/>
              <w:spacing w:before="0" w:after="283"/>
              <w:jc w:val="right"/>
              <w:rPr/>
            </w:pPr>
            <w:r>
              <w:rPr/>
              <w:t>274,500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787" w:name="xdx_908_eus-gaap--SharebasedCompensation"/>
            <w:bookmarkEnd w:id="787"/>
            <w:r>
              <w:rPr/>
              <w:t>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788" w:name="xdx_98B_eus-gaap--SharebasedCompensation"/>
            <w:bookmarkEnd w:id="788"/>
          </w:p>
        </w:tc>
        <w:tc>
          <w:tcPr>
            <w:tcW w:w="646" w:type="dxa"/>
            <w:tcBorders/>
            <w:shd w:fill="FFFFFF" w:val="clear"/>
            <w:vAlign w:val="center"/>
          </w:tcPr>
          <w:p>
            <w:pPr>
              <w:pStyle w:val="TableContents"/>
              <w:bidi w:val="0"/>
              <w:spacing w:before="0" w:after="283"/>
              <w:jc w:val="right"/>
              <w:rPr/>
            </w:pPr>
            <w:r>
              <w:rPr/>
              <w:t>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789" w:name="xdx_98D_eus-gaap--ShareBasedCompensation"/>
            <w:bookmarkEnd w:id="789"/>
          </w:p>
        </w:tc>
        <w:tc>
          <w:tcPr>
            <w:tcW w:w="1060" w:type="dxa"/>
            <w:tcBorders/>
            <w:shd w:fill="FFFFFF" w:val="clear"/>
            <w:vAlign w:val="center"/>
          </w:tcPr>
          <w:p>
            <w:pPr>
              <w:pStyle w:val="TableContents"/>
              <w:bidi w:val="0"/>
              <w:spacing w:before="0" w:after="283"/>
              <w:jc w:val="right"/>
              <w:rPr/>
            </w:pPr>
            <w:r>
              <w:rPr/>
              <w:t>274,500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790" w:name="xdx_98A_eus-gaap--SharebasedCompensation"/>
            <w:bookmarkEnd w:id="790"/>
          </w:p>
        </w:tc>
        <w:tc>
          <w:tcPr>
            <w:tcW w:w="646" w:type="dxa"/>
            <w:tcBorders/>
            <w:shd w:fill="FFFFFF" w:val="clear"/>
            <w:vAlign w:val="center"/>
          </w:tcPr>
          <w:p>
            <w:pPr>
              <w:pStyle w:val="TableContents"/>
              <w:bidi w:val="0"/>
              <w:spacing w:before="0" w:after="283"/>
              <w:jc w:val="right"/>
              <w:rPr/>
            </w:pPr>
            <w:r>
              <w:rPr/>
              <w:t>7.30</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791" w:name="xdx_90B_eus-gaap--ShareBasedCompensation"/>
            <w:bookmarkEnd w:id="791"/>
            <w:r>
              <w:rPr/>
              <w:t>7.37 - $</w:t>
            </w:r>
            <w:bookmarkStart w:id="792" w:name="xdx_901_eus-gaap--ShareBasedCompensation"/>
            <w:bookmarkEnd w:id="792"/>
            <w:r>
              <w:rPr/>
              <w:t>7.79</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793" w:name="xdx_98A_eus-gaap--ShareBasedCompensation"/>
            <w:bookmarkEnd w:id="793"/>
          </w:p>
        </w:tc>
        <w:tc>
          <w:tcPr>
            <w:tcW w:w="1613" w:type="dxa"/>
            <w:tcBorders/>
            <w:shd w:fill="CCEEFF" w:val="clear"/>
            <w:vAlign w:val="center"/>
          </w:tcPr>
          <w:p>
            <w:pPr>
              <w:pStyle w:val="TableContents"/>
              <w:bidi w:val="0"/>
              <w:spacing w:before="0" w:after="283"/>
              <w:jc w:val="right"/>
              <w:rPr/>
            </w:pPr>
            <w:r>
              <w:rPr/>
              <w:t>191,210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794" w:name="xdx_902_eus-gaap--SharebasedCompensation"/>
            <w:bookmarkEnd w:id="794"/>
            <w:r>
              <w:rPr/>
              <w:t>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95" w:name="xdx_981_eus-gaap--SharebasedCompensation"/>
            <w:bookmarkEnd w:id="795"/>
          </w:p>
        </w:tc>
        <w:tc>
          <w:tcPr>
            <w:tcW w:w="646"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796" w:name="xdx_980_eus-gaap--ShareBasedCompensation"/>
            <w:bookmarkEnd w:id="796"/>
          </w:p>
        </w:tc>
        <w:tc>
          <w:tcPr>
            <w:tcW w:w="1060" w:type="dxa"/>
            <w:tcBorders/>
            <w:shd w:fill="CCEEFF" w:val="clear"/>
            <w:vAlign w:val="center"/>
          </w:tcPr>
          <w:p>
            <w:pPr>
              <w:pStyle w:val="TableContents"/>
              <w:bidi w:val="0"/>
              <w:spacing w:before="0" w:after="283"/>
              <w:jc w:val="right"/>
              <w:rPr/>
            </w:pPr>
            <w:r>
              <w:rPr/>
              <w:t>149,534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797" w:name="xdx_982_eus-gaap--SharebasedCompensation"/>
            <w:bookmarkEnd w:id="797"/>
          </w:p>
        </w:tc>
        <w:tc>
          <w:tcPr>
            <w:tcW w:w="646" w:type="dxa"/>
            <w:tcBorders/>
            <w:shd w:fill="CCEEFF" w:val="clear"/>
            <w:vAlign w:val="center"/>
          </w:tcPr>
          <w:p>
            <w:pPr>
              <w:pStyle w:val="TableContents"/>
              <w:bidi w:val="0"/>
              <w:spacing w:before="0" w:after="283"/>
              <w:jc w:val="right"/>
              <w:rPr/>
            </w:pPr>
            <w:r>
              <w:rPr/>
              <w:t>7.47</w:t>
            </w:r>
          </w:p>
        </w:tc>
        <w:tc>
          <w:tcPr>
            <w:tcW w:w="83" w:type="dxa"/>
            <w:tcBorders/>
            <w:shd w:fill="CCEEFF" w:val="clear"/>
            <w:vAlign w:val="center"/>
          </w:tcPr>
          <w:p>
            <w:pPr>
              <w:pStyle w:val="TableContents"/>
              <w:bidi w:val="0"/>
              <w:spacing w:before="0" w:after="283"/>
              <w:jc w:val="left"/>
              <w:rPr/>
            </w:pPr>
            <w:r>
              <w:rPr/>
              <w:t> </w:t>
            </w:r>
          </w:p>
        </w:tc>
      </w:tr>
      <w:tr>
        <w:trPr/>
        <w:tc>
          <w:tcPr>
            <w:tcW w:w="1668" w:type="dxa"/>
            <w:tcBorders/>
            <w:shd w:fill="FFFFFF" w:val="clear"/>
            <w:vAlign w:val="center"/>
          </w:tcPr>
          <w:p>
            <w:pPr>
              <w:pStyle w:val="TableContents"/>
              <w:bidi w:val="0"/>
              <w:spacing w:before="0" w:after="283"/>
              <w:jc w:val="center"/>
              <w:rPr/>
            </w:pPr>
            <w:r>
              <w:rPr/>
              <w:t>$</w:t>
            </w:r>
            <w:bookmarkStart w:id="798" w:name="xdx_90B_eus-gaap--ShareBasedCompensation"/>
            <w:bookmarkEnd w:id="798"/>
            <w:r>
              <w:rPr/>
              <w:t>7.87 - $</w:t>
            </w:r>
            <w:bookmarkStart w:id="799" w:name="xdx_906_eus-gaap--ShareBasedCompensation"/>
            <w:bookmarkEnd w:id="799"/>
            <w:r>
              <w:rPr/>
              <w:t>25.86</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00" w:name="xdx_981_eus-gaap--ShareBasedCompensation"/>
            <w:bookmarkEnd w:id="800"/>
          </w:p>
        </w:tc>
        <w:tc>
          <w:tcPr>
            <w:tcW w:w="1613" w:type="dxa"/>
            <w:tcBorders>
              <w:bottom w:val="single" w:sz="12" w:space="0" w:color="000000"/>
            </w:tcBorders>
            <w:shd w:fill="FFFFFF" w:val="clear"/>
            <w:tcMar>
              <w:bottom w:w="28" w:type="dxa"/>
            </w:tcMar>
            <w:vAlign w:val="center"/>
          </w:tcPr>
          <w:p>
            <w:pPr>
              <w:pStyle w:val="TableContents"/>
              <w:bidi w:val="0"/>
              <w:spacing w:before="0" w:after="283"/>
              <w:jc w:val="right"/>
              <w:rPr/>
            </w:pPr>
            <w:r>
              <w:rPr/>
              <w:t>850,735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968" w:type="dxa"/>
            <w:tcBorders/>
            <w:shd w:fill="FFFFFF" w:val="clear"/>
            <w:vAlign w:val="center"/>
          </w:tcPr>
          <w:p>
            <w:pPr>
              <w:pStyle w:val="TableContents"/>
              <w:bidi w:val="0"/>
              <w:spacing w:before="0" w:after="283"/>
              <w:jc w:val="right"/>
              <w:rPr/>
            </w:pPr>
            <w:bookmarkStart w:id="801" w:name="xdx_902_eus-gaap--SharebasedCompensation"/>
            <w:bookmarkEnd w:id="801"/>
            <w:r>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802" w:name="xdx_983_eus-gaap--SharebasedCompensation"/>
            <w:bookmarkEnd w:id="802"/>
          </w:p>
        </w:tc>
        <w:tc>
          <w:tcPr>
            <w:tcW w:w="646" w:type="dxa"/>
            <w:tcBorders/>
            <w:shd w:fill="FFFFFF" w:val="clear"/>
            <w:vAlign w:val="center"/>
          </w:tcPr>
          <w:p>
            <w:pPr>
              <w:pStyle w:val="TableContents"/>
              <w:bidi w:val="0"/>
              <w:spacing w:before="0" w:after="283"/>
              <w:jc w:val="right"/>
              <w:rPr/>
            </w:pPr>
            <w:r>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03" w:name="xdx_988_eus-gaap--ShareBasedCompensation"/>
            <w:bookmarkEnd w:id="803"/>
          </w:p>
        </w:tc>
        <w:tc>
          <w:tcPr>
            <w:tcW w:w="1060" w:type="dxa"/>
            <w:tcBorders>
              <w:bottom w:val="single" w:sz="12" w:space="0" w:color="000000"/>
            </w:tcBorders>
            <w:shd w:fill="FFFFFF" w:val="clear"/>
            <w:tcMar>
              <w:bottom w:w="28" w:type="dxa"/>
            </w:tcMar>
            <w:vAlign w:val="center"/>
          </w:tcPr>
          <w:p>
            <w:pPr>
              <w:pStyle w:val="TableContents"/>
              <w:bidi w:val="0"/>
              <w:spacing w:before="0" w:after="283"/>
              <w:jc w:val="right"/>
              <w:rPr/>
            </w:pPr>
            <w:r>
              <w:rPr/>
              <w:t>659,867</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bookmarkStart w:id="804" w:name="xdx_98A_eus-gaap--SharebasedCompensation"/>
            <w:bookmarkEnd w:id="804"/>
          </w:p>
        </w:tc>
        <w:tc>
          <w:tcPr>
            <w:tcW w:w="646" w:type="dxa"/>
            <w:tcBorders/>
            <w:shd w:fill="FFFFFF" w:val="clear"/>
            <w:vAlign w:val="center"/>
          </w:tcPr>
          <w:p>
            <w:pPr>
              <w:pStyle w:val="TableContents"/>
              <w:bidi w:val="0"/>
              <w:spacing w:before="0" w:after="283"/>
              <w:jc w:val="right"/>
              <w:rPr/>
            </w:pPr>
            <w:r>
              <w:rPr/>
              <w:t>8.14</w:t>
            </w:r>
          </w:p>
        </w:tc>
        <w:tc>
          <w:tcPr>
            <w:tcW w:w="83" w:type="dxa"/>
            <w:tcBorders/>
            <w:shd w:fill="FFFFFF" w:val="clear"/>
            <w:vAlign w:val="center"/>
          </w:tcPr>
          <w:p>
            <w:pPr>
              <w:pStyle w:val="TableContents"/>
              <w:bidi w:val="0"/>
              <w:spacing w:before="0" w:after="283"/>
              <w:jc w:val="left"/>
              <w:rPr/>
            </w:pPr>
            <w:r>
              <w:rPr/>
              <w:t> </w:t>
            </w:r>
          </w:p>
        </w:tc>
      </w:tr>
      <w:tr>
        <w:trPr/>
        <w:tc>
          <w:tcPr>
            <w:tcW w:w="1668" w:type="dxa"/>
            <w:tcBorders/>
            <w:shd w:fill="CCEEFF" w:val="clear"/>
            <w:vAlign w:val="center"/>
          </w:tcPr>
          <w:p>
            <w:pPr>
              <w:pStyle w:val="TableContents"/>
              <w:bidi w:val="0"/>
              <w:spacing w:before="0" w:after="283"/>
              <w:jc w:val="center"/>
              <w:rPr/>
            </w:pPr>
            <w:r>
              <w:rPr/>
              <w:t>$</w:t>
            </w:r>
            <w:bookmarkStart w:id="805" w:name="xdx_901_eus-gaap--ShareBasedCompensation"/>
            <w:bookmarkEnd w:id="805"/>
            <w:r>
              <w:rPr/>
              <w:t>1.47 - $</w:t>
            </w:r>
            <w:bookmarkStart w:id="806" w:name="xdx_904_eus-gaap--ShareBasedCompensation"/>
            <w:bookmarkEnd w:id="806"/>
            <w:r>
              <w:rPr/>
              <w:t>25.86</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07" w:name="xdx_989_eus-gaap--ShareBasedCompensation"/>
            <w:bookmarkEnd w:id="807"/>
          </w:p>
        </w:tc>
        <w:tc>
          <w:tcPr>
            <w:tcW w:w="1613" w:type="dxa"/>
            <w:tcBorders>
              <w:bottom w:val="double" w:sz="6" w:space="0" w:color="000000"/>
            </w:tcBorders>
            <w:shd w:fill="CCEEFF" w:val="clear"/>
            <w:tcMar>
              <w:bottom w:w="28" w:type="dxa"/>
            </w:tcMar>
            <w:vAlign w:val="center"/>
          </w:tcPr>
          <w:p>
            <w:pPr>
              <w:pStyle w:val="TableContents"/>
              <w:bidi w:val="0"/>
              <w:spacing w:before="0" w:after="283"/>
              <w:jc w:val="right"/>
              <w:rPr/>
            </w:pPr>
            <w:r>
              <w:rPr/>
              <w:t>2,649,183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pPr>
            <w:r>
              <w:rPr/>
              <w:t> </w:t>
            </w:r>
          </w:p>
        </w:tc>
        <w:tc>
          <w:tcPr>
            <w:tcW w:w="2968" w:type="dxa"/>
            <w:tcBorders/>
            <w:shd w:fill="CCEEFF" w:val="clear"/>
            <w:vAlign w:val="center"/>
          </w:tcPr>
          <w:p>
            <w:pPr>
              <w:pStyle w:val="TableContents"/>
              <w:bidi w:val="0"/>
              <w:spacing w:before="0" w:after="283"/>
              <w:jc w:val="right"/>
              <w:rPr/>
            </w:pPr>
            <w:bookmarkStart w:id="808" w:name="xdx_90E_eus-gaap--SharebasedCompensation"/>
            <w:bookmarkEnd w:id="808"/>
            <w:r>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809" w:name="xdx_98B_eus-gaap--SharebasedCompensation"/>
            <w:bookmarkEnd w:id="809"/>
          </w:p>
        </w:tc>
        <w:tc>
          <w:tcPr>
            <w:tcW w:w="646" w:type="dxa"/>
            <w:tcBorders/>
            <w:shd w:fill="CCEEFF" w:val="clear"/>
            <w:vAlign w:val="center"/>
          </w:tcPr>
          <w:p>
            <w:pPr>
              <w:pStyle w:val="TableContents"/>
              <w:bidi w:val="0"/>
              <w:spacing w:before="0" w:after="283"/>
              <w:jc w:val="right"/>
              <w:rPr/>
            </w:pPr>
            <w:r>
              <w:rPr/>
              <w:t>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10" w:name="xdx_98B_eus-gaap--ShareBasedCompensation"/>
            <w:bookmarkEnd w:id="810"/>
          </w:p>
        </w:tc>
        <w:tc>
          <w:tcPr>
            <w:tcW w:w="1060" w:type="dxa"/>
            <w:tcBorders>
              <w:bottom w:val="double" w:sz="6" w:space="0" w:color="000000"/>
            </w:tcBorders>
            <w:shd w:fill="CCEEFF" w:val="clear"/>
            <w:tcMar>
              <w:bottom w:w="28" w:type="dxa"/>
            </w:tcMar>
            <w:vAlign w:val="center"/>
          </w:tcPr>
          <w:p>
            <w:pPr>
              <w:pStyle w:val="TableContents"/>
              <w:bidi w:val="0"/>
              <w:spacing w:before="0" w:after="283"/>
              <w:jc w:val="right"/>
              <w:rPr/>
            </w:pPr>
            <w:r>
              <w:rPr/>
              <w:t>2,382,865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bookmarkStart w:id="811" w:name="xdx_981_eus-gaap--SharebasedCompensation"/>
            <w:bookmarkEnd w:id="811"/>
          </w:p>
        </w:tc>
        <w:tc>
          <w:tcPr>
            <w:tcW w:w="646" w:type="dxa"/>
            <w:tcBorders/>
            <w:shd w:fill="CCEEFF" w:val="clear"/>
            <w:vAlign w:val="center"/>
          </w:tcPr>
          <w:p>
            <w:pPr>
              <w:pStyle w:val="TableContents"/>
              <w:bidi w:val="0"/>
              <w:spacing w:before="0" w:after="283"/>
              <w:jc w:val="right"/>
              <w:rPr/>
            </w:pPr>
            <w:r>
              <w:rPr/>
              <w:t>5.62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12" w:name="xdx_8A4_zuYG630hi6fe"/>
      <w:bookmarkEnd w:id="8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there was approximately $</w:t>
      </w:r>
      <w:bookmarkStart w:id="813" w:name="xdx_909_eus-gaap--EmployeeServiceShareBa"/>
      <w:bookmarkEnd w:id="813"/>
      <w:r>
        <w:rPr>
          <w:rFonts w:ascii="Times New Roman;Times;Serif" w:hAnsi="Times New Roman;Times;Serif"/>
          <w:b w:val="false"/>
          <w:i w:val="false"/>
          <w:caps w:val="false"/>
          <w:smallCaps w:val="false"/>
          <w:sz w:val="20"/>
        </w:rPr>
        <w:t xml:space="preserve">1,723,000 of total unrecognized compensation expense related to unvested stock options granted under the Plans. That expense is expected to be recognized over the weighted-average remaining vesting period of </w:t>
      </w:r>
      <w:bookmarkStart w:id="814" w:name="xdx_90E_eus-gaap--EmployeeServiceShareBa"/>
      <w:bookmarkEnd w:id="814"/>
      <w:r>
        <w:rPr>
          <w:rFonts w:ascii="Times New Roman;Times;Serif" w:hAnsi="Times New Roman;Times;Serif"/>
          <w:b w:val="false"/>
          <w:i w:val="false"/>
          <w:caps w:val="false"/>
          <w:smallCaps w:val="false"/>
          <w:sz w:val="20"/>
        </w:rPr>
        <w:t>2.85 years. The stock-based compensation for all stock options was $</w:t>
      </w:r>
      <w:bookmarkStart w:id="815" w:name="xdx_90D_eus-gaap--AllocatedShareBasedCom"/>
      <w:bookmarkEnd w:id="815"/>
      <w:r>
        <w:rPr>
          <w:rFonts w:ascii="Times New Roman;Times;Serif" w:hAnsi="Times New Roman;Times;Serif"/>
          <w:b w:val="false"/>
          <w:i w:val="false"/>
          <w:caps w:val="false"/>
          <w:smallCaps w:val="false"/>
          <w:sz w:val="20"/>
        </w:rPr>
        <w:t>130,000 and $</w:t>
      </w:r>
      <w:bookmarkStart w:id="816" w:name="xdx_902_eus-gaap--AllocatedShareBasedCom"/>
      <w:bookmarkEnd w:id="816"/>
      <w:r>
        <w:rPr>
          <w:rFonts w:ascii="Times New Roman;Times;Serif" w:hAnsi="Times New Roman;Times;Serif"/>
          <w:b w:val="false"/>
          <w:i w:val="false"/>
          <w:caps w:val="false"/>
          <w:smallCaps w:val="false"/>
          <w:sz w:val="20"/>
        </w:rPr>
        <w:t>256,000 during the three and six months ended June 30, 2024, respectively, and $</w:t>
      </w:r>
      <w:bookmarkStart w:id="817" w:name="xdx_90E_eus-gaap--AllocatedShareBasedCom"/>
      <w:bookmarkEnd w:id="817"/>
      <w:r>
        <w:rPr>
          <w:rFonts w:ascii="Times New Roman;Times;Serif" w:hAnsi="Times New Roman;Times;Serif"/>
          <w:b w:val="false"/>
          <w:i w:val="false"/>
          <w:caps w:val="false"/>
          <w:smallCaps w:val="false"/>
          <w:sz w:val="20"/>
        </w:rPr>
        <w:t>122,000 and $</w:t>
      </w:r>
      <w:bookmarkStart w:id="818" w:name="xdx_909_eus-gaap--AllocatedShareBasedCom"/>
      <w:bookmarkEnd w:id="818"/>
      <w:r>
        <w:rPr>
          <w:rFonts w:ascii="Times New Roman;Times;Serif" w:hAnsi="Times New Roman;Times;Serif"/>
          <w:b w:val="false"/>
          <w:i w:val="false"/>
          <w:caps w:val="false"/>
          <w:smallCaps w:val="false"/>
          <w:sz w:val="20"/>
        </w:rPr>
        <w:t>463,000 during the same periods in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intrinsic value of options exercised during the six months ended June 30, 2024 was $</w:t>
      </w:r>
      <w:bookmarkStart w:id="819" w:name="xdx_90D_eus-gaap--ShareBasedCompensation"/>
      <w:bookmarkEnd w:id="819"/>
      <w:r>
        <w:rPr>
          <w:rFonts w:ascii="Times New Roman;Times;Serif" w:hAnsi="Times New Roman;Times;Serif"/>
          <w:b w:val="false"/>
          <w:i w:val="false"/>
          <w:caps w:val="false"/>
          <w:smallCaps w:val="false"/>
          <w:sz w:val="20"/>
        </w:rPr>
        <w:t>694,000.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 awards are granted subject to certain vesting requirements and other restrictions, including time-based and performance-based vesting criteria. The grant date fair value of the RSUs, which has been determined based upon the market value of the Company’s common stock on the grant date, is expensed over the vesting period of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20" w:name="xdx_890_eus-gaap--ScheduleOfShareBasedCo"/>
      <w:bookmarkEnd w:id="820"/>
      <w:r>
        <w:rPr>
          <w:rFonts w:ascii="Times New Roman;Times;Serif" w:hAnsi="Times New Roman;Times;Serif"/>
          <w:b w:val="false"/>
          <w:i w:val="false"/>
          <w:caps w:val="false"/>
          <w:smallCaps w:val="false"/>
          <w:sz w:val="20"/>
        </w:rPr>
        <w:t>A summary of the Company’s RSU activity and related information for the six months ended June 30, 2024 is as follows:</w:t>
      </w:r>
    </w:p>
    <w:p>
      <w:pPr>
        <w:pStyle w:val="TextBody"/>
        <w:bidi w:val="0"/>
        <w:spacing w:before="0" w:after="0"/>
        <w:ind w:left="0" w:right="0" w:hanging="0"/>
        <w:jc w:val="both"/>
        <w:rPr>
          <w:caps w:val="false"/>
          <w:smallCaps w:val="false"/>
        </w:rPr>
      </w:pPr>
      <w:r>
        <w:rPr>
          <w:caps w:val="false"/>
          <w:smallCaps w:val="false"/>
        </w:rPr>
        <w:t> </w:t>
      </w:r>
      <w:bookmarkStart w:id="821" w:name="xdx_8B8_zDr5glCA3D43"/>
      <w:bookmarkEnd w:id="821"/>
      <w:r>
        <w:rPr>
          <w:rFonts w:ascii="Times New Roman;Times;Serif" w:hAnsi="Times New Roman;Times;Serif"/>
          <w:b w:val="false"/>
          <w:i w:val="false"/>
          <w:caps w:val="false"/>
          <w:smallCaps w:val="false"/>
          <w:sz w:val="20"/>
        </w:rPr>
        <w:t>SCHEDULE OF RESTRICTED STOCK UNITS ACTIVITY</w:t>
      </w:r>
    </w:p>
    <w:tbl>
      <w:tblPr>
        <w:tblW w:w="9664" w:type="dxa"/>
        <w:jc w:val="left"/>
        <w:tblInd w:w="0" w:type="dxa"/>
        <w:tblLayout w:type="fixed"/>
        <w:tblCellMar>
          <w:top w:w="0" w:type="dxa"/>
          <w:left w:w="0" w:type="dxa"/>
          <w:bottom w:w="0" w:type="dxa"/>
          <w:right w:w="0" w:type="dxa"/>
        </w:tblCellMar>
      </w:tblPr>
      <w:tblGrid>
        <w:gridCol w:w="3215"/>
        <w:gridCol w:w="60"/>
        <w:gridCol w:w="120"/>
        <w:gridCol w:w="1759"/>
        <w:gridCol w:w="95"/>
        <w:gridCol w:w="60"/>
        <w:gridCol w:w="856"/>
        <w:gridCol w:w="3424"/>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unvested - January 1, 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bookmarkStart w:id="822" w:name="xdx_98B_eus-gaap--ShareBasedCompensation"/>
            <w:bookmarkEnd w:id="822"/>
          </w:p>
        </w:tc>
        <w:tc>
          <w:tcPr>
            <w:tcW w:w="1759" w:type="dxa"/>
            <w:tcBorders/>
            <w:shd w:fill="CCEEFF" w:val="clear"/>
            <w:vAlign w:val="center"/>
          </w:tcPr>
          <w:p>
            <w:pPr>
              <w:pStyle w:val="TableContents"/>
              <w:bidi w:val="0"/>
              <w:spacing w:before="0" w:after="283"/>
              <w:jc w:val="right"/>
              <w:rPr/>
            </w:pPr>
            <w:r>
              <w:rPr/>
              <w:t>363,029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823" w:name="xdx_982_eus-gaap--ShareBasedCompensation"/>
            <w:bookmarkEnd w:id="823"/>
          </w:p>
        </w:tc>
        <w:tc>
          <w:tcPr>
            <w:tcW w:w="3424" w:type="dxa"/>
            <w:tcBorders/>
            <w:shd w:fill="CCEEFF" w:val="clear"/>
            <w:vAlign w:val="center"/>
          </w:tcPr>
          <w:p>
            <w:pPr>
              <w:pStyle w:val="TableContents"/>
              <w:bidi w:val="0"/>
              <w:spacing w:before="0" w:after="283"/>
              <w:jc w:val="right"/>
              <w:rPr/>
            </w:pPr>
            <w:r>
              <w:rPr/>
              <w:t>9.23</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bookmarkStart w:id="824" w:name="xdx_986_eus-gaap--ShareBasedCompensation"/>
            <w:bookmarkEnd w:id="824"/>
          </w:p>
        </w:tc>
        <w:tc>
          <w:tcPr>
            <w:tcW w:w="1759" w:type="dxa"/>
            <w:tcBorders/>
            <w:shd w:fill="FFFFFF" w:val="clear"/>
            <w:vAlign w:val="center"/>
          </w:tcPr>
          <w:p>
            <w:pPr>
              <w:pStyle w:val="TableContents"/>
              <w:bidi w:val="0"/>
              <w:spacing w:before="0" w:after="283"/>
              <w:jc w:val="right"/>
              <w:rPr/>
            </w:pPr>
            <w:r>
              <w:rPr/>
              <w:t>213,081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bookmarkStart w:id="825" w:name="xdx_98C_eus-gaap--ShareBasedCompensation"/>
            <w:bookmarkEnd w:id="825"/>
          </w:p>
        </w:tc>
        <w:tc>
          <w:tcPr>
            <w:tcW w:w="3424" w:type="dxa"/>
            <w:tcBorders/>
            <w:shd w:fill="FFFFFF" w:val="clear"/>
            <w:vAlign w:val="center"/>
          </w:tcPr>
          <w:p>
            <w:pPr>
              <w:pStyle w:val="TableContents"/>
              <w:bidi w:val="0"/>
              <w:spacing w:before="0" w:after="283"/>
              <w:jc w:val="right"/>
              <w:rPr/>
            </w:pPr>
            <w:r>
              <w:rPr/>
              <w:t>17.22</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vested</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bookmarkStart w:id="826" w:name="xdx_987_eus-gaap--ShareBasedCompensation"/>
            <w:bookmarkEnd w:id="826"/>
          </w:p>
        </w:tc>
        <w:tc>
          <w:tcPr>
            <w:tcW w:w="1759" w:type="dxa"/>
            <w:tcBorders/>
            <w:shd w:fill="CCEEFF" w:val="clear"/>
            <w:vAlign w:val="center"/>
          </w:tcPr>
          <w:p>
            <w:pPr>
              <w:pStyle w:val="TableContents"/>
              <w:bidi w:val="0"/>
              <w:spacing w:before="0" w:after="283"/>
              <w:jc w:val="right"/>
              <w:rPr/>
            </w:pPr>
            <w:r>
              <w:rPr/>
              <w:t>(298,016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bookmarkStart w:id="827" w:name="xdx_989_eus-gaap--ShareBasedCompensation"/>
            <w:bookmarkEnd w:id="827"/>
          </w:p>
        </w:tc>
        <w:tc>
          <w:tcPr>
            <w:tcW w:w="3424" w:type="dxa"/>
            <w:tcBorders/>
            <w:shd w:fill="CCEEFF" w:val="clear"/>
            <w:vAlign w:val="center"/>
          </w:tcPr>
          <w:p>
            <w:pPr>
              <w:pStyle w:val="TableContents"/>
              <w:bidi w:val="0"/>
              <w:spacing w:before="0" w:after="283"/>
              <w:jc w:val="right"/>
              <w:rPr/>
            </w:pPr>
            <w:r>
              <w:rPr/>
              <w:t>9.51</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RSUs cancelled/forfeited</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28" w:name="xdx_98B_eus-gaap--ShareBasedCompensation"/>
            <w:bookmarkEnd w:id="828"/>
          </w:p>
        </w:tc>
        <w:tc>
          <w:tcPr>
            <w:tcW w:w="1759" w:type="dxa"/>
            <w:tcBorders>
              <w:bottom w:val="single" w:sz="12" w:space="0" w:color="000000"/>
            </w:tcBorders>
            <w:shd w:fill="FFFFFF" w:val="clear"/>
            <w:tcMar>
              <w:bottom w:w="28" w:type="dxa"/>
            </w:tcMar>
            <w:vAlign w:val="center"/>
          </w:tcPr>
          <w:p>
            <w:pPr>
              <w:pStyle w:val="TableContents"/>
              <w:bidi w:val="0"/>
              <w:spacing w:before="0" w:after="283"/>
              <w:jc w:val="right"/>
              <w:rPr/>
            </w:pPr>
            <w:r>
              <w:rPr/>
              <w:t>(6,250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bookmarkStart w:id="829" w:name="xdx_983_eus-gaap--ShareBasedCompensation"/>
            <w:bookmarkEnd w:id="829"/>
          </w:p>
        </w:tc>
        <w:tc>
          <w:tcPr>
            <w:tcW w:w="3424" w:type="dxa"/>
            <w:tcBorders/>
            <w:shd w:fill="FFFFFF" w:val="clear"/>
            <w:vAlign w:val="center"/>
          </w:tcPr>
          <w:p>
            <w:pPr>
              <w:pStyle w:val="TableContents"/>
              <w:bidi w:val="0"/>
              <w:spacing w:before="0" w:after="283"/>
              <w:jc w:val="right"/>
              <w:rPr/>
            </w:pPr>
            <w:r>
              <w:rPr/>
              <w:t>8.10</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RSUs unvested - June 30, 2024</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30" w:name="xdx_98C_eus-gaap--ShareBasedCompensation"/>
            <w:bookmarkEnd w:id="830"/>
          </w:p>
        </w:tc>
        <w:tc>
          <w:tcPr>
            <w:tcW w:w="1759" w:type="dxa"/>
            <w:tcBorders>
              <w:bottom w:val="double" w:sz="6" w:space="0" w:color="000000"/>
            </w:tcBorders>
            <w:shd w:fill="CCEEFF" w:val="clear"/>
            <w:tcMar>
              <w:bottom w:w="28" w:type="dxa"/>
            </w:tcMar>
            <w:vAlign w:val="center"/>
          </w:tcPr>
          <w:p>
            <w:pPr>
              <w:pStyle w:val="TableContents"/>
              <w:bidi w:val="0"/>
              <w:spacing w:before="0" w:after="283"/>
              <w:jc w:val="right"/>
              <w:rPr/>
            </w:pPr>
            <w:r>
              <w:rPr/>
              <w:t>271,844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831" w:name="xdx_988_eus-gaap--ShareBasedCompensation"/>
            <w:bookmarkEnd w:id="831"/>
          </w:p>
        </w:tc>
        <w:tc>
          <w:tcPr>
            <w:tcW w:w="3424" w:type="dxa"/>
            <w:tcBorders/>
            <w:shd w:fill="CCEEFF" w:val="clear"/>
            <w:vAlign w:val="center"/>
          </w:tcPr>
          <w:p>
            <w:pPr>
              <w:pStyle w:val="TableContents"/>
              <w:bidi w:val="0"/>
              <w:spacing w:before="0" w:after="283"/>
              <w:jc w:val="right"/>
              <w:rPr/>
            </w:pPr>
            <w:r>
              <w:rPr/>
              <w:t>15.21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32" w:name="xdx_8A2_zeCAYgVZAY12"/>
      <w:bookmarkEnd w:id="83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total unrecognized compensation expense related to unvested RSUs was approximately $</w:t>
      </w:r>
      <w:bookmarkStart w:id="833" w:name="xdx_901_eus-gaap--EmployeeServiceShareBa"/>
      <w:bookmarkEnd w:id="833"/>
      <w:r>
        <w:rPr>
          <w:rFonts w:ascii="Times New Roman;Times;Serif" w:hAnsi="Times New Roman;Times;Serif"/>
          <w:b w:val="false"/>
          <w:i w:val="false"/>
          <w:caps w:val="false"/>
          <w:smallCaps w:val="false"/>
          <w:sz w:val="20"/>
        </w:rPr>
        <w:t xml:space="preserve">3,945,000, which is expected to be recognized over a weighted-average period of </w:t>
      </w:r>
      <w:bookmarkStart w:id="834" w:name="xdx_904_eus-gaap--EmployeeServiceShareBa"/>
      <w:bookmarkEnd w:id="834"/>
      <w:r>
        <w:rPr>
          <w:rFonts w:ascii="Times New Roman;Times;Serif" w:hAnsi="Times New Roman;Times;Serif"/>
          <w:b w:val="false"/>
          <w:i w:val="false"/>
          <w:caps w:val="false"/>
          <w:smallCaps w:val="false"/>
          <w:sz w:val="20"/>
        </w:rPr>
        <w:t>2.2 years, based on estimated and actual vesting schedules of the applicable RSUs. The stock-based compensation for RSUs during the three and six months ended June 30, 2024 was $</w:t>
      </w:r>
      <w:bookmarkStart w:id="835" w:name="xdx_90B_eus-gaap--AllocatedShareBasedCom"/>
      <w:bookmarkEnd w:id="835"/>
      <w:r>
        <w:rPr>
          <w:rFonts w:ascii="Times New Roman;Times;Serif" w:hAnsi="Times New Roman;Times;Serif"/>
          <w:b w:val="false"/>
          <w:i w:val="false"/>
          <w:caps w:val="false"/>
          <w:smallCaps w:val="false"/>
          <w:sz w:val="20"/>
        </w:rPr>
        <w:t>502,000 and $</w:t>
      </w:r>
      <w:bookmarkStart w:id="836" w:name="xdx_90C_eus-gaap--AllocatedShareBasedCom"/>
      <w:bookmarkEnd w:id="836"/>
      <w:r>
        <w:rPr>
          <w:rFonts w:ascii="Times New Roman;Times;Serif" w:hAnsi="Times New Roman;Times;Serif"/>
          <w:b w:val="false"/>
          <w:i w:val="false"/>
          <w:caps w:val="false"/>
          <w:smallCaps w:val="false"/>
          <w:sz w:val="20"/>
        </w:rPr>
        <w:t>907,000, respectively, and was $</w:t>
      </w:r>
      <w:bookmarkStart w:id="837" w:name="xdx_908_eus-gaap--AllocatedShareBasedCom"/>
      <w:bookmarkEnd w:id="837"/>
      <w:r>
        <w:rPr>
          <w:rFonts w:ascii="Times New Roman;Times;Serif" w:hAnsi="Times New Roman;Times;Serif"/>
          <w:b w:val="false"/>
          <w:i w:val="false"/>
          <w:caps w:val="false"/>
          <w:smallCaps w:val="false"/>
          <w:sz w:val="20"/>
        </w:rPr>
        <w:t>122,000 and $</w:t>
      </w:r>
      <w:bookmarkStart w:id="838" w:name="xdx_900_eus-gaap--AllocatedShareBasedCom"/>
      <w:bookmarkEnd w:id="838"/>
      <w:r>
        <w:rPr>
          <w:rFonts w:ascii="Times New Roman;Times;Serif" w:hAnsi="Times New Roman;Times;Serif"/>
          <w:b w:val="false"/>
          <w:i w:val="false"/>
          <w:caps w:val="false"/>
          <w:smallCaps w:val="false"/>
          <w:sz w:val="20"/>
        </w:rPr>
        <w:t>463,000 during the same periods in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39" w:name="xdx_892_eus-gaap--ShareBasedCompensation"/>
      <w:bookmarkEnd w:id="839"/>
      <w:r>
        <w:rPr>
          <w:rFonts w:ascii="Times New Roman;Times;Serif" w:hAnsi="Times New Roman;Times;Serif"/>
          <w:b w:val="false"/>
          <w:i w:val="false"/>
          <w:caps w:val="false"/>
          <w:smallCaps w:val="false"/>
          <w:sz w:val="20"/>
        </w:rPr>
        <w:t>A summary of the Company’s PSU activity and related information for the six months ended June 30, 2024 is as follows:</w:t>
      </w:r>
    </w:p>
    <w:p>
      <w:pPr>
        <w:pStyle w:val="TextBody"/>
        <w:bidi w:val="0"/>
        <w:spacing w:before="0" w:after="0"/>
        <w:ind w:left="0" w:right="0" w:hanging="0"/>
        <w:jc w:val="both"/>
        <w:rPr>
          <w:caps w:val="false"/>
          <w:smallCaps w:val="false"/>
        </w:rPr>
      </w:pPr>
      <w:r>
        <w:rPr>
          <w:caps w:val="false"/>
          <w:smallCaps w:val="false"/>
        </w:rPr>
        <w:t> </w:t>
      </w:r>
      <w:bookmarkStart w:id="840" w:name="xdx_8B2_zoLcutbotPVb"/>
      <w:bookmarkEnd w:id="840"/>
      <w:r>
        <w:rPr>
          <w:rFonts w:ascii="Times New Roman;Times;Serif" w:hAnsi="Times New Roman;Times;Serif"/>
          <w:b w:val="false"/>
          <w:i w:val="false"/>
          <w:caps w:val="false"/>
          <w:smallCaps w:val="false"/>
          <w:sz w:val="20"/>
        </w:rPr>
        <w:t>SCHEDULE OF PERFORMANCE STOCK UNITS ACTIVITY</w:t>
      </w:r>
    </w:p>
    <w:tbl>
      <w:tblPr>
        <w:tblW w:w="9644" w:type="dxa"/>
        <w:jc w:val="left"/>
        <w:tblInd w:w="0" w:type="dxa"/>
        <w:tblLayout w:type="fixed"/>
        <w:tblCellMar>
          <w:top w:w="0" w:type="dxa"/>
          <w:left w:w="0" w:type="dxa"/>
          <w:bottom w:w="0" w:type="dxa"/>
          <w:right w:w="0" w:type="dxa"/>
        </w:tblCellMar>
      </w:tblPr>
      <w:tblGrid>
        <w:gridCol w:w="3230"/>
        <w:gridCol w:w="60"/>
        <w:gridCol w:w="108"/>
        <w:gridCol w:w="1771"/>
        <w:gridCol w:w="60"/>
        <w:gridCol w:w="60"/>
        <w:gridCol w:w="856"/>
        <w:gridCol w:w="3424"/>
        <w:gridCol w:w="75"/>
      </w:tblGrid>
      <w:tr>
        <w:trPr/>
        <w:tc>
          <w:tcPr>
            <w:tcW w:w="3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 Average Grant Date Fair Value</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PSUs unvested – January 1, 2024</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841" w:name="xdx_987_eus-gaap--ShareBasedCompensation"/>
            <w:bookmarkEnd w:id="841"/>
          </w:p>
        </w:tc>
        <w:tc>
          <w:tcPr>
            <w:tcW w:w="1771" w:type="dxa"/>
            <w:tcBorders/>
            <w:shd w:fill="CCEEFF" w:val="clear"/>
            <w:vAlign w:val="center"/>
          </w:tcPr>
          <w:p>
            <w:pPr>
              <w:pStyle w:val="TableContents"/>
              <w:bidi w:val="0"/>
              <w:spacing w:before="0" w:after="283"/>
              <w:jc w:val="right"/>
              <w:rPr/>
            </w:pPr>
            <w:r>
              <w:rPr/>
              <w:t>1,567,913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842" w:name="xdx_983_eus-gaap--ShareBasedCompensation"/>
            <w:bookmarkEnd w:id="842"/>
          </w:p>
        </w:tc>
        <w:tc>
          <w:tcPr>
            <w:tcW w:w="3424"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PSUs granted</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bookmarkStart w:id="843" w:name="xdx_981_eus-gaap--ShareBasedCompensation"/>
            <w:bookmarkEnd w:id="843"/>
          </w:p>
        </w:tc>
        <w:tc>
          <w:tcPr>
            <w:tcW w:w="177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PSUs vested</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bookmarkStart w:id="844" w:name="xdx_986_eus-gaap--ShareBasedCompensation"/>
            <w:bookmarkEnd w:id="844"/>
          </w:p>
        </w:tc>
        <w:tc>
          <w:tcPr>
            <w:tcW w:w="17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34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283"/>
              <w:jc w:val="left"/>
              <w:rPr/>
            </w:pPr>
            <w:r>
              <w:rPr/>
              <w:t>PSUs cancelled/forfeited</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845" w:name="xdx_986_eus-gaap--ShareBasedCompensation"/>
            <w:bookmarkEnd w:id="845"/>
          </w:p>
        </w:tc>
        <w:tc>
          <w:tcPr>
            <w:tcW w:w="177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34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PSUs unvested – June 30, 2024</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46" w:name="xdx_98A_eus-gaap--ShareBasedCompensation"/>
            <w:bookmarkEnd w:id="846"/>
          </w:p>
        </w:tc>
        <w:tc>
          <w:tcPr>
            <w:tcW w:w="1771" w:type="dxa"/>
            <w:tcBorders>
              <w:bottom w:val="double" w:sz="6" w:space="0" w:color="000000"/>
            </w:tcBorders>
            <w:shd w:fill="CCEEFF" w:val="clear"/>
            <w:tcMar>
              <w:bottom w:w="28" w:type="dxa"/>
            </w:tcMar>
            <w:vAlign w:val="center"/>
          </w:tcPr>
          <w:p>
            <w:pPr>
              <w:pStyle w:val="TableContents"/>
              <w:bidi w:val="0"/>
              <w:spacing w:before="0" w:after="283"/>
              <w:jc w:val="right"/>
              <w:rPr/>
            </w:pPr>
            <w:r>
              <w:rPr/>
              <w:t>1,567,913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w:t>
            </w:r>
            <w:bookmarkStart w:id="847" w:name="xdx_985_eus-gaap--ShareBasedCompensation"/>
            <w:bookmarkEnd w:id="847"/>
          </w:p>
        </w:tc>
        <w:tc>
          <w:tcPr>
            <w:tcW w:w="3424" w:type="dxa"/>
            <w:tcBorders/>
            <w:shd w:fill="CCEEFF" w:val="clear"/>
            <w:vAlign w:val="center"/>
          </w:tcPr>
          <w:p>
            <w:pPr>
              <w:pStyle w:val="TableContents"/>
              <w:bidi w:val="0"/>
              <w:spacing w:before="0" w:after="283"/>
              <w:jc w:val="right"/>
              <w:rPr/>
            </w:pPr>
            <w:r>
              <w:rPr/>
              <w:t>18.56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48" w:name="xdx_8A0_zMxBi5TjwF0a"/>
      <w:bookmarkEnd w:id="848"/>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the total unrecognized compensation expense related to unvested PSUs was approximately $</w:t>
      </w:r>
      <w:bookmarkStart w:id="849" w:name="xdx_904_eus-gaap--EmployeeServiceShareBa"/>
      <w:bookmarkEnd w:id="849"/>
      <w:r>
        <w:rPr>
          <w:rFonts w:ascii="Times New Roman;Times;Serif" w:hAnsi="Times New Roman;Times;Serif"/>
          <w:b w:val="false"/>
          <w:i w:val="false"/>
          <w:caps w:val="false"/>
          <w:smallCaps w:val="false"/>
          <w:sz w:val="20"/>
        </w:rPr>
        <w:t xml:space="preserve">14,553,000, which is expected to be recognized over a weighted-average period of </w:t>
      </w:r>
      <w:bookmarkStart w:id="850" w:name="xdx_902_eus-gaap--EmployeeServiceShareBa"/>
      <w:bookmarkEnd w:id="850"/>
      <w:r>
        <w:rPr>
          <w:rFonts w:ascii="Times New Roman;Times;Serif" w:hAnsi="Times New Roman;Times;Serif"/>
          <w:b w:val="false"/>
          <w:i w:val="false"/>
          <w:caps w:val="false"/>
          <w:smallCaps w:val="false"/>
          <w:sz w:val="20"/>
        </w:rPr>
        <w:t>0.76 years, based on estimated and actual vesting schedules of the applicable PSUs. The stock-based compensation for PSUs during the three and six months ended June 30, 2024 was $</w:t>
      </w:r>
      <w:bookmarkStart w:id="851" w:name="xdx_902_eus-gaap--AllocatedShareBasedCom"/>
      <w:bookmarkEnd w:id="851"/>
      <w:r>
        <w:rPr>
          <w:rFonts w:ascii="Times New Roman;Times;Serif" w:hAnsi="Times New Roman;Times;Serif"/>
          <w:b w:val="false"/>
          <w:i w:val="false"/>
          <w:caps w:val="false"/>
          <w:smallCaps w:val="false"/>
          <w:sz w:val="20"/>
        </w:rPr>
        <w:t>3,638,000 and $</w:t>
      </w:r>
      <w:bookmarkStart w:id="852" w:name="xdx_902_eus-gaap--AllocatedShareBasedCom"/>
      <w:bookmarkEnd w:id="852"/>
      <w:r>
        <w:rPr>
          <w:rFonts w:ascii="Times New Roman;Times;Serif" w:hAnsi="Times New Roman;Times;Serif"/>
          <w:b w:val="false"/>
          <w:i w:val="false"/>
          <w:caps w:val="false"/>
          <w:smallCaps w:val="false"/>
          <w:sz w:val="20"/>
        </w:rPr>
        <w:t>7,276,000, respectively, and $</w:t>
      </w:r>
      <w:bookmarkStart w:id="853" w:name="xdx_905_eus-gaap--AllocatedShareBasedCom"/>
      <w:bookmarkEnd w:id="853"/>
      <w:r>
        <w:rPr>
          <w:rFonts w:ascii="Times New Roman;Times;Serif" w:hAnsi="Times New Roman;Times;Serif"/>
          <w:b w:val="false"/>
          <w:i w:val="false"/>
          <w:caps w:val="false"/>
          <w:smallCaps w:val="false"/>
          <w:sz w:val="20"/>
        </w:rPr>
        <w:t>5,290,000 and $</w:t>
      </w:r>
      <w:bookmarkStart w:id="854" w:name="xdx_90E_eus-gaap--AllocatedShareBasedCom"/>
      <w:bookmarkEnd w:id="854"/>
      <w:r>
        <w:rPr>
          <w:rFonts w:ascii="Times New Roman;Times;Serif" w:hAnsi="Times New Roman;Times;Serif"/>
          <w:b w:val="false"/>
          <w:i w:val="false"/>
          <w:caps w:val="false"/>
          <w:smallCaps w:val="false"/>
          <w:sz w:val="20"/>
        </w:rPr>
        <w:t>6,582,000 during the same periods in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55" w:name="xdx_89E_eus-gaap--ScheduleOfShareBasedCo"/>
      <w:bookmarkEnd w:id="855"/>
      <w:r>
        <w:rPr>
          <w:rFonts w:ascii="Times New Roman;Times;Serif" w:hAnsi="Times New Roman;Times;Serif"/>
          <w:b w:val="false"/>
          <w:i w:val="false"/>
          <w:caps w:val="false"/>
          <w:smallCaps w:val="false"/>
          <w:sz w:val="20"/>
        </w:rPr>
        <w:t>The Company recorded stock-based compensation related to equity instruments granted to employees, directors and consultants as follows:</w:t>
      </w:r>
    </w:p>
    <w:p>
      <w:pPr>
        <w:pStyle w:val="TextBody"/>
        <w:bidi w:val="0"/>
        <w:spacing w:before="0" w:after="0"/>
        <w:ind w:left="0" w:right="0" w:hanging="0"/>
        <w:jc w:val="both"/>
        <w:rPr>
          <w:caps w:val="false"/>
          <w:smallCaps w:val="false"/>
        </w:rPr>
      </w:pPr>
      <w:r>
        <w:rPr>
          <w:caps w:val="false"/>
          <w:smallCaps w:val="false"/>
        </w:rPr>
        <w:t> </w:t>
      </w:r>
      <w:bookmarkStart w:id="856" w:name="xdx_8B9_z3t0SS0RfAc6"/>
      <w:bookmarkEnd w:id="856"/>
      <w:r>
        <w:rPr>
          <w:rFonts w:ascii="Times New Roman;Times;Serif" w:hAnsi="Times New Roman;Times;Serif"/>
          <w:b w:val="false"/>
          <w:i w:val="false"/>
          <w:caps w:val="false"/>
          <w:smallCaps w:val="false"/>
          <w:sz w:val="20"/>
        </w:rPr>
        <w:t>SCHEDULE OF STOCK BASED COMPENSATION GRANTED TO EMPLOYEES, DIRECTORS AND CONSULTANTS</w:t>
      </w:r>
    </w:p>
    <w:tbl>
      <w:tblPr>
        <w:tblW w:w="10205" w:type="dxa"/>
        <w:jc w:val="left"/>
        <w:tblInd w:w="0" w:type="dxa"/>
        <w:tblLayout w:type="fixed"/>
        <w:tblCellMar>
          <w:top w:w="0" w:type="dxa"/>
          <w:left w:w="0" w:type="dxa"/>
          <w:bottom w:w="0" w:type="dxa"/>
          <w:right w:w="0" w:type="dxa"/>
        </w:tblCellMar>
      </w:tblPr>
      <w:tblGrid>
        <w:gridCol w:w="4216"/>
        <w:gridCol w:w="60"/>
        <w:gridCol w:w="177"/>
        <w:gridCol w:w="1246"/>
        <w:gridCol w:w="76"/>
        <w:gridCol w:w="76"/>
        <w:gridCol w:w="177"/>
        <w:gridCol w:w="1246"/>
        <w:gridCol w:w="60"/>
        <w:gridCol w:w="60"/>
        <w:gridCol w:w="161"/>
        <w:gridCol w:w="1135"/>
        <w:gridCol w:w="68"/>
        <w:gridCol w:w="68"/>
        <w:gridCol w:w="161"/>
        <w:gridCol w:w="1135"/>
        <w:gridCol w:w="83"/>
      </w:tblGrid>
      <w:tr>
        <w:trPr/>
        <w:tc>
          <w:tcPr>
            <w:tcW w:w="42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7" w:name="xdx_493_20240401__20240630_zELo8BC685n2"/>
            <w:bookmarkEnd w:id="857"/>
          </w:p>
        </w:tc>
        <w:tc>
          <w:tcPr>
            <w:tcW w:w="1423"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858" w:name="xdx_490_20230401__20230630_zrt3EFFkPXLe"/>
            <w:bookmarkEnd w:id="858"/>
          </w:p>
        </w:tc>
        <w:tc>
          <w:tcPr>
            <w:tcW w:w="1423"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9" w:name="xdx_49D_20240101__20240630_z99SpIWds1Gb"/>
            <w:bookmarkEnd w:id="859"/>
          </w:p>
        </w:tc>
        <w:tc>
          <w:tcPr>
            <w:tcW w:w="1296"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bookmarkStart w:id="860" w:name="xdx_49D_20230101__20230630_z0xjLS66hQql"/>
            <w:bookmarkEnd w:id="860"/>
          </w:p>
        </w:tc>
        <w:tc>
          <w:tcPr>
            <w:tcW w:w="1296"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83" w:type="dxa"/>
            <w:tcBorders/>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83" w:type="dxa"/>
            <w:tcBorders/>
            <w:vAlign w:val="center"/>
          </w:tcPr>
          <w:p>
            <w:pPr>
              <w:pStyle w:val="TableContents"/>
              <w:bidi w:val="0"/>
              <w:spacing w:before="0" w:after="283"/>
              <w:jc w:val="left"/>
              <w:rPr/>
            </w:pPr>
            <w:r>
              <w:rPr/>
              <w:t> </w:t>
            </w:r>
          </w:p>
        </w:tc>
      </w:tr>
      <w:tr>
        <w:trPr/>
        <w:tc>
          <w:tcPr>
            <w:tcW w:w="42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left"/>
              <w:rPr/>
            </w:pPr>
            <w:r>
              <w:rPr/>
              <w:t> </w:t>
            </w:r>
            <w:bookmarkStart w:id="861" w:name="xdx_40A_eus-gaap--AllocatedShareBasedCom"/>
            <w:bookmarkEnd w:id="861"/>
          </w:p>
        </w:tc>
      </w:tr>
      <w:tr>
        <w:trPr/>
        <w:tc>
          <w:tcPr>
            <w:tcW w:w="4216" w:type="dxa"/>
            <w:tcBorders/>
            <w:shd w:fill="CCEEFF" w:val="clear"/>
            <w:vAlign w:val="center"/>
          </w:tcPr>
          <w:p>
            <w:pPr>
              <w:pStyle w:val="TableContents"/>
              <w:bidi w:val="0"/>
              <w:spacing w:before="0" w:after="283"/>
              <w:jc w:val="left"/>
              <w:rPr/>
            </w:pPr>
            <w:r>
              <w:rPr/>
              <w:t>Employees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3,579,000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4,607,000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7,104,000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5,935,000</w:t>
            </w:r>
          </w:p>
        </w:tc>
        <w:tc>
          <w:tcPr>
            <w:tcW w:w="83" w:type="dxa"/>
            <w:tcBorders/>
            <w:shd w:fill="CCEEFF" w:val="clear"/>
            <w:vAlign w:val="center"/>
          </w:tcPr>
          <w:p>
            <w:pPr>
              <w:pStyle w:val="TableContents"/>
              <w:bidi w:val="0"/>
              <w:spacing w:before="0" w:after="283"/>
              <w:jc w:val="left"/>
              <w:rPr/>
            </w:pPr>
            <w:r>
              <w:rPr/>
              <w:t> </w:t>
            </w:r>
            <w:bookmarkStart w:id="862" w:name="xdx_407_eus-gaap--AllocatedShareBasedCom"/>
            <w:bookmarkEnd w:id="862"/>
          </w:p>
        </w:tc>
      </w:tr>
      <w:tr>
        <w:trPr/>
        <w:tc>
          <w:tcPr>
            <w:tcW w:w="4216" w:type="dxa"/>
            <w:tcBorders/>
            <w:shd w:fill="FFFFFF" w:val="clear"/>
            <w:vAlign w:val="center"/>
          </w:tcPr>
          <w:p>
            <w:pPr>
              <w:pStyle w:val="TableContents"/>
              <w:bidi w:val="0"/>
              <w:spacing w:before="0" w:after="283"/>
              <w:jc w:val="left"/>
              <w:rPr/>
            </w:pPr>
            <w:r>
              <w:rPr/>
              <w:t>Employees - research and development</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439,000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586,000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878,000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749,000</w:t>
            </w:r>
          </w:p>
        </w:tc>
        <w:tc>
          <w:tcPr>
            <w:tcW w:w="83" w:type="dxa"/>
            <w:tcBorders/>
            <w:shd w:fill="FFFFFF" w:val="clear"/>
            <w:vAlign w:val="center"/>
          </w:tcPr>
          <w:p>
            <w:pPr>
              <w:pStyle w:val="TableContents"/>
              <w:bidi w:val="0"/>
              <w:spacing w:before="0" w:after="283"/>
              <w:jc w:val="left"/>
              <w:rPr/>
            </w:pPr>
            <w:r>
              <w:rPr/>
              <w:t> </w:t>
            </w:r>
            <w:bookmarkStart w:id="863" w:name="xdx_402_eus-gaap--AllocatedShareBasedCom"/>
            <w:bookmarkEnd w:id="863"/>
          </w:p>
        </w:tc>
      </w:tr>
      <w:tr>
        <w:trPr/>
        <w:tc>
          <w:tcPr>
            <w:tcW w:w="4216" w:type="dxa"/>
            <w:tcBorders/>
            <w:shd w:fill="CCEEFF" w:val="clear"/>
            <w:vAlign w:val="center"/>
          </w:tcPr>
          <w:p>
            <w:pPr>
              <w:pStyle w:val="TableContents"/>
              <w:bidi w:val="0"/>
              <w:spacing w:before="0" w:after="283"/>
              <w:jc w:val="left"/>
              <w:rPr/>
            </w:pPr>
            <w:r>
              <w:rPr/>
              <w:t>Directors - selling, general and administrative</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214,000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203,000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402,000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328,000</w:t>
            </w:r>
          </w:p>
        </w:tc>
        <w:tc>
          <w:tcPr>
            <w:tcW w:w="83" w:type="dxa"/>
            <w:tcBorders/>
            <w:shd w:fill="CCEEFF" w:val="clear"/>
            <w:vAlign w:val="center"/>
          </w:tcPr>
          <w:p>
            <w:pPr>
              <w:pStyle w:val="TableContents"/>
              <w:bidi w:val="0"/>
              <w:spacing w:before="0" w:after="283"/>
              <w:jc w:val="left"/>
              <w:rPr/>
            </w:pPr>
            <w:r>
              <w:rPr/>
              <w:t> </w:t>
            </w:r>
            <w:bookmarkStart w:id="864" w:name="xdx_401_eus-gaap--AllocatedShareBasedCom"/>
            <w:bookmarkEnd w:id="864"/>
          </w:p>
        </w:tc>
      </w:tr>
      <w:tr>
        <w:trPr/>
        <w:tc>
          <w:tcPr>
            <w:tcW w:w="4216" w:type="dxa"/>
            <w:tcBorders/>
            <w:shd w:fill="FFFFFF" w:val="clear"/>
            <w:vAlign w:val="center"/>
          </w:tcPr>
          <w:p>
            <w:pPr>
              <w:pStyle w:val="TableContents"/>
              <w:bidi w:val="0"/>
              <w:spacing w:before="0" w:after="283"/>
              <w:jc w:val="left"/>
              <w:rPr/>
            </w:pPr>
            <w:r>
              <w:rPr/>
              <w:t>Consultants - selling, general and administrative</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FFFFFF" w:val="clear"/>
            <w:tcMar>
              <w:bottom w:w="28" w:type="dxa"/>
            </w:tcMar>
            <w:vAlign w:val="center"/>
          </w:tcPr>
          <w:p>
            <w:pPr>
              <w:pStyle w:val="TableContents"/>
              <w:bidi w:val="0"/>
              <w:spacing w:before="0" w:after="283"/>
              <w:jc w:val="right"/>
              <w:rPr/>
            </w:pPr>
            <w:r>
              <w:rPr/>
              <w:t>39,000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FFFFFF" w:val="clear"/>
            <w:tcMar>
              <w:bottom w:w="28" w:type="dxa"/>
            </w:tcMar>
            <w:vAlign w:val="center"/>
          </w:tcPr>
          <w:p>
            <w:pPr>
              <w:pStyle w:val="TableContents"/>
              <w:bidi w:val="0"/>
              <w:spacing w:before="0" w:after="283"/>
              <w:jc w:val="right"/>
              <w:rPr/>
            </w:pPr>
            <w:r>
              <w:rPr/>
              <w:t>16,000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56,000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33,000</w:t>
            </w:r>
          </w:p>
        </w:tc>
        <w:tc>
          <w:tcPr>
            <w:tcW w:w="83" w:type="dxa"/>
            <w:tcBorders/>
            <w:shd w:fill="FFFFFF" w:val="clear"/>
            <w:vAlign w:val="center"/>
          </w:tcPr>
          <w:p>
            <w:pPr>
              <w:pStyle w:val="TableContents"/>
              <w:bidi w:val="0"/>
              <w:spacing w:before="0" w:after="283"/>
              <w:jc w:val="left"/>
              <w:rPr/>
            </w:pPr>
            <w:r>
              <w:rPr/>
              <w:t> </w:t>
            </w:r>
            <w:bookmarkStart w:id="865" w:name="xdx_409_eus-gaap--AllocatedShareBasedCom"/>
            <w:bookmarkEnd w:id="865"/>
          </w:p>
        </w:tc>
      </w:tr>
      <w:tr>
        <w:trPr/>
        <w:tc>
          <w:tcPr>
            <w:tcW w:w="4216"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0" w:after="283"/>
              <w:jc w:val="right"/>
              <w:rPr/>
            </w:pPr>
            <w:r>
              <w:rPr/>
              <w:t>4,271,000</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46" w:type="dxa"/>
            <w:tcBorders>
              <w:bottom w:val="double" w:sz="6" w:space="0" w:color="000000"/>
            </w:tcBorders>
            <w:shd w:fill="CCEEFF" w:val="clear"/>
            <w:tcMar>
              <w:bottom w:w="28" w:type="dxa"/>
            </w:tcMar>
            <w:vAlign w:val="center"/>
          </w:tcPr>
          <w:p>
            <w:pPr>
              <w:pStyle w:val="TableContents"/>
              <w:bidi w:val="0"/>
              <w:spacing w:before="0" w:after="283"/>
              <w:jc w:val="right"/>
              <w:rPr/>
            </w:pPr>
            <w:r>
              <w:rPr/>
              <w:t>5,412,000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jc w:val="right"/>
              <w:rPr/>
            </w:pPr>
            <w:r>
              <w:rPr/>
              <w:t>8,440,000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jc w:val="right"/>
              <w:rPr/>
            </w:pPr>
            <w:r>
              <w:rPr/>
              <w:t>7,045,000</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66" w:name="xdx_8AA_zqmlh1nQ9t2g"/>
      <w:bookmarkEnd w:id="86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7" w:name="xdx_80A_eus-gaap--CommitmentsAndContinge"/>
      <w:bookmarkEnd w:id="867"/>
      <w:r>
        <w:rPr>
          <w:rFonts w:ascii="Times New Roman;Times;Serif" w:hAnsi="Times New Roman;Times;Serif"/>
          <w:b/>
          <w:i w:val="false"/>
          <w:caps w:val="false"/>
          <w:smallCaps w:val="false"/>
          <w:sz w:val="20"/>
        </w:rPr>
        <w:t xml:space="preserve">NOTE 14. </w:t>
      </w:r>
      <w:bookmarkStart w:id="868" w:name="xdx_827_zU6VEMsw0dRk"/>
      <w:bookmarkEnd w:id="868"/>
      <w:r>
        <w:rPr>
          <w:rFonts w:ascii="Times New Roman;Times;Serif" w:hAnsi="Times New Roman;Times;Serif"/>
          <w:b/>
          <w:i w:val="false"/>
          <w:caps w:val="false"/>
          <w:smallCaps w:val="false"/>
          <w:sz w:val="20"/>
        </w:rPr>
        <w:t xml:space="preserve">COMMITMENTS AND CONTINGENCIES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involved in various legal proceedings, government investigations and other matters that are complex in nature and have outcomes that are difficult to predict. The Company describes legal proceedings and other matters that are/were significant or that it believes could become significant in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legal proceedings involve various aspects of its business and a variety of claims, some of which present novel factual allegations and/or unique legal theories. Typically, a number of the matters pending against the Company are at early stages of the legal process, which in complex proceedings of the sort the Company faces often extend for several years. While it is not possible to accurately predict or determine the eventual outcomes of matters that have not concluded, an adverse determination in one or more of the matters (whether discussed in this note or not) currently pending may have a material adverse effect on the Company’s condensed consolidated results of operations, financial position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Ocular Science, Inc. et. 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has been amended and OSRX added counterclaims alleging ImprimisRx, LLC is violating the Lanham Act with false advertising. The Court granted cross motions for summary judgement on each party’s Lanham Act claims thus leaving only ImprimisRx, LLC’s copyright infringement, trademark infringement and unfair competition claims for trial. ImprimisRx, LLC is seeking damages from OSRX. The matter was expected to go to trial in August 2024, however, due to scheduling conflicts with the Court, the trial will be re-scheduled to a later date that has not yet been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Professional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License and Related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FDA Approved Product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Company has acquired commercial and product rights to various FDA 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 During the three and six months ended June 30, 2024, $</w:t>
      </w:r>
      <w:bookmarkStart w:id="869" w:name="xdx_908_eus-gaap--RoyaltyExpense_c202404"/>
      <w:bookmarkEnd w:id="869"/>
      <w:r>
        <w:rPr>
          <w:rFonts w:ascii="Times New Roman;Times;Serif" w:hAnsi="Times New Roman;Times;Serif"/>
          <w:b w:val="false"/>
          <w:i w:val="false"/>
          <w:caps w:val="false"/>
          <w:smallCaps w:val="false"/>
          <w:sz w:val="20"/>
        </w:rPr>
        <w:t>1,036,000 and $</w:t>
      </w:r>
      <w:bookmarkStart w:id="870" w:name="xdx_90D_eus-gaap--RoyaltyExpense_c202401"/>
      <w:bookmarkEnd w:id="870"/>
      <w:r>
        <w:rPr>
          <w:rFonts w:ascii="Times New Roman;Times;Serif" w:hAnsi="Times New Roman;Times;Serif"/>
          <w:b w:val="false"/>
          <w:i w:val="false"/>
          <w:caps w:val="false"/>
          <w:smallCaps w:val="false"/>
          <w:sz w:val="20"/>
        </w:rPr>
        <w:t>1,310,000, respectively, were incurred under these agreements as royalty expenses, and $</w:t>
      </w:r>
      <w:bookmarkStart w:id="871" w:name="xdx_902_eus-gaap--RoyaltyExpense_c202304"/>
      <w:bookmarkEnd w:id="871"/>
      <w:r>
        <w:rPr>
          <w:rFonts w:ascii="Times New Roman;Times;Serif" w:hAnsi="Times New Roman;Times;Serif"/>
          <w:b w:val="false"/>
          <w:i w:val="false"/>
          <w:caps w:val="false"/>
          <w:smallCaps w:val="false"/>
          <w:sz w:val="20"/>
        </w:rPr>
        <w:t>0 and $</w:t>
      </w:r>
      <w:bookmarkStart w:id="872" w:name="xdx_907_eus-gaap--RoyaltyExpense_c202301"/>
      <w:bookmarkEnd w:id="872"/>
      <w:r>
        <w:rPr>
          <w:rFonts w:ascii="Times New Roman;Times;Serif" w:hAnsi="Times New Roman;Times;Serif"/>
          <w:b w:val="false"/>
          <w:i w:val="false"/>
          <w:caps w:val="false"/>
          <w:smallCaps w:val="false"/>
          <w:sz w:val="20"/>
        </w:rPr>
        <w:t>0, respectively, during the same periods in 2023. During the three and six months ended June 30, 2024, $</w:t>
      </w:r>
      <w:bookmarkStart w:id="873" w:name="xdx_906_ecustom--UpfrontAndMilestonePaym"/>
      <w:bookmarkStart w:id="874" w:name="xdx_90E_ecustom--UpfrontAndMilestonePaym"/>
      <w:bookmarkEnd w:id="873"/>
      <w:bookmarkEnd w:id="874"/>
      <w:r>
        <w:rPr>
          <w:rFonts w:ascii="Times New Roman;Times;Serif" w:hAnsi="Times New Roman;Times;Serif"/>
          <w:b w:val="false"/>
          <w:i w:val="false"/>
          <w:caps w:val="false"/>
          <w:smallCaps w:val="false"/>
          <w:sz w:val="20"/>
        </w:rPr>
        <w:t>0 were incurred under these agreements related to upfront and milestone payments under these agreements, respectively, and $</w:t>
      </w:r>
      <w:bookmarkStart w:id="875" w:name="xdx_906_ecustom--UpfrontAndMilestonePaym"/>
      <w:bookmarkEnd w:id="875"/>
      <w:r>
        <w:rPr>
          <w:rFonts w:ascii="Times New Roman;Times;Serif" w:hAnsi="Times New Roman;Times;Serif"/>
          <w:b w:val="false"/>
          <w:i w:val="false"/>
          <w:caps w:val="false"/>
          <w:smallCaps w:val="false"/>
          <w:sz w:val="20"/>
        </w:rPr>
        <w:t>0 and $</w:t>
      </w:r>
      <w:bookmarkStart w:id="876" w:name="xdx_906_ecustom--UpfrontAndMilestonePaym"/>
      <w:bookmarkEnd w:id="876"/>
      <w:r>
        <w:rPr>
          <w:rFonts w:ascii="Times New Roman;Times;Serif" w:hAnsi="Times New Roman;Times;Serif"/>
          <w:b w:val="false"/>
          <w:i w:val="false"/>
          <w:caps w:val="false"/>
          <w:smallCaps w:val="false"/>
          <w:sz w:val="20"/>
        </w:rPr>
        <w:t>5,000,000, respectively, during the same periods in 2023. As of June 30, 2024, the remaining contingent consideration payable pursuant to these agreements were not considered probable and reasonably estimable and therefore, no amount was accrued related to these contingent obligations during the three and six months ended June 30, 2024. At the time contingent consideration payable becomes probable and reasonably estimable the additional consideration, if any, paid will be allocated to the assets based on their initial estimated fair values as a percent of the total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Formulation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acquired and sourced intellectual property rights related to certain proprietary innovations from certain inventors, innovator companies and related parties (the “Inventors”) through multiple asset purchase agreements and license agreements. In general, these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these intellectual property rights, the Company is obligated to make payments to the Inventors based on the completion of certain milestones, generally consisting of: (1) a payment payable within 30 to 45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 During the three and six months ended June 30, 2024, $</w:t>
      </w:r>
      <w:bookmarkStart w:id="877" w:name="xdx_90F_eus-gaap--RoyaltyExpense_c202404"/>
      <w:bookmarkEnd w:id="877"/>
      <w:r>
        <w:rPr>
          <w:rFonts w:ascii="Times New Roman;Times;Serif" w:hAnsi="Times New Roman;Times;Serif"/>
          <w:b w:val="false"/>
          <w:i w:val="false"/>
          <w:caps w:val="false"/>
          <w:smallCaps w:val="false"/>
          <w:sz w:val="20"/>
        </w:rPr>
        <w:t>316,000 and $</w:t>
      </w:r>
      <w:bookmarkStart w:id="878" w:name="xdx_903_eus-gaap--RoyaltyExpense_c202401"/>
      <w:bookmarkEnd w:id="878"/>
      <w:r>
        <w:rPr>
          <w:rFonts w:ascii="Times New Roman;Times;Serif" w:hAnsi="Times New Roman;Times;Serif"/>
          <w:b w:val="false"/>
          <w:i w:val="false"/>
          <w:caps w:val="false"/>
          <w:smallCaps w:val="false"/>
          <w:sz w:val="20"/>
        </w:rPr>
        <w:t>496,000, respectively, were incurred under these agreements as royalty expenses and $</w:t>
      </w:r>
      <w:bookmarkStart w:id="879" w:name="xdx_903_eus-gaap--RoyaltyExpense_c202304"/>
      <w:bookmarkEnd w:id="879"/>
      <w:r>
        <w:rPr>
          <w:rFonts w:ascii="Times New Roman;Times;Serif" w:hAnsi="Times New Roman;Times;Serif"/>
          <w:b w:val="false"/>
          <w:i w:val="false"/>
          <w:caps w:val="false"/>
          <w:smallCaps w:val="false"/>
          <w:sz w:val="20"/>
        </w:rPr>
        <w:t>275,000 and $</w:t>
      </w:r>
      <w:bookmarkStart w:id="880" w:name="xdx_903_eus-gaap--RoyaltyExpense_c202301"/>
      <w:bookmarkEnd w:id="880"/>
      <w:r>
        <w:rPr>
          <w:rFonts w:ascii="Times New Roman;Times;Serif" w:hAnsi="Times New Roman;Times;Serif"/>
          <w:b w:val="false"/>
          <w:i w:val="false"/>
          <w:caps w:val="false"/>
          <w:smallCaps w:val="false"/>
          <w:sz w:val="20"/>
        </w:rPr>
        <w:t>651,000, respectively, during the same periods in 2023.</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entered various sales and marketing agreements with certain organizations to provide exclusive and non-exclusive sales and marketing representation services to Harrow in select geographies in the U.S. in connection with the Company’s ophthalmic pharmaceutical compounded formulations or related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1" w:name="xdx_902_ecustom--DescriptionForCommissio"/>
      <w:bookmarkEnd w:id="881"/>
      <w:r>
        <w:rPr>
          <w:rFonts w:ascii="Times New Roman;Times;Serif" w:hAnsi="Times New Roman;Times;Serif"/>
          <w:b w:val="false"/>
          <w:i w:val="false"/>
          <w:caps w:val="false"/>
          <w:smallCaps w:val="false"/>
          <w:sz w:val="20"/>
        </w:rPr>
        <w:t xml:space="preserve">Under the terms of the sales and marketing agreements, the Company was generally required to make commission payments equal to </w:t>
      </w:r>
      <w:bookmarkStart w:id="882" w:name="xdx_907_ecustom--CommissionPaymentsPerce"/>
      <w:bookmarkEnd w:id="882"/>
      <w:r>
        <w:rPr>
          <w:rFonts w:ascii="Times New Roman;Times;Serif" w:hAnsi="Times New Roman;Times;Serif"/>
          <w:b w:val="false"/>
          <w:i w:val="false"/>
          <w:caps w:val="false"/>
          <w:smallCaps w:val="false"/>
          <w:sz w:val="20"/>
        </w:rPr>
        <w:t xml:space="preserve">10% to </w:t>
      </w:r>
      <w:bookmarkStart w:id="883" w:name="xdx_90B_ecustom--CommissionPaymentsPerce"/>
      <w:bookmarkEnd w:id="883"/>
      <w:r>
        <w:rPr>
          <w:rFonts w:ascii="Times New Roman;Times;Serif" w:hAnsi="Times New Roman;Times;Serif"/>
          <w:b w:val="false"/>
          <w:i w:val="false"/>
          <w:caps w:val="false"/>
          <w:smallCaps w:val="false"/>
          <w:sz w:val="20"/>
        </w:rPr>
        <w:t>14% of net sales for products above and beyond the initial existing sales amounts. In addition, the Company was required to make periodic milestone payments to certain organizations in shares of the Company’s restricted common stock if net sales in the assigned territory reach certain future levels by the end of their terms. Commission expenses of $</w:t>
      </w:r>
      <w:bookmarkStart w:id="884" w:name="xdx_906_eus-gaap--SalesCommissionsAndFee"/>
      <w:bookmarkEnd w:id="884"/>
      <w:r>
        <w:rPr>
          <w:rFonts w:ascii="Times New Roman;Times;Serif" w:hAnsi="Times New Roman;Times;Serif"/>
          <w:b w:val="false"/>
          <w:i w:val="false"/>
          <w:caps w:val="false"/>
          <w:smallCaps w:val="false"/>
          <w:sz w:val="20"/>
        </w:rPr>
        <w:t>0 and $</w:t>
      </w:r>
      <w:bookmarkStart w:id="885" w:name="xdx_908_eus-gaap--SalesCommissionsAndFee"/>
      <w:bookmarkEnd w:id="885"/>
      <w:r>
        <w:rPr>
          <w:rFonts w:ascii="Times New Roman;Times;Serif" w:hAnsi="Times New Roman;Times;Serif"/>
          <w:b w:val="false"/>
          <w:i w:val="false"/>
          <w:caps w:val="false"/>
          <w:smallCaps w:val="false"/>
          <w:sz w:val="20"/>
        </w:rPr>
        <w:t>130,000 were incurred under these agreements for commission expenses during the three and six months ended June 30,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manufacturing agreements with respect to third-party contract manufacturers for its FDA approved pharmaceutical products. Some of these contract manufacturing agreements require minimum annual order amounts. The Company has committed to pay approximately $</w:t>
      </w:r>
      <w:bookmarkStart w:id="886" w:name="xdx_902_eus-gaap--PurchaseCommitmentRema"/>
      <w:bookmarkEnd w:id="886"/>
      <w:r>
        <w:rPr>
          <w:rFonts w:ascii="Times New Roman;Times;Serif" w:hAnsi="Times New Roman;Times;Serif"/>
          <w:b w:val="false"/>
          <w:i w:val="false"/>
          <w:caps w:val="false"/>
          <w:smallCaps w:val="false"/>
          <w:sz w:val="20"/>
        </w:rPr>
        <w:t>2,728,000 related to contract manufacturing agreements for the year ending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87" w:name="xdx_803_eus-gaap--SegmentReportingDisclo"/>
      <w:bookmarkEnd w:id="887"/>
      <w:r>
        <w:rPr>
          <w:rFonts w:ascii="Times New Roman;Times;Serif" w:hAnsi="Times New Roman;Times;Serif"/>
          <w:b/>
          <w:i w:val="false"/>
          <w:caps w:val="false"/>
          <w:smallCaps w:val="false"/>
          <w:sz w:val="20"/>
        </w:rPr>
        <w:t xml:space="preserve">NOTE 15. </w:t>
      </w:r>
      <w:bookmarkStart w:id="888" w:name="xdx_828_zJ0MTB05fIJh"/>
      <w:bookmarkEnd w:id="888"/>
      <w:r>
        <w:rPr>
          <w:rFonts w:ascii="Times New Roman;Times;Serif" w:hAnsi="Times New Roman;Times;Serif"/>
          <w:b/>
          <w:i w:val="false"/>
          <w:caps w:val="false"/>
          <w:smallCaps w:val="false"/>
          <w:sz w:val="20"/>
        </w:rPr>
        <w:t>SEGMENTS AND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its business on the basis of a </w:t>
      </w:r>
      <w:bookmarkStart w:id="889" w:name="xdx_902_eus-gaap--NumberOfReportableSegm"/>
      <w:bookmarkEnd w:id="889"/>
      <w:r>
        <w:rPr>
          <w:rFonts w:ascii="Times New Roman;Times;Serif" w:hAnsi="Times New Roman;Times;Serif"/>
          <w:b w:val="false"/>
          <w:i w:val="false"/>
          <w:caps w:val="false"/>
          <w:smallCaps w:val="false"/>
          <w:sz w:val="20"/>
        </w:rPr>
        <w:t xml:space="preserve">single reportable segment, which is the business of discovery, development, and commercialization of innovative ophthalmic therapies. An operating segment is defined as a component of an entity that engages in business activities from which it may recognize revenues and incur expense, its operating results are regularly reviewed by the entity’s chief operating decision maker (“CODM”) to make decisions about resources to be allocated to the segment and assess its performance, and its discrete financial information is available. The Company’s CODM, who is the Chief Executive Officer, evaluates the Company as a </w:t>
      </w:r>
      <w:bookmarkStart w:id="890" w:name="xdx_902_eus-gaap--NumberOfOperatingSegme"/>
      <w:bookmarkEnd w:id="890"/>
      <w:r>
        <w:rPr>
          <w:rFonts w:ascii="Times New Roman;Times;Serif" w:hAnsi="Times New Roman;Times;Serif"/>
          <w:b w:val="false"/>
          <w:i w:val="false"/>
          <w:caps w:val="false"/>
          <w:smallCaps w:val="false"/>
          <w:sz w:val="20"/>
        </w:rPr>
        <w:t>single operating segment, consistent with internal management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had one product that accounted for more than </w:t>
      </w:r>
      <w:bookmarkStart w:id="891" w:name="xdx_908_eus-gaap--ConcentrationRiskPerce"/>
      <w:bookmarkStart w:id="892" w:name="xdx_903_eus-gaap--ConcentrationRiskPerce"/>
      <w:bookmarkStart w:id="893" w:name="xdx_90D_eus-gaap--ConcentrationRiskPerce"/>
      <w:bookmarkStart w:id="894" w:name="xdx_902_eus-gaap--ConcentrationRiskPerce"/>
      <w:bookmarkEnd w:id="891"/>
      <w:bookmarkEnd w:id="892"/>
      <w:bookmarkEnd w:id="893"/>
      <w:bookmarkEnd w:id="894"/>
      <w:r>
        <w:rPr>
          <w:rFonts w:ascii="Times New Roman;Times;Serif" w:hAnsi="Times New Roman;Times;Serif"/>
          <w:b w:val="false"/>
          <w:i w:val="false"/>
          <w:caps w:val="false"/>
          <w:smallCaps w:val="false"/>
          <w:sz w:val="20"/>
        </w:rPr>
        <w:t xml:space="preserve">10% of total revenues during the three and six months ended June 30, 2024. The Company had four products that each accounted for more than </w:t>
      </w:r>
      <w:bookmarkStart w:id="895" w:name="xdx_90C_eus-gaap--ConcentrationRiskPerce"/>
      <w:bookmarkEnd w:id="895"/>
      <w:r>
        <w:rPr>
          <w:rFonts w:ascii="Times New Roman;Times;Serif" w:hAnsi="Times New Roman;Times;Serif"/>
          <w:b w:val="false"/>
          <w:i w:val="false"/>
          <w:caps w:val="false"/>
          <w:smallCaps w:val="false"/>
          <w:sz w:val="20"/>
        </w:rPr>
        <w:t xml:space="preserve">10% of total revenues during the three months ended June 30, 2023 and three products that each accounted for more that </w:t>
      </w:r>
      <w:bookmarkStart w:id="896" w:name="xdx_902_eus-gaap--ConcentrationRiskPerce"/>
      <w:bookmarkEnd w:id="896"/>
      <w:r>
        <w:rPr>
          <w:rFonts w:ascii="Times New Roman;Times;Serif" w:hAnsi="Times New Roman;Times;Serif"/>
          <w:b w:val="false"/>
          <w:i w:val="false"/>
          <w:caps w:val="false"/>
          <w:smallCaps w:val="false"/>
          <w:sz w:val="20"/>
        </w:rPr>
        <w:t xml:space="preserve">10% of total revenues during the six months ended June 30, 2023. These products collectively accounted for </w:t>
      </w:r>
      <w:bookmarkStart w:id="897" w:name="xdx_903_eus-gaap--ConcentrationRiskPerce"/>
      <w:bookmarkEnd w:id="897"/>
      <w:r>
        <w:rPr>
          <w:rFonts w:ascii="Times New Roman;Times;Serif" w:hAnsi="Times New Roman;Times;Serif"/>
          <w:b w:val="false"/>
          <w:i w:val="false"/>
          <w:caps w:val="false"/>
          <w:smallCaps w:val="false"/>
          <w:sz w:val="20"/>
        </w:rPr>
        <w:t xml:space="preserve">23% and </w:t>
      </w:r>
      <w:bookmarkStart w:id="898" w:name="xdx_904_eus-gaap--ConcentrationRiskPerce"/>
      <w:bookmarkEnd w:id="898"/>
      <w:r>
        <w:rPr>
          <w:rFonts w:ascii="Times New Roman;Times;Serif" w:hAnsi="Times New Roman;Times;Serif"/>
          <w:b w:val="false"/>
          <w:i w:val="false"/>
          <w:caps w:val="false"/>
          <w:smallCaps w:val="false"/>
          <w:sz w:val="20"/>
        </w:rPr>
        <w:t xml:space="preserve">14% of revenues during the three and six months ended June 30, 2024, respectively. For the same periods in the prior year these products collectively accounted for </w:t>
      </w:r>
      <w:bookmarkStart w:id="899" w:name="xdx_906_eus-gaap--ConcentrationRiskPerce"/>
      <w:bookmarkEnd w:id="899"/>
      <w:r>
        <w:rPr>
          <w:rFonts w:ascii="Times New Roman;Times;Serif" w:hAnsi="Times New Roman;Times;Serif"/>
          <w:b w:val="false"/>
          <w:i w:val="false"/>
          <w:caps w:val="false"/>
          <w:smallCaps w:val="false"/>
          <w:sz w:val="20"/>
        </w:rPr>
        <w:t>48% and</w:t>
      </w:r>
      <w:bookmarkStart w:id="900" w:name="xdx_90E_eus-gaap--ConcentrationRiskPerce"/>
      <w:bookmarkEnd w:id="900"/>
      <w:r>
        <w:rPr>
          <w:rFonts w:ascii="Times New Roman;Times;Serif" w:hAnsi="Times New Roman;Times;Serif"/>
          <w:b w:val="false"/>
          <w:i w:val="false"/>
          <w:caps w:val="false"/>
          <w:smallCaps w:val="false"/>
          <w:sz w:val="20"/>
        </w:rPr>
        <w:t xml:space="preserve"> 38% of revenues during the three and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2024 and December 31, 2023, accounts receivable from a single customer accounted for </w:t>
      </w:r>
      <w:bookmarkStart w:id="901" w:name="xdx_90C_eus-gaap--ConcentrationRiskPerce"/>
      <w:bookmarkEnd w:id="901"/>
      <w:r>
        <w:rPr>
          <w:rFonts w:ascii="Times New Roman;Times;Serif" w:hAnsi="Times New Roman;Times;Serif"/>
          <w:b w:val="false"/>
          <w:i w:val="false"/>
          <w:caps w:val="false"/>
          <w:smallCaps w:val="false"/>
          <w:sz w:val="20"/>
        </w:rPr>
        <w:t xml:space="preserve">67% and </w:t>
      </w:r>
      <w:bookmarkStart w:id="902" w:name="xdx_903_eus-gaap--ConcentrationRiskPerce"/>
      <w:bookmarkEnd w:id="902"/>
      <w:r>
        <w:rPr>
          <w:rFonts w:ascii="Times New Roman;Times;Serif" w:hAnsi="Times New Roman;Times;Serif"/>
          <w:b w:val="false"/>
          <w:i w:val="false"/>
          <w:caps w:val="false"/>
          <w:smallCaps w:val="false"/>
          <w:sz w:val="20"/>
        </w:rPr>
        <w:t xml:space="preserve">80% of total accounts receivable, respectively. For the three and six months ended June 30, 2024, revenues from a single customer accounted for </w:t>
      </w:r>
      <w:bookmarkStart w:id="903" w:name="xdx_902_eus-gaap--ConcentrationRiskPerce"/>
      <w:bookmarkEnd w:id="903"/>
      <w:r>
        <w:rPr>
          <w:rFonts w:ascii="Times New Roman;Times;Serif" w:hAnsi="Times New Roman;Times;Serif"/>
          <w:b w:val="false"/>
          <w:i w:val="false"/>
          <w:caps w:val="false"/>
          <w:smallCaps w:val="false"/>
          <w:sz w:val="20"/>
        </w:rPr>
        <w:t>45% and</w:t>
      </w:r>
      <w:bookmarkStart w:id="904" w:name="xdx_90B_eus-gaap--ConcentrationRiskPerce"/>
      <w:bookmarkEnd w:id="904"/>
      <w:r>
        <w:rPr>
          <w:rFonts w:ascii="Times New Roman;Times;Serif" w:hAnsi="Times New Roman;Times;Serif"/>
          <w:b w:val="false"/>
          <w:i w:val="false"/>
          <w:caps w:val="false"/>
          <w:smallCaps w:val="false"/>
          <w:sz w:val="20"/>
        </w:rPr>
        <w:t xml:space="preserve"> 40% of total revenues, respectively. For the three and six months ended June 30, 2023, revenues from a single customer accounted for </w:t>
      </w:r>
      <w:bookmarkStart w:id="905" w:name="xdx_90E_eus-gaap--ConcentrationRiskPerce"/>
      <w:bookmarkEnd w:id="905"/>
      <w:r>
        <w:rPr>
          <w:rFonts w:ascii="Times New Roman;Times;Serif" w:hAnsi="Times New Roman;Times;Serif"/>
          <w:b w:val="false"/>
          <w:i w:val="false"/>
          <w:caps w:val="false"/>
          <w:smallCaps w:val="false"/>
          <w:sz w:val="20"/>
        </w:rPr>
        <w:t xml:space="preserve">27% and </w:t>
      </w:r>
      <w:bookmarkStart w:id="906" w:name="xdx_900_eus-gaap--ConcentrationRiskPerce"/>
      <w:bookmarkEnd w:id="906"/>
      <w:r>
        <w:rPr>
          <w:rFonts w:ascii="Times New Roman;Times;Serif" w:hAnsi="Times New Roman;Times;Serif"/>
          <w:b w:val="false"/>
          <w:i w:val="false"/>
          <w:caps w:val="false"/>
          <w:smallCaps w:val="false"/>
          <w:sz w:val="20"/>
        </w:rPr>
        <w:t xml:space="preserve">16% of total revenues,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receives its active pharmaceutical ingredients from three main suppliers. These suppliers collectively accounted for </w:t>
      </w:r>
      <w:bookmarkStart w:id="907" w:name="xdx_901_eus-gaap--ConcentrationRiskPerce"/>
      <w:bookmarkEnd w:id="907"/>
      <w:r>
        <w:rPr>
          <w:rFonts w:ascii="Times New Roman;Times;Serif" w:hAnsi="Times New Roman;Times;Serif"/>
          <w:b w:val="false"/>
          <w:i w:val="false"/>
          <w:caps w:val="false"/>
          <w:smallCaps w:val="false"/>
          <w:sz w:val="20"/>
        </w:rPr>
        <w:t xml:space="preserve">61% and </w:t>
      </w:r>
      <w:bookmarkStart w:id="908" w:name="xdx_90E_eus-gaap--ConcentrationRiskPerce"/>
      <w:bookmarkEnd w:id="908"/>
      <w:r>
        <w:rPr>
          <w:rFonts w:ascii="Times New Roman;Times;Serif" w:hAnsi="Times New Roman;Times;Serif"/>
          <w:b w:val="false"/>
          <w:i w:val="false"/>
          <w:caps w:val="false"/>
          <w:smallCaps w:val="false"/>
          <w:sz w:val="20"/>
        </w:rPr>
        <w:t xml:space="preserve">62% of active pharmaceutical ingredient purchases during the three and six months ended June 30, 2024, respectively, and </w:t>
      </w:r>
      <w:bookmarkStart w:id="909" w:name="xdx_90B_eus-gaap--ConcentrationRiskPerce"/>
      <w:bookmarkEnd w:id="909"/>
      <w:r>
        <w:rPr>
          <w:rFonts w:ascii="Times New Roman;Times;Serif" w:hAnsi="Times New Roman;Times;Serif"/>
          <w:b w:val="false"/>
          <w:i w:val="false"/>
          <w:caps w:val="false"/>
          <w:smallCaps w:val="false"/>
          <w:sz w:val="20"/>
        </w:rPr>
        <w:t xml:space="preserve">80% and </w:t>
      </w:r>
      <w:bookmarkStart w:id="910" w:name="xdx_90A_eus-gaap--ConcentrationRiskPerce"/>
      <w:bookmarkEnd w:id="910"/>
      <w:r>
        <w:rPr>
          <w:rFonts w:ascii="Times New Roman;Times;Serif" w:hAnsi="Times New Roman;Times;Serif"/>
          <w:b w:val="false"/>
          <w:i w:val="false"/>
          <w:caps w:val="false"/>
          <w:smallCaps w:val="false"/>
          <w:sz w:val="20"/>
        </w:rPr>
        <w:t>85% during the same periods in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11" w:name="xdx_802_eus-gaap--SubsequentEventsTextBl"/>
      <w:bookmarkEnd w:id="911"/>
      <w:r>
        <w:rPr>
          <w:rFonts w:ascii="Times New Roman;Times;Serif" w:hAnsi="Times New Roman;Times;Serif"/>
          <w:b/>
          <w:i w:val="false"/>
          <w:caps w:val="false"/>
          <w:smallCaps w:val="false"/>
          <w:sz w:val="20"/>
        </w:rPr>
        <w:t xml:space="preserve">NOTE 16. </w:t>
      </w:r>
      <w:bookmarkStart w:id="912" w:name="xdx_827_zBVnGrDGOJPj"/>
      <w:bookmarkEnd w:id="91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performed an evaluation of events occurring subsequent to June 30, 2024 through the filing date of this Quarterly Report on Form 10-Q. Based on its evaluation, no events other than those described below need to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 issued </w:t>
      </w:r>
      <w:bookmarkStart w:id="913" w:name="xdx_908_eus-gaap--StockIssuedDuringPerio"/>
      <w:bookmarkEnd w:id="913"/>
      <w:r>
        <w:rPr>
          <w:rFonts w:ascii="Times New Roman;Times;Serif" w:hAnsi="Times New Roman;Times;Serif"/>
          <w:b w:val="false"/>
          <w:i w:val="false"/>
          <w:caps w:val="false"/>
          <w:smallCaps w:val="false"/>
          <w:sz w:val="20"/>
        </w:rPr>
        <w:t>2,563 shares of common stock and received proceeds of $</w:t>
      </w:r>
      <w:bookmarkStart w:id="914" w:name="xdx_90D_eus-gaap--ProceedsFromStockOptio"/>
      <w:bookmarkEnd w:id="914"/>
      <w:r>
        <w:rPr>
          <w:rFonts w:ascii="Times New Roman;Times;Serif" w:hAnsi="Times New Roman;Times;Serif"/>
          <w:b w:val="false"/>
          <w:i w:val="false"/>
          <w:caps w:val="false"/>
          <w:smallCaps w:val="false"/>
          <w:sz w:val="20"/>
        </w:rPr>
        <w:t xml:space="preserve">53,000 upon the exercise of options to purchase </w:t>
      </w:r>
      <w:bookmarkStart w:id="915" w:name="xdx_905_eus-gaap--ShareBasedCompensation"/>
      <w:bookmarkEnd w:id="915"/>
      <w:r>
        <w:rPr>
          <w:rFonts w:ascii="Times New Roman;Times;Serif" w:hAnsi="Times New Roman;Times;Serif"/>
          <w:b w:val="false"/>
          <w:i w:val="false"/>
          <w:caps w:val="false"/>
          <w:smallCaps w:val="false"/>
          <w:sz w:val="20"/>
        </w:rPr>
        <w:t>2,563 shares of common stock with exercise prices between $</w:t>
      </w:r>
      <w:bookmarkStart w:id="916" w:name="xdx_907_eus-gaap--SharesIssuedPricePerSh"/>
      <w:bookmarkEnd w:id="916"/>
      <w:r>
        <w:rPr>
          <w:rFonts w:ascii="Times New Roman;Times;Serif" w:hAnsi="Times New Roman;Times;Serif"/>
          <w:b w:val="false"/>
          <w:i w:val="false"/>
          <w:caps w:val="false"/>
          <w:smallCaps w:val="false"/>
          <w:sz w:val="20"/>
        </w:rPr>
        <w:t>7.60 and $</w:t>
      </w:r>
      <w:bookmarkStart w:id="917" w:name="xdx_906_eus-gaap--SharesIssuedPricePerSh"/>
      <w:bookmarkEnd w:id="917"/>
      <w:r>
        <w:rPr>
          <w:rFonts w:ascii="Times New Roman;Times;Serif" w:hAnsi="Times New Roman;Times;Serif"/>
          <w:b w:val="false"/>
          <w:i w:val="false"/>
          <w:caps w:val="false"/>
          <w:smallCaps w:val="false"/>
          <w:sz w:val="20"/>
        </w:rPr>
        <w:t>20.97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t xml:space="preserve">In July 2024, the Company issued </w:t>
      </w:r>
      <w:bookmarkStart w:id="918" w:name="xdx_902_eus-gaap--StockIssuedDuringPerio"/>
      <w:bookmarkEnd w:id="918"/>
      <w:r>
        <w:rPr/>
        <w:t xml:space="preserve">889 shares of common stock upon the cashless exercise of options to purchase </w:t>
      </w:r>
      <w:bookmarkStart w:id="919" w:name="xdx_90D_eus-gaap--ShareBasedCompensation"/>
      <w:bookmarkEnd w:id="919"/>
      <w:r>
        <w:rPr/>
        <w:t>1,000 shares at an exercise price of $</w:t>
      </w:r>
      <w:bookmarkStart w:id="920" w:name="xdx_907_eus-gaap--SharesIssuedPricePerSh"/>
      <w:bookmarkEnd w:id="920"/>
      <w:r>
        <w:rPr/>
        <w:t>2.60 per share.</w:t>
      </w:r>
    </w:p>
    <w:p>
      <w:pPr>
        <w:pStyle w:val="TextBody"/>
        <w:bidi w:val="0"/>
        <w:spacing w:before="0" w:after="0"/>
        <w:ind w:left="0" w:right="0" w:hanging="0"/>
        <w:jc w:val="both"/>
        <w:rPr>
          <w:caps w:val="false"/>
          <w:smallCaps w:val="false"/>
        </w:rPr>
      </w:pPr>
      <w:bookmarkStart w:id="921" w:name="xdx_81C_zTZ3Ld8Vm0d3"/>
      <w:bookmarkEnd w:id="921"/>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2" w:name="sj_003"/>
      <w:bookmarkEnd w:id="922"/>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2023 and subsequent reports, which discuss our business in greater detail. As used in this discussion and analysis, unless the context indicates otherwise, the terms the “Company,” “Harrow,” “we,” “us” and “our” refer to Harrow, Inc. and its consolidated subsidiaries, including ImprimisRx, LLC, ImprimisRx NJ, LLC dba ImprimisRx, Imprimis NJOF, LLC, Harrow IP, LLC and Harrow Eye, LLC. In this discussion and analysis, we refer to our consolidated subsidiaries ImprimisRx, LLC, ImprimisRx NJ, LLC and Imprimis NJOF, LLC collectively as “ImprimisRx.”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primary factors affecting our performance are (1) our ability to increase revenues of our branded pharmaceutical products, proprietary compounded formulations and certain non-proprietary products, and grow and gain operating efficiencies in our operations, (2) potential and ongoing regulatory-related restrictions, (3) our ability to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will require significant costs and other resources, which we may not have or be able to obtain from operations or other sources. See “Liquidity and Capital Resources” below.</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Recent Developments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selected significant developments affecting our business that occurred since December 31, 2023. For additional developments, see our Annual Report on Form 10-K for the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TRIESENCE PPQ Batches and Manufacturing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we announced the successful manufacture of a process performance qualification (“PPQ”) batch of TRIESENCE. In order to re-launch TRIESENCE for commercial use, we believe two additional, consecutive and successful PPQ batches (an aggregate of three PPQ batches) of TRIESENCE will need to be made. A second PPQ batch was produced in July 2024, and we are currently waiting for analytical results associated with this batch. If the second PPQ batch was produced successfully, the Company (along with its manufacturing partners) expects to produce a third PPQ batch before the end of the third quarter 2024. If these three PPQ batches are manufactured successfully, we believe TRIESENCE could be re-launched in the U.S. prior to the end of 2024. In accordance with the terms of the Asset Purchase Agreement we entered into with Novartis Technology, LLC and Novartis Innovative Therapies AG (collectively, “Novartis”), a $37,000,000 milestone payment will be due to Novartis upon re-launch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Apotex - Canadian Out-License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entered into a license and supply agreement with Apotex Inc. (“Apotex”). Under the terms of the agreement, Apotex licensed exclusive rights and marketing authorizations of the following products in the Canadian market from Harrow: VERKAZIA (cyclosporine ophthalmic emulsion) 0.1% and Cationorm PLUS. Apotex was also granted a license for products Apotex will pursue approval for in Canada: VEVYE (cyclosporine ophthalmic solution) 0.1%, IHEEZO (chloroprocaine hydrochloride ophthalmic gel) 3%, and ZERVIATE (cetirizine ophthalmic solution) 0.24% (with VERKAZIA and Cationorm Plus, collectively, the “Apotex Products”). In exchange for these licenses, Apotex will make payments to Harrow for milestones related to manufacturing arrangements, regulatory and commercial achievements, in addition to royalties on net sales of the Apotex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IHEEZO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met with the Centers for Medicare &amp; Medicaid Services (“CMS”) to request clarification related to its anesthesia billing policy which has historically not allowed for the separate billing of anesthesia services in the physician’s office. During the meeting we requested that CMS clarify that J-Code 2403, IHEEZO’s permanent J-Code, is appropriate to be billed for the anesthesia product itself (i.e., IHEEZO in our case) in the physician office setting. In March 2024, we received communication from a representative at CMS that the inclusion of J-Code 2403 in CMS’s April 2024 quarterly drug pricing file of the average sales prices (ASP) of some Medicare Part B-covered drugs and biologicals confirms that IHEEZO is separately payable in the physician office setting.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2024, we made a request to CMS to consider increasing the Medically Unlikely Edits (“MUE”) for IHEEZO’s J-Code from 1 to 2. This request was made because the limitation of one MUE only allowed a single IHEEZO administration (equal to one single-use vial) to be used and billed, while many ophthalmologists perform bilateral ocular procedures, which would require two vials of IHEEZO to be used. On March 20, 2024, we received communication from the National Correct Coding Initiative (NCCI) program of CMS stating that CMS decided to increase the MUE for IHEEZO’s J-Code (J2403) from 1 to 2. The MUE edit was made effective on July 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VEVYE U.S. Launch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we launched VEVYE (cyclosporine ophthalmic solution) 0.1%, the first and only water-free cyclosporine dissolved in a semifluorinated alkane approved to treat both the signs and symptoms of dry eye disease in the U.S. We partnered with various entities including PhilRx, Apollo Care and PARx Solutions to enhance our market and patient access program for VEVYE.</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period-to-period comparisons of our financial results for the three and six months ended June 30, 2024 and 2023 are not necessarily indicative of results for any future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revenues: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5"/>
        <w:gridCol w:w="60"/>
        <w:gridCol w:w="155"/>
        <w:gridCol w:w="1228"/>
        <w:gridCol w:w="66"/>
        <w:gridCol w:w="66"/>
        <w:gridCol w:w="155"/>
        <w:gridCol w:w="1228"/>
        <w:gridCol w:w="60"/>
        <w:gridCol w:w="60"/>
        <w:gridCol w:w="140"/>
        <w:gridCol w:w="1100"/>
        <w:gridCol w:w="95"/>
        <w:gridCol w:w="60"/>
        <w:gridCol w:w="144"/>
        <w:gridCol w:w="1136"/>
        <w:gridCol w:w="61"/>
        <w:gridCol w:w="61"/>
        <w:gridCol w:w="144"/>
        <w:gridCol w:w="1136"/>
        <w:gridCol w:w="60"/>
        <w:gridCol w:w="60"/>
        <w:gridCol w:w="140"/>
        <w:gridCol w:w="1100"/>
        <w:gridCol w:w="115"/>
      </w:tblGrid>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2" w:type="dxa"/>
            <w:gridSpan w:val="6"/>
            <w:tcBorders/>
            <w:vAlign w:val="center"/>
          </w:tcPr>
          <w:p>
            <w:pPr>
              <w:pStyle w:val="TableContents"/>
              <w:bidi w:val="0"/>
              <w:spacing w:before="0" w:after="283"/>
              <w:jc w:val="center"/>
              <w:rPr>
                <w:b/>
              </w:rPr>
            </w:pPr>
            <w:r>
              <w:rPr>
                <w:b/>
              </w:rPr>
              <w:t>For the 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115" w:type="dxa"/>
            <w:tcBorders/>
            <w:vAlign w:val="center"/>
          </w:tcPr>
          <w:p>
            <w:pPr>
              <w:pStyle w:val="TableContents"/>
              <w:bidi w:val="0"/>
              <w:spacing w:before="0" w:after="283"/>
              <w:jc w:val="left"/>
              <w:rPr/>
            </w:pPr>
            <w:r>
              <w:rPr/>
              <w:t> </w:t>
            </w:r>
          </w:p>
        </w:tc>
      </w:tr>
      <w:tr>
        <w:trPr/>
        <w:tc>
          <w:tcPr>
            <w:tcW w:w="1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8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115" w:type="dxa"/>
            <w:tcBorders/>
            <w:vAlign w:val="center"/>
          </w:tcPr>
          <w:p>
            <w:pPr>
              <w:pStyle w:val="TableContents"/>
              <w:bidi w:val="0"/>
              <w:spacing w:before="0" w:after="283"/>
              <w:jc w:val="left"/>
              <w:rPr/>
            </w:pPr>
            <w:r>
              <w:rPr/>
              <w:t> </w:t>
            </w:r>
          </w:p>
        </w:tc>
      </w:tr>
      <w:tr>
        <w:trPr/>
        <w:tc>
          <w:tcPr>
            <w:tcW w:w="1575" w:type="dxa"/>
            <w:tcBorders/>
            <w:shd w:fill="CCEEFF" w:val="clear"/>
            <w:vAlign w:val="center"/>
          </w:tcPr>
          <w:p>
            <w:pPr>
              <w:pStyle w:val="TableContents"/>
              <w:bidi w:val="0"/>
              <w:spacing w:before="0" w:after="283"/>
              <w:jc w:val="left"/>
              <w:rPr>
                <w:b/>
              </w:rPr>
            </w:pPr>
            <w:r>
              <w:rPr>
                <w:b/>
              </w:rPr>
              <w:t>Product sales,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48,871,000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228" w:type="dxa"/>
            <w:tcBorders/>
            <w:shd w:fill="CCEEFF" w:val="clear"/>
            <w:vAlign w:val="center"/>
          </w:tcPr>
          <w:p>
            <w:pPr>
              <w:pStyle w:val="TableContents"/>
              <w:bidi w:val="0"/>
              <w:spacing w:before="0" w:after="283"/>
              <w:jc w:val="right"/>
              <w:rPr/>
            </w:pPr>
            <w:r>
              <w:rPr/>
              <w:t>29,542,000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19,329,000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83,379,000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49,995,000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33,384,000</w:t>
            </w:r>
          </w:p>
        </w:tc>
        <w:tc>
          <w:tcPr>
            <w:tcW w:w="115" w:type="dxa"/>
            <w:tcBorders/>
            <w:shd w:fill="CCEEFF" w:val="clear"/>
            <w:vAlign w:val="center"/>
          </w:tcPr>
          <w:p>
            <w:pPr>
              <w:pStyle w:val="TableContents"/>
              <w:bidi w:val="0"/>
              <w:spacing w:before="0" w:after="283"/>
              <w:jc w:val="left"/>
              <w:rPr/>
            </w:pPr>
            <w:r>
              <w:rPr/>
              <w:t> </w:t>
            </w:r>
          </w:p>
        </w:tc>
      </w:tr>
      <w:tr>
        <w:trPr/>
        <w:tc>
          <w:tcPr>
            <w:tcW w:w="1575" w:type="dxa"/>
            <w:tcBorders/>
            <w:shd w:fill="FFFFFF" w:val="clear"/>
            <w:vAlign w:val="center"/>
          </w:tcPr>
          <w:p>
            <w:pPr>
              <w:pStyle w:val="TableContents"/>
              <w:bidi w:val="0"/>
              <w:spacing w:before="0" w:after="283"/>
              <w:jc w:val="left"/>
              <w:rPr>
                <w:b/>
              </w:rPr>
            </w:pPr>
            <w:r>
              <w:rPr>
                <w:b/>
              </w:rPr>
              <w:t>Other revenues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68,000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8" w:type="dxa"/>
            <w:tcBorders>
              <w:bottom w:val="single" w:sz="12" w:space="0" w:color="000000"/>
            </w:tcBorders>
            <w:shd w:fill="FFFFFF" w:val="clear"/>
            <w:tcMar>
              <w:bottom w:w="28" w:type="dxa"/>
            </w:tcMar>
            <w:vAlign w:val="center"/>
          </w:tcPr>
          <w:p>
            <w:pPr>
              <w:pStyle w:val="TableContents"/>
              <w:bidi w:val="0"/>
              <w:spacing w:before="0" w:after="283"/>
              <w:jc w:val="right"/>
              <w:rPr/>
            </w:pPr>
            <w:r>
              <w:rPr/>
              <w:t>3,928,000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(3,860,000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FFFFFF" w:val="clear"/>
            <w:tcMar>
              <w:bottom w:w="28" w:type="dxa"/>
            </w:tcMar>
            <w:vAlign w:val="center"/>
          </w:tcPr>
          <w:p>
            <w:pPr>
              <w:pStyle w:val="TableContents"/>
              <w:bidi w:val="0"/>
              <w:spacing w:before="0" w:after="283"/>
              <w:jc w:val="right"/>
              <w:rPr/>
            </w:pPr>
            <w:r>
              <w:rPr/>
              <w:t>147,000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FFFFFF" w:val="clear"/>
            <w:tcMar>
              <w:bottom w:w="28" w:type="dxa"/>
            </w:tcMar>
            <w:vAlign w:val="center"/>
          </w:tcPr>
          <w:p>
            <w:pPr>
              <w:pStyle w:val="TableContents"/>
              <w:bidi w:val="0"/>
              <w:spacing w:before="0" w:after="283"/>
              <w:jc w:val="right"/>
              <w:rPr/>
            </w:pPr>
            <w:r>
              <w:rPr/>
              <w:t>9,578,000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(9,431,000</w:t>
            </w:r>
          </w:p>
        </w:tc>
        <w:tc>
          <w:tcPr>
            <w:tcW w:w="115" w:type="dxa"/>
            <w:tcBorders/>
            <w:shd w:fill="FFFFFF" w:val="clear"/>
            <w:vAlign w:val="center"/>
          </w:tcPr>
          <w:p>
            <w:pPr>
              <w:pStyle w:val="TableContents"/>
              <w:bidi w:val="0"/>
              <w:spacing w:before="0" w:after="283"/>
              <w:jc w:val="left"/>
              <w:rPr/>
            </w:pPr>
            <w:r>
              <w:rPr/>
              <w:t>)</w:t>
            </w:r>
          </w:p>
        </w:tc>
      </w:tr>
      <w:tr>
        <w:trPr/>
        <w:tc>
          <w:tcPr>
            <w:tcW w:w="1575" w:type="dxa"/>
            <w:tcBorders/>
            <w:shd w:fill="CCEEFF" w:val="clear"/>
            <w:vAlign w:val="center"/>
          </w:tcPr>
          <w:p>
            <w:pPr>
              <w:pStyle w:val="TableContents"/>
              <w:bidi w:val="0"/>
              <w:spacing w:before="0" w:after="283"/>
              <w:jc w:val="left"/>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48,939,000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double" w:sz="6" w:space="0" w:color="000000"/>
            </w:tcBorders>
            <w:shd w:fill="CCEEFF" w:val="clear"/>
            <w:tcMar>
              <w:bottom w:w="28" w:type="dxa"/>
            </w:tcMar>
            <w:vAlign w:val="center"/>
          </w:tcPr>
          <w:p>
            <w:pPr>
              <w:pStyle w:val="TableContents"/>
              <w:bidi w:val="0"/>
              <w:spacing w:before="0" w:after="283"/>
              <w:jc w:val="right"/>
              <w:rPr/>
            </w:pPr>
            <w:r>
              <w:rPr/>
              <w:t>33,470,000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15,469,000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pPr>
            <w:r>
              <w:rPr/>
              <w:t>83,526,000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pPr>
            <w:r>
              <w:rPr/>
              <w:t>59,573,000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23,953,000</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between periods was related to an increase in sales volumes of our branded ophthalmology products. During the three and six months ended June 30, 2023, the Company recorded $3,928,000 and $9,578,000, respectively, in revenues associated with the transfer of sales and profits of recently acquired products where the product new drug applications (“NDAs”) had not yet transferred to Harrow. During the three months and six months ended June 30, 2024, revenues from branded products totalled $27,292,000 and $41,229,000, respectively, compared to $13,095,000 and $19,367,000 (which included revenues from the transfer of profits) during the same periods in the prior year, respectively. Net sales of IHEEZO were $11,294,000 and $13,616,000 during the three months and six months ended June 30,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includes direct and indirect costs to manufacture formulations and products, including active pharmaceutical ingredients, personnel costs, packaging, storage, royalties, shipping and handling costs, manufacturing equipment and tenant improvements depreciation, the write-off of obsolete inventory, amortization of acquired product NDAs, and other related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cost of sales:</w:t>
      </w:r>
    </w:p>
    <w:p>
      <w:pPr>
        <w:pStyle w:val="TextBody"/>
        <w:bidi w:val="0"/>
        <w:spacing w:before="0" w:after="0"/>
        <w:ind w:left="0" w:right="0" w:firstLine="720"/>
        <w:jc w:val="left"/>
        <w:rPr>
          <w:caps w:val="false"/>
          <w:smallCaps w:val="false"/>
        </w:rPr>
      </w:pPr>
      <w:r>
        <w:rPr>
          <w:caps w:val="false"/>
          <w:smallCaps w:val="false"/>
        </w:rPr>
        <w:t> </w:t>
      </w:r>
    </w:p>
    <w:tbl>
      <w:tblPr>
        <w:tblW w:w="9747" w:type="dxa"/>
        <w:jc w:val="left"/>
        <w:tblInd w:w="0" w:type="dxa"/>
        <w:tblLayout w:type="fixed"/>
        <w:tblCellMar>
          <w:top w:w="0" w:type="dxa"/>
          <w:left w:w="0" w:type="dxa"/>
          <w:bottom w:w="0" w:type="dxa"/>
          <w:right w:w="0" w:type="dxa"/>
        </w:tblCellMar>
      </w:tblPr>
      <w:tblGrid>
        <w:gridCol w:w="1280"/>
        <w:gridCol w:w="60"/>
        <w:gridCol w:w="162"/>
        <w:gridCol w:w="1277"/>
        <w:gridCol w:w="69"/>
        <w:gridCol w:w="69"/>
        <w:gridCol w:w="162"/>
        <w:gridCol w:w="1277"/>
        <w:gridCol w:w="60"/>
        <w:gridCol w:w="60"/>
        <w:gridCol w:w="140"/>
        <w:gridCol w:w="980"/>
        <w:gridCol w:w="60"/>
        <w:gridCol w:w="60"/>
        <w:gridCol w:w="146"/>
        <w:gridCol w:w="1150"/>
        <w:gridCol w:w="62"/>
        <w:gridCol w:w="62"/>
        <w:gridCol w:w="146"/>
        <w:gridCol w:w="1150"/>
        <w:gridCol w:w="60"/>
        <w:gridCol w:w="60"/>
        <w:gridCol w:w="140"/>
        <w:gridCol w:w="980"/>
        <w:gridCol w:w="75"/>
      </w:tblGrid>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vAlign w:val="center"/>
          </w:tcPr>
          <w:p>
            <w:pPr>
              <w:pStyle w:val="TableContents"/>
              <w:bidi w:val="0"/>
              <w:spacing w:before="0" w:after="283"/>
              <w:jc w:val="center"/>
              <w:rPr>
                <w:b/>
              </w:rPr>
            </w:pPr>
            <w:r>
              <w:rPr>
                <w:b/>
              </w:rPr>
              <w:t>For the 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4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7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b/>
              </w:rPr>
            </w:pPr>
            <w:r>
              <w:rPr>
                <w:b/>
              </w:rPr>
              <w:t>Cost of sales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12,539,000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shd w:fill="CCEEFF" w:val="clear"/>
            <w:tcMar>
              <w:bottom w:w="28" w:type="dxa"/>
            </w:tcM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2,539,000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23,092,000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0" w:type="dxa"/>
            <w:tcBorders>
              <w:bottom w:val="double" w:sz="6" w:space="0" w:color="000000"/>
            </w:tcBorders>
            <w:shd w:fill="CCEEFF" w:val="clear"/>
            <w:tcMar>
              <w:bottom w:w="28" w:type="dxa"/>
            </w:tcMar>
            <w:vAlign w:val="center"/>
          </w:tcPr>
          <w:p>
            <w:pPr>
              <w:pStyle w:val="TableContents"/>
              <w:bidi w:val="0"/>
              <w:spacing w:before="0" w:after="283"/>
              <w:jc w:val="right"/>
              <w:rPr/>
            </w:pPr>
            <w:r>
              <w:rPr/>
              <w:t>18,271,000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4,821,000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our cost of sales was largely attributable to expenses associated with unit volumes sold and increased direct and indirect costs associated with production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Margin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3"/>
        <w:gridCol w:w="60"/>
        <w:gridCol w:w="144"/>
        <w:gridCol w:w="1134"/>
        <w:gridCol w:w="221"/>
        <w:gridCol w:w="61"/>
        <w:gridCol w:w="144"/>
        <w:gridCol w:w="1134"/>
        <w:gridCol w:w="215"/>
        <w:gridCol w:w="60"/>
        <w:gridCol w:w="140"/>
        <w:gridCol w:w="1100"/>
        <w:gridCol w:w="215"/>
        <w:gridCol w:w="60"/>
        <w:gridCol w:w="140"/>
        <w:gridCol w:w="1100"/>
        <w:gridCol w:w="215"/>
        <w:gridCol w:w="60"/>
        <w:gridCol w:w="140"/>
        <w:gridCol w:w="1100"/>
        <w:gridCol w:w="215"/>
        <w:gridCol w:w="60"/>
        <w:gridCol w:w="140"/>
        <w:gridCol w:w="1100"/>
        <w:gridCol w:w="234"/>
      </w:tblGrid>
      <w:tr>
        <w:trPr/>
        <w:tc>
          <w:tcPr>
            <w:tcW w:w="1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8" w:type="dxa"/>
            <w:gridSpan w:val="6"/>
            <w:tcBorders/>
            <w:vAlign w:val="center"/>
          </w:tcPr>
          <w:p>
            <w:pPr>
              <w:pStyle w:val="TableContents"/>
              <w:bidi w:val="0"/>
              <w:spacing w:before="0" w:after="283"/>
              <w:jc w:val="center"/>
              <w:rPr>
                <w:b/>
              </w:rPr>
            </w:pPr>
            <w:r>
              <w:rPr>
                <w:b/>
              </w:rPr>
              <w:t>For the 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vAlign w:val="center"/>
          </w:tcPr>
          <w:p>
            <w:pPr>
              <w:pStyle w:val="TableContents"/>
              <w:bidi w:val="0"/>
              <w:spacing w:before="0" w:after="283"/>
              <w:jc w:val="center"/>
              <w:rPr>
                <w:b/>
              </w:rPr>
            </w:pPr>
            <w:r>
              <w:rPr>
                <w:b/>
              </w:rPr>
              <w:t>For the Six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1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234" w:type="dxa"/>
            <w:tcBorders/>
            <w:vAlign w:val="center"/>
          </w:tcPr>
          <w:p>
            <w:pPr>
              <w:pStyle w:val="TableContents"/>
              <w:bidi w:val="0"/>
              <w:spacing w:before="0" w:after="283"/>
              <w:jc w:val="left"/>
              <w:rPr/>
            </w:pPr>
            <w:r>
              <w:rPr/>
              <w:t> </w:t>
            </w:r>
          </w:p>
        </w:tc>
      </w:tr>
      <w:tr>
        <w:trPr/>
        <w:tc>
          <w:tcPr>
            <w:tcW w:w="1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2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234" w:type="dxa"/>
            <w:tcBorders/>
            <w:vAlign w:val="center"/>
          </w:tcPr>
          <w:p>
            <w:pPr>
              <w:pStyle w:val="TableContents"/>
              <w:bidi w:val="0"/>
              <w:spacing w:before="0" w:after="283"/>
              <w:jc w:val="left"/>
              <w:rPr/>
            </w:pPr>
            <w:r>
              <w:rPr/>
              <w:t> </w:t>
            </w:r>
          </w:p>
        </w:tc>
      </w:tr>
      <w:tr>
        <w:trPr/>
        <w:tc>
          <w:tcPr>
            <w:tcW w:w="1013"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36,400,000</w:t>
            </w:r>
          </w:p>
        </w:tc>
        <w:tc>
          <w:tcPr>
            <w:tcW w:w="22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23,470,000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12,930,000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60,434,000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41,302,000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19,132,000</w:t>
            </w:r>
          </w:p>
        </w:tc>
        <w:tc>
          <w:tcPr>
            <w:tcW w:w="234" w:type="dxa"/>
            <w:tcBorders/>
            <w:shd w:fill="CCEEFF" w:val="clear"/>
            <w:vAlign w:val="center"/>
          </w:tcPr>
          <w:p>
            <w:pPr>
              <w:pStyle w:val="TableContents"/>
              <w:bidi w:val="0"/>
              <w:spacing w:before="0" w:after="283"/>
              <w:jc w:val="left"/>
              <w:rPr/>
            </w:pPr>
            <w:r>
              <w:rPr/>
              <w:t> </w:t>
            </w:r>
          </w:p>
        </w:tc>
      </w:tr>
      <w:tr>
        <w:trPr/>
        <w:tc>
          <w:tcPr>
            <w:tcW w:w="1013"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pPr>
            <w:r>
              <w:rPr/>
              <w:t>74.38</w:t>
            </w:r>
          </w:p>
        </w:tc>
        <w:tc>
          <w:tcPr>
            <w:tcW w:w="221"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pPr>
            <w:r>
              <w:rPr/>
              <w:t>70.12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4.26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72.35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69.33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3.02</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margin between the three and six months ended June 30, 2024 and 2023 was primarily attributable to an increase in sales associated with our branded ophthalmology products, which generally have a higher gross margin profile than our compounded products.</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FDA approved, proprietary compounded formulations and other non-proprietary pharmacy products and formulations.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selling, general and administrative expenses: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8"/>
        <w:gridCol w:w="60"/>
        <w:gridCol w:w="144"/>
        <w:gridCol w:w="1136"/>
        <w:gridCol w:w="61"/>
        <w:gridCol w:w="61"/>
        <w:gridCol w:w="144"/>
        <w:gridCol w:w="1136"/>
        <w:gridCol w:w="60"/>
        <w:gridCol w:w="60"/>
        <w:gridCol w:w="140"/>
        <w:gridCol w:w="1100"/>
        <w:gridCol w:w="60"/>
        <w:gridCol w:w="60"/>
        <w:gridCol w:w="141"/>
        <w:gridCol w:w="1110"/>
        <w:gridCol w:w="60"/>
        <w:gridCol w:w="60"/>
        <w:gridCol w:w="141"/>
        <w:gridCol w:w="1110"/>
        <w:gridCol w:w="60"/>
        <w:gridCol w:w="60"/>
        <w:gridCol w:w="140"/>
        <w:gridCol w:w="1100"/>
        <w:gridCol w:w="83"/>
      </w:tblGrid>
      <w:tr>
        <w:trPr/>
        <w:tc>
          <w:tcPr>
            <w:tcW w:w="1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2"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2" w:type="dxa"/>
            <w:gridSpan w:val="6"/>
            <w:tcBorders/>
            <w:vAlign w:val="center"/>
          </w:tcPr>
          <w:p>
            <w:pPr>
              <w:pStyle w:val="TableContents"/>
              <w:bidi w:val="0"/>
              <w:spacing w:before="0" w:after="283"/>
              <w:jc w:val="center"/>
              <w:rPr>
                <w:b/>
              </w:rPr>
            </w:pPr>
            <w:r>
              <w:rPr>
                <w:b/>
              </w:rPr>
              <w:t>For the 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1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w:t>
            </w:r>
          </w:p>
        </w:tc>
        <w:tc>
          <w:tcPr>
            <w:tcW w:w="83" w:type="dxa"/>
            <w:tcBorders/>
            <w:vAlign w:val="center"/>
          </w:tcPr>
          <w:p>
            <w:pPr>
              <w:pStyle w:val="TableContents"/>
              <w:bidi w:val="0"/>
              <w:spacing w:before="0" w:after="283"/>
              <w:jc w:val="left"/>
              <w:rPr/>
            </w:pPr>
            <w:r>
              <w:rPr/>
              <w:t> </w:t>
            </w:r>
          </w:p>
        </w:tc>
      </w:tr>
      <w:tr>
        <w:trPr/>
        <w:tc>
          <w:tcPr>
            <w:tcW w:w="1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83" w:type="dxa"/>
            <w:tcBorders/>
            <w:vAlign w:val="center"/>
          </w:tcPr>
          <w:p>
            <w:pPr>
              <w:pStyle w:val="TableContents"/>
              <w:bidi w:val="0"/>
              <w:spacing w:before="0" w:after="283"/>
              <w:jc w:val="left"/>
              <w:rPr/>
            </w:pPr>
            <w:r>
              <w:rPr/>
              <w:t> </w:t>
            </w:r>
          </w:p>
        </w:tc>
      </w:tr>
      <w:tr>
        <w:trPr/>
        <w:tc>
          <w:tcPr>
            <w:tcW w:w="1918" w:type="dxa"/>
            <w:tcBorders/>
            <w:shd w:fill="CCEEFF" w:val="clear"/>
            <w:vAlign w:val="center"/>
          </w:tcPr>
          <w:p>
            <w:pPr>
              <w:pStyle w:val="TableContents"/>
              <w:bidi w:val="0"/>
              <w:spacing w:before="0" w:after="283"/>
              <w:jc w:val="left"/>
              <w:rPr>
                <w:b/>
              </w:rPr>
            </w:pPr>
            <w:r>
              <w:rPr>
                <w:b/>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pPr>
            <w:r>
              <w:rPr/>
              <w:t>31,817,000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6" w:type="dxa"/>
            <w:tcBorders>
              <w:bottom w:val="double" w:sz="6" w:space="0" w:color="000000"/>
            </w:tcBorders>
            <w:shd w:fill="CCEEFF" w:val="clear"/>
            <w:tcMar>
              <w:bottom w:w="28" w:type="dxa"/>
            </w:tcMar>
            <w:vAlign w:val="center"/>
          </w:tcPr>
          <w:p>
            <w:pPr>
              <w:pStyle w:val="TableContents"/>
              <w:bidi w:val="0"/>
              <w:spacing w:before="0" w:after="283"/>
              <w:jc w:val="right"/>
              <w:rPr/>
            </w:pPr>
            <w:r>
              <w:rPr/>
              <w:t>19,957,000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11,860,000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pPr>
            <w:r>
              <w:rPr/>
              <w:t>60,630,000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pPr>
            <w:r>
              <w:rPr/>
              <w:t>35,845,000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24,785,000</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selling, general and administrative expenses between periods was primarily attributable to an increase in expenses including regulatory enhancements, costs to support the transition of recent product acquisitions, and an increase in expenses related to the addition of new employees in sales, marketing and other departments to support current and expected growth, including the commercial launch of VEVYE in December 2023. Stock-based compensation expense increased by $1,266,000 during the six months ended June 30, 2024 compared to the prior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Research and Development Expenses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(“R&amp;D”) expenses primarily include personnel costs, including wages and stock-based compensation, expenses related to the development of intellectual property, investigator-initiated research and evaluations, formulation development, and other costs related to the clinical development of our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our research and development expenses: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4"/>
        <w:gridCol w:w="60"/>
        <w:gridCol w:w="162"/>
        <w:gridCol w:w="1138"/>
        <w:gridCol w:w="69"/>
        <w:gridCol w:w="69"/>
        <w:gridCol w:w="162"/>
        <w:gridCol w:w="1138"/>
        <w:gridCol w:w="60"/>
        <w:gridCol w:w="60"/>
        <w:gridCol w:w="140"/>
        <w:gridCol w:w="980"/>
        <w:gridCol w:w="60"/>
        <w:gridCol w:w="60"/>
        <w:gridCol w:w="152"/>
        <w:gridCol w:w="1065"/>
        <w:gridCol w:w="65"/>
        <w:gridCol w:w="65"/>
        <w:gridCol w:w="152"/>
        <w:gridCol w:w="1065"/>
        <w:gridCol w:w="60"/>
        <w:gridCol w:w="60"/>
        <w:gridCol w:w="140"/>
        <w:gridCol w:w="980"/>
        <w:gridCol w:w="79"/>
      </w:tblGrid>
      <w:tr>
        <w:trPr/>
        <w:tc>
          <w:tcPr>
            <w:tcW w:w="2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8" w:type="dxa"/>
            <w:gridSpan w:val="6"/>
            <w:tcBorders/>
            <w:vAlign w:val="center"/>
          </w:tcPr>
          <w:p>
            <w:pPr>
              <w:pStyle w:val="TableContents"/>
              <w:bidi w:val="0"/>
              <w:spacing w:before="0" w:after="283"/>
              <w:jc w:val="center"/>
              <w:rPr>
                <w:b/>
              </w:rPr>
            </w:pPr>
            <w:r>
              <w:rPr>
                <w:b/>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4" w:type="dxa"/>
            <w:gridSpan w:val="6"/>
            <w:tcBorders/>
            <w:vAlign w:val="center"/>
          </w:tcPr>
          <w:p>
            <w:pPr>
              <w:pStyle w:val="TableContents"/>
              <w:bidi w:val="0"/>
              <w:spacing w:before="0" w:after="283"/>
              <w:jc w:val="center"/>
              <w:rPr>
                <w:b/>
              </w:rPr>
            </w:pPr>
            <w:r>
              <w:rPr>
                <w:b/>
              </w:rPr>
              <w:t>For the 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w:t>
            </w:r>
          </w:p>
        </w:tc>
        <w:tc>
          <w:tcPr>
            <w:tcW w:w="79" w:type="dxa"/>
            <w:tcBorders/>
            <w:vAlign w:val="center"/>
          </w:tcPr>
          <w:p>
            <w:pPr>
              <w:pStyle w:val="TableContents"/>
              <w:bidi w:val="0"/>
              <w:spacing w:before="0" w:after="283"/>
              <w:jc w:val="left"/>
              <w:rPr/>
            </w:pPr>
            <w:r>
              <w:rPr/>
              <w:t> </w:t>
            </w:r>
          </w:p>
        </w:tc>
      </w:tr>
      <w:tr>
        <w:trPr/>
        <w:tc>
          <w:tcPr>
            <w:tcW w:w="21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Variance</w:t>
            </w:r>
          </w:p>
        </w:tc>
        <w:tc>
          <w:tcPr>
            <w:tcW w:w="79" w:type="dxa"/>
            <w:tcBorders/>
            <w:vAlign w:val="center"/>
          </w:tcPr>
          <w:p>
            <w:pPr>
              <w:pStyle w:val="TableContents"/>
              <w:bidi w:val="0"/>
              <w:spacing w:before="0" w:after="283"/>
              <w:jc w:val="left"/>
              <w:rPr/>
            </w:pPr>
            <w:r>
              <w:rPr/>
              <w:t> </w:t>
            </w:r>
          </w:p>
        </w:tc>
      </w:tr>
      <w:tr>
        <w:trPr/>
        <w:tc>
          <w:tcPr>
            <w:tcW w:w="2164" w:type="dxa"/>
            <w:tcBorders/>
            <w:shd w:fill="CCEEFF" w:val="clear"/>
            <w:vAlign w:val="center"/>
          </w:tcPr>
          <w:p>
            <w:pPr>
              <w:pStyle w:val="TableContents"/>
              <w:bidi w:val="0"/>
              <w:spacing w:before="0" w:after="283"/>
              <w:jc w:val="left"/>
              <w:rPr>
                <w:b/>
              </w:rPr>
            </w:pPr>
            <w:r>
              <w:rPr>
                <w:b/>
              </w:rPr>
              <w:t>Research and development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3,053,000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1,161,000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1,892,000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jc w:val="right"/>
              <w:rPr/>
            </w:pPr>
            <w:r>
              <w:rPr/>
              <w:t>5,202,000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5" w:type="dxa"/>
            <w:tcBorders>
              <w:bottom w:val="double" w:sz="6" w:space="0" w:color="000000"/>
            </w:tcBorders>
            <w:shd w:fill="CCEEFF" w:val="clear"/>
            <w:tcMar>
              <w:bottom w:w="28" w:type="dxa"/>
            </w:tcMar>
            <w:vAlign w:val="center"/>
          </w:tcPr>
          <w:p>
            <w:pPr>
              <w:pStyle w:val="TableContents"/>
              <w:bidi w:val="0"/>
              <w:spacing w:before="0" w:after="283"/>
              <w:jc w:val="right"/>
              <w:rPr/>
            </w:pPr>
            <w:r>
              <w:rPr/>
              <w:t>1,895,000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3,307,000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R&amp;D expenses between periods was primarily attributable to activity related to our expanded branded product portfolio, technical transfer activities associated with the production of certain products related to our product acquisitions that occurred in 2023, product development efforts, product launches, and clinical and medical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Interest Expense, Net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was $5,471,000 and $10,886,000 for the three and six months ended June 30, 2024, respectively, compared to $5,704,000 and $10,451,000 for the same periods in 2023, respectively. The decrease during the three months ended June 30, 2024 compared to the same period in 2023 was primarily the result of increased interest income earned. The increase during the six months ended June 30, 2024 compared to the same period in 2023 was primarily the result of the increase in the outstanding principal amount of our 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(Loss) Gain from Eton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we recorded a loss of $(1,923,000) and $(3,171,000), respectively, related to the change in fair market value of Eton’s common stock at the time of its sale, including trading expenses and commissions of approximately $436,000, compared to a loss of $(714,000) and gain of $1,328,000, respectively, during the same periods in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2023, we recorded a loss on extinguishment of debt of $5,465,000, related to the early payoff of a loan.</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we recorded other income of $46,000 and $72,000, respectively, related to a sublease of lab and office space in Nashville. During the three and six months ended June 30, 2023, we recorded other expense, net of $178,000 and $149,000, respectively, related primarily to transition services and write-off of inventories associated with the divestment of our non-ophthalmology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(Expense)/Benefit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2024, we recorded income tax expense of $(655,000) and tax benefit of $15,000 and $303,000, during the same periods in 2023, respectively. The income tax expense in 2024 is primarily related to the timing differences related to the tax deductibility for stock-based compensation, interest expense and loss on our investment in Eton.  We expect the timing differences will result in taxable income for the year ending December 31, 2024.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on hand at June 30, 2024 was $70,968,000, compared to $74,085,000 at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we believe that our cash and cash equivalents will be sufficient to sustain our planned level of operations and capital expenditures for at least the next 12 months. In addition, we may consider the sale of certain assets including, but not limited to, part of, or all of, our investments in Surface Ophthalmics, Inc. (“Surface”) and Melt Pharmaceuticals, Inc. (“Melt”) and any of our consolidated subsidiaries. However, we may pursue acquisitions of revenue generating products or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detailed information about our net cash flows:</w:t>
      </w:r>
    </w:p>
    <w:p>
      <w:pPr>
        <w:pStyle w:val="TextBody"/>
        <w:bidi w:val="0"/>
        <w:spacing w:before="0" w:after="0"/>
        <w:ind w:left="0" w:right="0" w:firstLine="720"/>
        <w:jc w:val="both"/>
        <w:rPr>
          <w:caps w:val="false"/>
          <w:smallCaps w:val="false"/>
        </w:rPr>
      </w:pPr>
      <w:r>
        <w:rPr>
          <w:caps w:val="false"/>
          <w:smallCaps w:val="false"/>
        </w:rPr>
        <w:t> </w:t>
      </w:r>
    </w:p>
    <w:tbl>
      <w:tblPr>
        <w:tblW w:w="8817" w:type="dxa"/>
        <w:jc w:val="left"/>
        <w:tblInd w:w="0" w:type="dxa"/>
        <w:tblLayout w:type="fixed"/>
        <w:tblCellMar>
          <w:top w:w="0" w:type="dxa"/>
          <w:left w:w="0" w:type="dxa"/>
          <w:bottom w:w="0" w:type="dxa"/>
          <w:right w:w="0" w:type="dxa"/>
        </w:tblCellMar>
      </w:tblPr>
      <w:tblGrid>
        <w:gridCol w:w="5015"/>
        <w:gridCol w:w="60"/>
        <w:gridCol w:w="179"/>
        <w:gridCol w:w="1412"/>
        <w:gridCol w:w="122"/>
        <w:gridCol w:w="77"/>
        <w:gridCol w:w="179"/>
        <w:gridCol w:w="1663"/>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 June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 </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412" w:type="dxa"/>
            <w:tcBorders/>
            <w:shd w:fill="FFFFFF" w:val="clear"/>
            <w:vAlign w:val="center"/>
          </w:tcPr>
          <w:p>
            <w:pPr>
              <w:pStyle w:val="TableContents"/>
              <w:bidi w:val="0"/>
              <w:spacing w:before="0" w:after="283"/>
              <w:jc w:val="right"/>
              <w:rPr/>
            </w:pPr>
            <w:r>
              <w:rPr/>
              <w:t>(7,374,000</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(3,648,000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4,993,000</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(132,219,000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shd w:fill="FFFFFF" w:val="clear"/>
            <w:tcMar>
              <w:bottom w:w="28" w:type="dxa"/>
            </w:tcMar>
            <w:vAlign w:val="center"/>
          </w:tcPr>
          <w:p>
            <w:pPr>
              <w:pStyle w:val="TableContents"/>
              <w:bidi w:val="0"/>
              <w:spacing w:before="0" w:after="283"/>
              <w:jc w:val="right"/>
              <w:rPr/>
            </w:pPr>
            <w:r>
              <w:rPr/>
              <w:t>(736,000</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63" w:type="dxa"/>
            <w:tcBorders>
              <w:bottom w:val="single" w:sz="12" w:space="0" w:color="000000"/>
            </w:tcBorders>
            <w:shd w:fill="FFFFFF" w:val="clear"/>
            <w:tcMar>
              <w:bottom w:w="28" w:type="dxa"/>
            </w:tcMar>
            <w:vAlign w:val="center"/>
          </w:tcPr>
          <w:p>
            <w:pPr>
              <w:pStyle w:val="TableContents"/>
              <w:bidi w:val="0"/>
              <w:spacing w:before="0" w:after="283"/>
              <w:jc w:val="right"/>
              <w:rPr/>
            </w:pPr>
            <w:r>
              <w:rPr/>
              <w:t>62,351,000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Net change in cash and cash equivalents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412" w:type="dxa"/>
            <w:tcBorders/>
            <w:shd w:fill="CCEEFF" w:val="clear"/>
            <w:vAlign w:val="center"/>
          </w:tcPr>
          <w:p>
            <w:pPr>
              <w:pStyle w:val="TableContents"/>
              <w:bidi w:val="0"/>
              <w:spacing w:before="0" w:after="283"/>
              <w:jc w:val="right"/>
              <w:rPr/>
            </w:pPr>
            <w:r>
              <w:rPr/>
              <w:t>(3,117,000</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(73,516,000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12" w:type="dxa"/>
            <w:tcBorders>
              <w:bottom w:val="single" w:sz="12" w:space="0" w:color="000000"/>
            </w:tcBorders>
            <w:shd w:fill="FFFFFF" w:val="clear"/>
            <w:tcMar>
              <w:bottom w:w="28" w:type="dxa"/>
            </w:tcMar>
            <w:vAlign w:val="center"/>
          </w:tcPr>
          <w:p>
            <w:pPr>
              <w:pStyle w:val="TableContents"/>
              <w:bidi w:val="0"/>
              <w:spacing w:before="0" w:after="283"/>
              <w:jc w:val="right"/>
              <w:rPr/>
            </w:pPr>
            <w:r>
              <w:rPr/>
              <w:t>74,085,000</w:t>
            </w:r>
          </w:p>
        </w:tc>
        <w:tc>
          <w:tcPr>
            <w:tcW w:w="1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63" w:type="dxa"/>
            <w:tcBorders>
              <w:bottom w:val="single" w:sz="12" w:space="0" w:color="000000"/>
            </w:tcBorders>
            <w:shd w:fill="FFFFFF" w:val="clear"/>
            <w:tcMar>
              <w:bottom w:w="28" w:type="dxa"/>
            </w:tcMar>
            <w:vAlign w:val="center"/>
          </w:tcPr>
          <w:p>
            <w:pPr>
              <w:pStyle w:val="TableContents"/>
              <w:bidi w:val="0"/>
              <w:spacing w:before="0" w:after="283"/>
              <w:jc w:val="right"/>
              <w:rPr/>
            </w:pPr>
            <w:r>
              <w:rPr/>
              <w:t>96,270,000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and cash equivalents at end of the period</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12" w:type="dxa"/>
            <w:tcBorders>
              <w:bottom w:val="double" w:sz="6" w:space="0" w:color="000000"/>
            </w:tcBorders>
            <w:shd w:fill="CCEEFF" w:val="clear"/>
            <w:tcMar>
              <w:bottom w:w="28" w:type="dxa"/>
            </w:tcMar>
            <w:vAlign w:val="center"/>
          </w:tcPr>
          <w:p>
            <w:pPr>
              <w:pStyle w:val="TableContents"/>
              <w:bidi w:val="0"/>
              <w:spacing w:before="0" w:after="283"/>
              <w:jc w:val="right"/>
              <w:rPr/>
            </w:pPr>
            <w:r>
              <w:rPr/>
              <w:t>70,968,000</w:t>
            </w:r>
          </w:p>
        </w:tc>
        <w:tc>
          <w:tcPr>
            <w:tcW w:w="12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63" w:type="dxa"/>
            <w:tcBorders>
              <w:bottom w:val="double" w:sz="6" w:space="0" w:color="000000"/>
            </w:tcBorders>
            <w:shd w:fill="CCEEFF" w:val="clear"/>
            <w:tcMar>
              <w:bottom w:w="28" w:type="dxa"/>
            </w:tcMar>
            <w:vAlign w:val="center"/>
          </w:tcPr>
          <w:p>
            <w:pPr>
              <w:pStyle w:val="TableContents"/>
              <w:bidi w:val="0"/>
              <w:spacing w:before="0" w:after="283"/>
              <w:jc w:val="right"/>
              <w:rPr/>
            </w:pPr>
            <w:r>
              <w:rPr/>
              <w:t>22,754,000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during the six months ended June 30, 2024 was $(7,374,000) compared to $(3,648,000) during the same period in the prior year. The increase in net cash used in operating activities between the periods was mainly attributed to increase in operating expenses associated with the commercial launch of VEVYE in January 2024, including increased headcount associated with the sales force, recent product acquisition integrations and increased costs of goods sold.</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investing activities during the six months ended June 30, 2024 was $4,993,000 compared to $(132,219,000) during the same period in the prior year. Cash used in investing activities in 2023 was primarily related to the acquisition of five branded products completed in January 2023. Cash provided by investing activities in 2024 was primarily related to the sale of our investment position in Eton.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 during the six months ended June 30, 2024 and 2023 was $(736,000) and $62,351,000, respectively. Cash used in financing activities during the six months ended June 30, 2024 was primarily related to payment of payroll taxes upon vesting of RSUs in exchange for shares withheld from employees. Cash provided by financing activities during the six months ended June 30, 2023 was primarily related to proceeds received from the sale of notes in our 2023 capital markets transactions and entering into loan arrangements, offset by repayment of the B. Riley senior secured note and payment of payroll taxes upon vesting and exercise of equity instruments in exchange for shares withheld from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cash have consisted of sales of our common stock, debt issuances, sales of our investments, and on an annual basis (e.g. for the year ended December 31, 2023) cash generated from operating activities. We may also sell some or all of our ownership interests in Surface, Melt or our other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new products, product candidates and/or businesses and, as a result, we may need significant additional capital to support our business plan and fund our proposed business operations. We may receive additional proceeds from the exercise of stock options that are currently outstanding.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unaudited condensed consolidated financial statements included in this Quarterly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3" w:name="sj_004"/>
      <w:bookmarkEnd w:id="923"/>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4" w:name="sj_005"/>
      <w:bookmarkEnd w:id="924"/>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Evaluation of Disclosure Controls and Procedures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2024. Based on this evaluation, our principal executive officer and principal financial officer have concluded that our disclosure controls and procedures were effective to achieve their stated purpose as of June 30, 2024, the end of the period covered by this Quarterly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Changes in Internal Control over Financial Reporting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our internal control over financial reporting (as defined in Rule 13a-15(f) under the Exchange Act) during the quarter ended June 30, 2024, that has materially affected, or is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25" w:name="sj_006"/>
      <w:bookmarkEnd w:id="925"/>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6" w:name="sj_007"/>
      <w:bookmarkEnd w:id="926"/>
      <w:r>
        <w:rPr>
          <w:rFonts w:ascii="Times New Roman;Times;Serif" w:hAnsi="Times New Roman;Times;Serif"/>
          <w:b/>
          <w:i w:val="false"/>
          <w:caps w:val="false"/>
          <w:smallCaps w:val="false"/>
          <w:sz w:val="20"/>
        </w:rPr>
        <w:t xml:space="preserve">Item 1. Legal Proceedings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14 to our unaudited condensed consolidated financial statements included in this Quarterly Report for information on various legal proceedings, which is incorporated into this Item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7" w:name="sj_008"/>
      <w:bookmarkEnd w:id="927"/>
      <w:r>
        <w:rPr>
          <w:rFonts w:ascii="Times New Roman;Times;Serif" w:hAnsi="Times New Roman;Times;Serif"/>
          <w:b/>
          <w:i w:val="false"/>
          <w:caps w:val="false"/>
          <w:smallCaps w:val="false"/>
          <w:sz w:val="20"/>
        </w:rPr>
        <w:t>Item 1A. 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contained in this Quarterly Report you should consider the risk factors and the other information in our Annual Report on Form 10-K for the year ended December 31, 2023,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8" w:name="sj_009"/>
      <w:bookmarkEnd w:id="928"/>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29" w:name="sj_010"/>
      <w:bookmarkEnd w:id="929"/>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0" w:name="sj_011"/>
      <w:bookmarkEnd w:id="930"/>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1" w:name="sj_012"/>
      <w:bookmarkEnd w:id="931"/>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2" w:name="sj_013"/>
      <w:bookmarkEnd w:id="932"/>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4"/>
        <w:gridCol w:w="60"/>
        <w:gridCol w:w="9341"/>
      </w:tblGrid>
      <w:tr>
        <w:trPr/>
        <w:tc>
          <w:tcPr>
            <w:tcW w:w="804" w:type="dxa"/>
            <w:tcBorders>
              <w:bottom w:val="single" w:sz="12"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bottom w:val="single" w:sz="12" w:space="0" w:color="000000"/>
            </w:tcBorders>
            <w:vAlign w:val="center"/>
          </w:tcPr>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Mark L. Baum, principal executive officer, pursuant to Rule 13a-14(a) or 15d-14(a) of the Securities and Exchange Act of 1934, as adopted pursuant to Section 302 of the Sarbanes- Oxley Act of 2002.</w:t>
              </w:r>
            </w:hyperlink>
            <w:r>
              <w:rPr>
                <w:rFonts w:ascii="Times New Roman;Times;Serif" w:hAnsi="Times New Roman;Times;Serif"/>
                <w:b w:val="false"/>
                <w:i w:val="false"/>
                <w:caps w:val="false"/>
                <w:smallCaps w:val="false"/>
                <w:sz w:val="20"/>
              </w:rPr>
              <w:t xml:space="preserve"> </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Andrew R. Boll, principal financial and accounting officer, pursuant to Rule 13a-14(a) or 15d-14(a) of the Securities and Exchange Act of 1934, as adopted pursuant to Section 302 of the Sarbanes- Oxley Act of 2002.</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executed by Mark L. Baum, principal executive officer, and Andrew R. Boll, principal financial and accounting officer.</w:t>
              </w:r>
            </w:hyperlink>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101.CAL*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0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the Company’s Quarterly Report on Form 10-Q for the quarter ended June 30, 2024, has been formatted in Inline XBRL.</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3" w:name="sj_014"/>
      <w:bookmarkEnd w:id="933"/>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1865"/>
        <w:gridCol w:w="320"/>
        <w:gridCol w:w="3650"/>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97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Harrow,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7, 2024</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934" w:name="ex31-1.htm"/>
      <w:bookmarkStart w:id="935" w:name="ksex311"/>
      <w:bookmarkEnd w:id="934"/>
      <w:bookmarkEnd w:id="93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THE PRINCIPAL EXECUTIVE OFFICER 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Mark L. Baum, certify that:</w:t>
      </w:r>
    </w:p>
    <w:p>
      <w:pPr>
        <w:pStyle w:val="TextBody"/>
        <w:bidi w:val="0"/>
        <w:spacing w:before="0" w:after="0"/>
        <w:ind w:left="0" w:right="0" w:hanging="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245"/>
        <w:gridCol w:w="5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28" w:type="dxa"/>
          <w:right w:w="0" w:type="dxa"/>
        </w:tblCellMar>
      </w:tblPr>
      <w:tblGrid>
        <w:gridCol w:w="1760"/>
        <w:gridCol w:w="2240"/>
      </w:tblGrid>
      <w:tr>
        <w:trPr/>
        <w:tc>
          <w:tcPr>
            <w:tcW w:w="1760" w:type="dxa"/>
            <w:tcBorders>
              <w:bottom w:val="single" w:sz="8" w:space="0" w:color="FFFFFF"/>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2024</w:t>
            </w:r>
          </w:p>
        </w:tc>
        <w:tc>
          <w:tcPr>
            <w:tcW w:w="224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4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36" w:name="ex31-2.htm"/>
      <w:bookmarkStart w:id="937" w:name="ksex312"/>
      <w:bookmarkEnd w:id="936"/>
      <w:bookmarkEnd w:id="93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THE PRINCIPAL FINANCIAL OFFICER UNDER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Andrew R. Boll, certify that:</w:t>
      </w:r>
    </w:p>
    <w:p>
      <w:pPr>
        <w:pStyle w:val="TextBody"/>
        <w:bidi w:val="0"/>
        <w:spacing w:before="0" w:after="0"/>
        <w:ind w:left="0" w:right="0" w:hanging="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245"/>
        <w:gridCol w:w="5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Harrow,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28" w:type="dxa"/>
          <w:right w:w="0" w:type="dxa"/>
        </w:tblCellMar>
      </w:tblPr>
      <w:tblGrid>
        <w:gridCol w:w="1760"/>
        <w:gridCol w:w="3650"/>
      </w:tblGrid>
      <w:tr>
        <w:trPr/>
        <w:tc>
          <w:tcPr>
            <w:tcW w:w="1760" w:type="dxa"/>
            <w:tcBorders>
              <w:bottom w:val="single" w:sz="8" w:space="0" w:color="FFFFFF"/>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2024</w:t>
            </w:r>
          </w:p>
        </w:tc>
        <w:tc>
          <w:tcPr>
            <w:tcW w:w="365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17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938" w:name="ex32-1.htm"/>
      <w:bookmarkStart w:id="939" w:name="ksex321"/>
      <w:bookmarkEnd w:id="938"/>
      <w:bookmarkEnd w:id="93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32.1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REQUIRED BY</w:t>
        <w:br/>
        <w:t xml:space="preserve">SECTION 1350 OF TITLE 18 OF THE UNITED STATES CODE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June 30, 2024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0" w:after="0"/>
        <w:ind w:left="0" w:right="0" w:hanging="0"/>
        <w:jc w:val="both"/>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br/>
            </w:r>
            <w:r>
              <w:rPr>
                <w:rFonts w:ascii="Times New Roman;Times;Serif" w:hAnsi="Times New Roman;Times;Serif"/>
                <w:b w:val="false"/>
                <w:i/>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3755"/>
        <w:gridCol w:w="75"/>
      </w:tblGrid>
      <w:tr>
        <w:trPr/>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br/>
            </w:r>
            <w:r>
              <w:rPr>
                <w:rFonts w:ascii="Times New Roman;Times;Serif" w:hAnsi="Times New Roman;Times;Serif"/>
                <w:b w:val="false"/>
                <w:i/>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18024</Words>
  <Characters>100754</Characters>
  <CharactersWithSpaces>120322</CharactersWithSpaces>
  <Paragraphs>6266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