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Opaleye Management Inc.</w:t>
              </w:r>
            </w:hyperlink>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HARROW HEALTH,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HROW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80" w:type="dxa"/>
            <w:vAlign w:val="bottom"/>
            <w:gridSpan w:val="7"/>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ONE BOSTON PLACE,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09/28/2022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26TH FLOOR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38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4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02108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200"/>
              <w:spacing w:after="0" w:line="146"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21"/>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140" w:type="dxa"/>
            <w:vAlign w:val="bottom"/>
            <w:gridSpan w:val="3"/>
          </w:tcPr>
          <w:p>
            <w:pPr>
              <w:ind w:left="3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0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7"/>
            <w:vMerge w:val="continue"/>
          </w:tcPr>
          <w:p>
            <w:pPr>
              <w:spacing w:after="0"/>
              <w:rPr>
                <w:sz w:val="9"/>
                <w:szCs w:val="9"/>
                <w:color w:val="auto"/>
              </w:rPr>
            </w:pPr>
          </w:p>
        </w:tc>
        <w:tc>
          <w:tcPr>
            <w:tcW w:w="122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09/28/2022</w:t>
            </w: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10,000</w:t>
            </w:r>
          </w:p>
        </w:tc>
        <w:tc>
          <w:tcPr>
            <w:tcW w:w="50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4"/>
            <w:vMerge w:val="restart"/>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9.7748</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3,185,000</w:t>
            </w:r>
          </w:p>
        </w:tc>
        <w:tc>
          <w:tcPr>
            <w:tcW w:w="240" w:type="dxa"/>
            <w:vAlign w:val="bottom"/>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7"/>
            <w:vMerge w:val="continue"/>
          </w:tcPr>
          <w:p>
            <w:pPr>
              <w:spacing w:after="0"/>
              <w:rPr>
                <w:sz w:val="9"/>
                <w:szCs w:val="9"/>
                <w:color w:val="auto"/>
              </w:rPr>
            </w:pPr>
          </w:p>
        </w:tc>
        <w:tc>
          <w:tcPr>
            <w:tcW w:w="122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09/28/2022</w:t>
            </w: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color w:val="0000FF"/>
              </w:rPr>
              <w:t>1,085</w:t>
            </w:r>
          </w:p>
        </w:tc>
        <w:tc>
          <w:tcPr>
            <w:tcW w:w="50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4"/>
            <w:vMerge w:val="restart"/>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9.7748</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0000FF"/>
              </w:rPr>
              <w:t>158,817</w:t>
            </w:r>
          </w:p>
        </w:tc>
        <w:tc>
          <w:tcPr>
            <w:tcW w:w="240" w:type="dxa"/>
            <w:vAlign w:val="bottom"/>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5"/>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purchase price. This transaction was executed in multiple trades at prices ranging from $9.656 to $9.85; The reporting person undertakes to provide upon request by the SEC staff, the issuer, or a security holder of the issuer, full information regarding the number of shares purchased.</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09/30/2022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2022-09-30T05:40:32Z</dcterms:created>
  <dcterms:modified xsi:type="dcterms:W3CDTF">2022-09-30T05:40:32Z</dcterms:modified>
</cp:coreProperties>
</file>