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jc w:val="center"/>
        <w:rPr>
          <w:caps w:val="false"/>
          <w:smallCaps w:val="false"/>
        </w:rPr>
      </w:pPr>
      <w:bookmarkStart w:id="0" w:name="form8k.htm"/>
      <w:bookmarkStart w:id="1" w:name="ksform8k"/>
      <w:bookmarkEnd w:id="0"/>
      <w:bookmarkEnd w:id="1"/>
      <w:r>
        <w:rPr>
          <w:caps w:val="false"/>
          <w:smallCaps w:val="false"/>
        </w:rPr>
        <w:t> </w:t>
      </w:r>
    </w:p>
    <w:p>
      <w:pPr>
        <w:pStyle w:val="TextBody"/>
        <w:jc w:val="left"/>
        <w:rPr>
          <w:bdr w:val="single" w:sz="32" w:space="1" w:color="000000"/>
        </w:rPr>
      </w:pPr>
      <w:r>
        <w:rPr>
          <w:bdr w:val="single" w:sz="32" w:space="1" w:color="000000"/>
        </w:rPr>
        <w:t>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October 24, 2014</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IMPRIMIS PHARMACEUTICALS, INC.</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jc w:val="center"/>
        <w:rPr>
          <w:caps w:val="false"/>
          <w:smallCaps w:val="false"/>
        </w:rPr>
      </w:pPr>
      <w:r>
        <w:rPr>
          <w:caps w:val="false"/>
          <w:smallCaps w:val="false"/>
        </w:rPr>
        <w:t> </w:t>
      </w:r>
    </w:p>
    <w:tbl>
      <w:tblPr>
        <w:tblW w:w="4920" w:type="dxa"/>
        <w:jc w:val="left"/>
        <w:tblInd w:w="0" w:type="dxa"/>
        <w:tblCellMar>
          <w:top w:w="0" w:type="dxa"/>
          <w:left w:w="0" w:type="dxa"/>
          <w:bottom w:w="28" w:type="dxa"/>
          <w:right w:w="0" w:type="dxa"/>
        </w:tblCellMar>
      </w:tblPr>
      <w:tblGrid>
        <w:gridCol w:w="2165"/>
        <w:gridCol w:w="60"/>
        <w:gridCol w:w="1100"/>
        <w:gridCol w:w="60"/>
        <w:gridCol w:w="1535"/>
      </w:tblGrid>
      <w:tr>
        <w:trPr/>
        <w:tc>
          <w:tcPr>
            <w:tcW w:w="216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10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001-35814</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53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45-0567010</w:t>
            </w:r>
          </w:p>
        </w:tc>
      </w:tr>
      <w:tr>
        <w:trPr/>
        <w:tc>
          <w:tcPr>
            <w:tcW w:w="216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10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53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216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10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53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rPr>
          <w:caps w:val="false"/>
          <w:smallCaps w:val="false"/>
        </w:rPr>
      </w:pPr>
      <w:r>
        <w:rPr>
          <w:caps w:val="false"/>
          <w:smallCaps w:val="false"/>
        </w:rPr>
        <w:t> </w:t>
      </w:r>
    </w:p>
    <w:tbl>
      <w:tblPr>
        <w:tblW w:w="4195" w:type="dxa"/>
        <w:jc w:val="left"/>
        <w:tblInd w:w="0" w:type="dxa"/>
        <w:tblCellMar>
          <w:top w:w="0" w:type="dxa"/>
          <w:left w:w="0" w:type="dxa"/>
          <w:bottom w:w="0" w:type="dxa"/>
          <w:right w:w="0" w:type="dxa"/>
        </w:tblCellMar>
      </w:tblPr>
      <w:tblGrid>
        <w:gridCol w:w="3215"/>
        <w:gridCol w:w="60"/>
        <w:gridCol w:w="920"/>
      </w:tblGrid>
      <w:tr>
        <w:trPr/>
        <w:tc>
          <w:tcPr>
            <w:tcW w:w="3215"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12264 El Camino Real, Suite 350</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920" w:type="dxa"/>
            <w:tcBorders/>
            <w:shd w:fill="auto" w:val="clear"/>
            <w:vAlign w:val="center"/>
          </w:tcPr>
          <w:p>
            <w:pPr>
              <w:pStyle w:val="TableContents"/>
              <w:spacing w:before="0" w:after="283"/>
              <w:jc w:val="center"/>
              <w:rPr>
                <w:caps w:val="false"/>
                <w:smallCaps w:val="false"/>
              </w:rPr>
            </w:pPr>
            <w:r>
              <w:rPr>
                <w:caps w:val="false"/>
                <w:smallCaps w:val="false"/>
              </w:rPr>
              <w:t> </w:t>
            </w:r>
          </w:p>
        </w:tc>
      </w:tr>
      <w:tr>
        <w:trPr/>
        <w:tc>
          <w:tcPr>
            <w:tcW w:w="3215" w:type="dxa"/>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San Diego, CA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920" w:type="dxa"/>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92130</w:t>
            </w:r>
          </w:p>
        </w:tc>
      </w:tr>
      <w:tr>
        <w:trPr/>
        <w:tc>
          <w:tcPr>
            <w:tcW w:w="321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92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(858) 704-4040</w:t>
      </w:r>
    </w:p>
    <w:p>
      <w:pPr>
        <w:pStyle w:val="TextBody"/>
        <w:jc w:val="center"/>
        <w:rPr>
          <w:caps w:val="false"/>
          <w:smallCaps w:val="false"/>
        </w:rPr>
      </w:pPr>
      <w:r>
        <w:rPr>
          <w:caps w:val="false"/>
          <w:smallCaps w:val="false"/>
        </w:rPr>
        <w:t> </w:t>
      </w:r>
    </w:p>
    <w:tbl>
      <w:tblPr>
        <w:tblW w:w="4910" w:type="dxa"/>
        <w:jc w:val="center"/>
        <w:tblInd w:w="0" w:type="dxa"/>
        <w:tblCellMar>
          <w:top w:w="0" w:type="dxa"/>
          <w:left w:w="0" w:type="dxa"/>
          <w:bottom w:w="28" w:type="dxa"/>
          <w:right w:w="0" w:type="dxa"/>
        </w:tblCellMar>
      </w:tblPr>
      <w:tblGrid>
        <w:gridCol w:w="4910"/>
      </w:tblGrid>
      <w:tr>
        <w:trPr/>
        <w:tc>
          <w:tcPr>
            <w:tcW w:w="491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tc>
      </w:tr>
      <w:tr>
        <w:trPr/>
        <w:tc>
          <w:tcPr>
            <w:tcW w:w="491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tc>
      </w:tr>
    </w:tbl>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Written communications pursuant to Rule 425 under the Securities Act (17 CFR 230.425)</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Soliciting material pursuant to Rule 14a-12 under the Exchange Act (17 CFR 240.14a-12)</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Pre-commencement communications pursuant to Rule 14d-2(b) under the Exchange Act (17 CFR 240.14d-2(b))</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Pre-commencement communications pursuant to Rule 13e-4(c) under the Exchange Act (17 CFR 240.13e-4(c))</w:t>
      </w:r>
    </w:p>
    <w:p>
      <w:pPr>
        <w:pStyle w:val="TextBody"/>
        <w:jc w:val="both"/>
        <w:rPr>
          <w:caps w:val="false"/>
          <w:smallCaps w:val="false"/>
        </w:rPr>
      </w:pPr>
      <w:r>
        <w:rPr>
          <w:caps w:val="false"/>
          <w:smallCaps w:val="false"/>
        </w:rPr>
        <w:t> </w:t>
      </w:r>
    </w:p>
    <w:p>
      <w:pPr>
        <w:pStyle w:val="TextBody"/>
        <w:jc w:val="left"/>
        <w:rPr>
          <w:bdr w:val="single" w:sz="12" w:space="1" w:color="000000"/>
        </w:rPr>
      </w:pPr>
      <w:r>
        <w:rPr>
          <w:bdr w:val="single" w:sz="12" w:space="1" w:color="000000"/>
        </w:rPr>
        <w:t> </w:t>
      </w:r>
    </w:p>
    <w:p>
      <w:pPr>
        <w:pStyle w:val="TextBody"/>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2014, (the “Effective Date”), Imprimis Pharmaceuticals, Inc. (the “Company”) entered into a license agreement (the “Agreement”) with Urigen Pharmaceuticals, Inc. (“Urigen”), pursuant to which Urigen granted to Imprimis a license under certain U.S. patents and patent applications to develop and sell in the U.S. Urigen’s URG101 product (the “Product”), a lidocaine and heparin compounded formulation, for the prevention or treatment of disorders of the lower urinary tract. Such license is non-exclusive; provided that, between the six-month anniversary of the Effective Date and the 12-month anniversary of the Effective Date, the Company will have the right, at its option, to convert such non-exclusive license to an exclusive license for the remaining term of the Agreement, subject only to certain specified existing sublicenses (the “Existing Sublicenses”).</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the license granted under the Agreement, the Company has agreed to pay Urigen annual tiered royalties based on its sales of the Product, subject to certain minimum annual royalty payments. The annual tiered royalties consist of the greater of (i) a minimum amount per dose, and (ii) 15% - 20% of the Company’s net sales of the Product, with such royalty range depending on the Company’s aggregate sales of Product during the period to which the royalty payment applies. The minimum annual royalty payment consists of (a) for the calendar year during with the license grant may convert from a non-exclusive license to an exclusive license as described above, the greater of (i) 110% of the aggregate royalties paid to Urigen under the Existing Sublicenses during the preceding 12 months, on a prorated basis, and (ii) $800,000, less the aggregate royalties paid to Urigen under the Existing Sublicenses during such calendar year, and (b) for each calendar year thereafter, 110% of the aggregate amount owed by the Company to Urigen under the Agreement during the prior calendar year. The Company is obligated to pay such royalties beginning with its first commercial sale of the Product and continuing until the expiration of the patents subject to the license granted under the Agreement. The Company has also agreed to use commercially reasonable efforts to develop and commercialize the Product according to the terms of a diligence plan agreed to by the parties, which efforts will include, without limitation, the Company’s investment of $2 million in commercialization efforts of the Product, which investment and timeline can be adjusted dependent market circumstances.</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and each party’s right to terminate the Agreement earlier under certain circumstances, the Agreement will continue in effect until the expiration of the Company’s royalty obligations under the Agreement. The Agreement between the Company and Urigen terminates upon the first commercial sale of the Product by Urigen, its affiliates, or a third party after the U.S. Food and Drug Administration (the “FDA”) grants Urigen approval to market the Product in the U.S., if market approval is granted. The Company shall have the option, at its discretion, to become a non-exclusive distributor of the Product following the FDA granting Urigen such market approval.</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Agreement does not purport to be complete and is qualified in its entirety by the complete text of such document, a copy of which is attached as an exhibit to this Current Report on Form 8-K and incorporated herein by reference. The Company issued a press release on October 29, 2014 announcing the Agreement, a copy of which is attached as Exhibit 99.1 to this Current Report on Form 8-K.</w:t>
      </w:r>
    </w:p>
    <w:p>
      <w:pPr>
        <w:pStyle w:val="TextBody"/>
        <w:rPr>
          <w:caps w:val="false"/>
          <w:smallCaps w:val="false"/>
        </w:rPr>
      </w:pPr>
      <w:r>
        <w:rPr>
          <w:caps w:val="false"/>
          <w:smallCaps w:val="false"/>
        </w:rPr>
        <w:t> </w:t>
      </w:r>
    </w:p>
    <w:p>
      <w:pPr>
        <w:pStyle w:val="TextBody"/>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9.01 Financial Statements and Exhibits. </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665"/>
        <w:gridCol w:w="60"/>
        <w:gridCol w:w="9480"/>
      </w:tblGrid>
      <w:tr>
        <w:trPr/>
        <w:tc>
          <w:tcPr>
            <w:tcW w:w="665" w:type="dxa"/>
            <w:tcBorders>
              <w:bottom w:val="single" w:sz="12" w:space="0" w:color="000000"/>
            </w:tcBorders>
            <w:shd w:fill="auto"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480" w:type="dxa"/>
            <w:tcBorders>
              <w:bottom w:val="single" w:sz="12" w:space="0" w:color="000000"/>
            </w:tcBorders>
            <w:shd w:fill="auto" w:val="clear"/>
            <w:vAlign w:val="center"/>
          </w:tcPr>
          <w:p>
            <w:pPr>
              <w:pStyle w:val="TableContents"/>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665"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pPr>
            <w:r>
              <w:rPr/>
              <w:t> </w:t>
            </w:r>
          </w:p>
        </w:tc>
        <w:tc>
          <w:tcPr>
            <w:tcW w:w="9480" w:type="dxa"/>
            <w:tcBorders/>
            <w:shd w:fill="auto" w:val="clear"/>
            <w:tcMar>
              <w:bottom w:w="0" w:type="dxa"/>
            </w:tcMar>
            <w:vAlign w:val="center"/>
          </w:tcPr>
          <w:p>
            <w:pPr>
              <w:pStyle w:val="TableContents"/>
              <w:spacing w:before="0" w:after="283"/>
              <w:jc w:val="both"/>
              <w:rPr>
                <w:caps w:val="false"/>
                <w:smallCaps w:val="false"/>
              </w:rPr>
            </w:pPr>
            <w:r>
              <w:rPr>
                <w:caps w:val="false"/>
                <w:smallCaps w:val="false"/>
              </w:rPr>
              <w:t> </w:t>
            </w:r>
          </w:p>
        </w:tc>
      </w:tr>
      <w:tr>
        <w:trPr/>
        <w:tc>
          <w:tcPr>
            <w:tcW w:w="665" w:type="dxa"/>
            <w:tcBorders/>
            <w:shd w:fill="auto"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auto" w:val="clear"/>
            <w:tcMar>
              <w:bottom w:w="0" w:type="dxa"/>
            </w:tcMar>
            <w:vAlign w:val="center"/>
          </w:tcPr>
          <w:p>
            <w:pPr>
              <w:pStyle w:val="TableContents"/>
              <w:spacing w:before="0" w:after="283"/>
              <w:rPr/>
            </w:pPr>
            <w:r>
              <w:rPr/>
              <w:t> </w:t>
            </w:r>
          </w:p>
        </w:tc>
        <w:tc>
          <w:tcPr>
            <w:tcW w:w="9480"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 Agreement, dated as of October 24, 2014, between Urigen Pharmaceuticals, Inc. and Imprimis Pharmaceuticals, Inc.</w:t>
            </w:r>
          </w:p>
        </w:tc>
      </w:tr>
      <w:tr>
        <w:trPr/>
        <w:tc>
          <w:tcPr>
            <w:tcW w:w="665"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pPr>
            <w:r>
              <w:rPr/>
              <w:t> </w:t>
            </w:r>
          </w:p>
        </w:tc>
        <w:tc>
          <w:tcPr>
            <w:tcW w:w="9480" w:type="dxa"/>
            <w:tcBorders/>
            <w:shd w:fill="auto" w:val="clear"/>
            <w:tcMar>
              <w:bottom w:w="0" w:type="dxa"/>
            </w:tcMar>
            <w:vAlign w:val="center"/>
          </w:tcPr>
          <w:p>
            <w:pPr>
              <w:pStyle w:val="TableContents"/>
              <w:spacing w:before="0" w:after="283"/>
              <w:jc w:val="both"/>
              <w:rPr>
                <w:caps w:val="false"/>
                <w:smallCaps w:val="false"/>
              </w:rPr>
            </w:pPr>
            <w:r>
              <w:rPr>
                <w:caps w:val="false"/>
                <w:smallCaps w:val="false"/>
              </w:rPr>
              <w:t> </w:t>
            </w:r>
          </w:p>
        </w:tc>
      </w:tr>
      <w:tr>
        <w:trPr/>
        <w:tc>
          <w:tcPr>
            <w:tcW w:w="665" w:type="dxa"/>
            <w:tcBorders/>
            <w:shd w:fill="auto"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auto" w:val="clear"/>
            <w:tcMar>
              <w:bottom w:w="0" w:type="dxa"/>
            </w:tcMar>
            <w:vAlign w:val="center"/>
          </w:tcPr>
          <w:p>
            <w:pPr>
              <w:pStyle w:val="TableContents"/>
              <w:spacing w:before="0" w:after="283"/>
              <w:rPr/>
            </w:pPr>
            <w:r>
              <w:rPr/>
              <w:t> </w:t>
            </w:r>
          </w:p>
        </w:tc>
        <w:tc>
          <w:tcPr>
            <w:tcW w:w="9480"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Press release issued by Imprimis Pharmaceuticals, Inc. dated October 29, 2014</w:t>
            </w:r>
          </w:p>
        </w:tc>
      </w:tr>
    </w:tbl>
    <w:p>
      <w:pPr>
        <w:pStyle w:val="TextBody"/>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ind w:left="0" w:right="0" w:firstLine="367"/>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ind w:left="0" w:right="0" w:firstLine="720"/>
        <w:rPr>
          <w:caps w:val="false"/>
          <w:smallCaps w:val="false"/>
        </w:rPr>
      </w:pPr>
      <w:r>
        <w:rPr>
          <w:caps w:val="false"/>
          <w:smallCaps w:val="false"/>
        </w:rPr>
        <w:t> </w:t>
      </w:r>
    </w:p>
    <w:tbl>
      <w:tblPr>
        <w:tblW w:w="3560" w:type="dxa"/>
        <w:jc w:val="left"/>
        <w:tblInd w:w="0" w:type="dxa"/>
        <w:tblCellMar>
          <w:top w:w="0" w:type="dxa"/>
          <w:left w:w="0" w:type="dxa"/>
          <w:bottom w:w="0" w:type="dxa"/>
          <w:right w:w="0" w:type="dxa"/>
        </w:tblCellMar>
      </w:tblPr>
      <w:tblGrid>
        <w:gridCol w:w="75"/>
        <w:gridCol w:w="3485"/>
      </w:tblGrid>
      <w:tr>
        <w:trPr/>
        <w:tc>
          <w:tcPr>
            <w:tcW w:w="75" w:type="dxa"/>
            <w:tcBorders/>
            <w:shd w:fill="auto" w:val="clear"/>
            <w:vAlign w:val="center"/>
          </w:tcPr>
          <w:p>
            <w:pPr>
              <w:pStyle w:val="TableContents"/>
              <w:spacing w:before="0" w:after="283"/>
              <w:rPr/>
            </w:pPr>
            <w:r>
              <w:rPr/>
              <w:t> </w:t>
            </w:r>
          </w:p>
        </w:tc>
        <w:tc>
          <w:tcPr>
            <w:tcW w:w="348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IMPRIMIS PHARMACEUTICALS, INC.</w:t>
            </w:r>
          </w:p>
        </w:tc>
      </w:tr>
    </w:tbl>
    <w:p>
      <w:pPr>
        <w:pStyle w:val="TextBody"/>
        <w:ind w:left="0" w:right="0" w:firstLine="720"/>
        <w:rPr>
          <w:caps w:val="false"/>
          <w:smallCaps w:val="false"/>
        </w:rPr>
      </w:pPr>
      <w:r>
        <w:rPr>
          <w:caps w:val="false"/>
          <w:smallCaps w:val="false"/>
        </w:rPr>
        <w:t> </w:t>
      </w:r>
    </w:p>
    <w:tbl>
      <w:tblPr>
        <w:tblW w:w="6660" w:type="dxa"/>
        <w:jc w:val="left"/>
        <w:tblInd w:w="0" w:type="dxa"/>
        <w:tblCellMar>
          <w:top w:w="0" w:type="dxa"/>
          <w:left w:w="0" w:type="dxa"/>
          <w:bottom w:w="0" w:type="dxa"/>
          <w:right w:w="0" w:type="dxa"/>
        </w:tblCellMar>
      </w:tblPr>
      <w:tblGrid>
        <w:gridCol w:w="2030"/>
        <w:gridCol w:w="545"/>
        <w:gridCol w:w="4085"/>
      </w:tblGrid>
      <w:tr>
        <w:trPr/>
        <w:tc>
          <w:tcPr>
            <w:tcW w:w="203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29, 2014</w:t>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085"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R. Boll</w:t>
            </w:r>
          </w:p>
        </w:tc>
      </w:tr>
      <w:tr>
        <w:trPr/>
        <w:tc>
          <w:tcPr>
            <w:tcW w:w="2030" w:type="dxa"/>
            <w:tcBorders/>
            <w:shd w:fill="auto" w:val="clear"/>
            <w:vAlign w:val="center"/>
          </w:tcPr>
          <w:p>
            <w:pPr>
              <w:pStyle w:val="TableContents"/>
              <w:spacing w:before="0" w:after="283"/>
              <w:rPr>
                <w:caps w:val="false"/>
                <w:smallCaps w:val="false"/>
              </w:rPr>
            </w:pPr>
            <w:r>
              <w:rPr>
                <w:caps w:val="false"/>
                <w:smallCaps w:val="false"/>
              </w:rPr>
              <w:t> </w:t>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08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R. Boll</w:t>
            </w:r>
          </w:p>
        </w:tc>
      </w:tr>
      <w:tr>
        <w:trPr/>
        <w:tc>
          <w:tcPr>
            <w:tcW w:w="2030" w:type="dxa"/>
            <w:tcBorders/>
            <w:shd w:fill="auto" w:val="clear"/>
            <w:vAlign w:val="center"/>
          </w:tcPr>
          <w:p>
            <w:pPr>
              <w:pStyle w:val="TableContents"/>
              <w:spacing w:before="0" w:after="283"/>
              <w:rPr>
                <w:caps w:val="false"/>
                <w:smallCaps w:val="false"/>
              </w:rPr>
            </w:pPr>
            <w:r>
              <w:rPr>
                <w:caps w:val="false"/>
                <w:smallCaps w:val="false"/>
              </w:rPr>
              <w:t> </w:t>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08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Vice President, Accounting and Public Reporting </w:t>
            </w:r>
          </w:p>
        </w:tc>
      </w:tr>
    </w:tbl>
    <w:p>
      <w:pPr>
        <w:pStyle w:val="TextBody"/>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jc w:val="center"/>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665"/>
        <w:gridCol w:w="60"/>
        <w:gridCol w:w="9480"/>
      </w:tblGrid>
      <w:tr>
        <w:trPr/>
        <w:tc>
          <w:tcPr>
            <w:tcW w:w="665" w:type="dxa"/>
            <w:tcBorders>
              <w:bottom w:val="single" w:sz="12" w:space="0" w:color="000000"/>
            </w:tcBorders>
            <w:shd w:fill="auto"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480" w:type="dxa"/>
            <w:tcBorders>
              <w:bottom w:val="single" w:sz="12" w:space="0" w:color="000000"/>
            </w:tcBorders>
            <w:shd w:fill="auto" w:val="clear"/>
            <w:vAlign w:val="center"/>
          </w:tcPr>
          <w:p>
            <w:pPr>
              <w:pStyle w:val="TableContents"/>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665"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pPr>
            <w:r>
              <w:rPr/>
              <w:t> </w:t>
            </w:r>
          </w:p>
        </w:tc>
        <w:tc>
          <w:tcPr>
            <w:tcW w:w="9480" w:type="dxa"/>
            <w:tcBorders/>
            <w:shd w:fill="auto" w:val="clear"/>
            <w:tcMar>
              <w:bottom w:w="0" w:type="dxa"/>
            </w:tcMar>
            <w:vAlign w:val="center"/>
          </w:tcPr>
          <w:p>
            <w:pPr>
              <w:pStyle w:val="TableContents"/>
              <w:spacing w:before="0" w:after="283"/>
              <w:jc w:val="both"/>
              <w:rPr>
                <w:caps w:val="false"/>
                <w:smallCaps w:val="false"/>
              </w:rPr>
            </w:pPr>
            <w:r>
              <w:rPr>
                <w:caps w:val="false"/>
                <w:smallCaps w:val="false"/>
              </w:rPr>
              <w:t> </w:t>
            </w:r>
          </w:p>
        </w:tc>
      </w:tr>
      <w:tr>
        <w:trPr/>
        <w:tc>
          <w:tcPr>
            <w:tcW w:w="665" w:type="dxa"/>
            <w:tcBorders/>
            <w:shd w:fill="auto"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auto" w:val="clear"/>
            <w:tcMar>
              <w:bottom w:w="0" w:type="dxa"/>
            </w:tcMar>
            <w:vAlign w:val="center"/>
          </w:tcPr>
          <w:p>
            <w:pPr>
              <w:pStyle w:val="TableContents"/>
              <w:spacing w:before="0" w:after="283"/>
              <w:rPr/>
            </w:pPr>
            <w:r>
              <w:rPr/>
              <w:t> </w:t>
            </w:r>
          </w:p>
        </w:tc>
        <w:tc>
          <w:tcPr>
            <w:tcW w:w="9480"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 Agreement, dated as of October 24, 2014, between Urigen Pharmaceuticals, Inc. and Imprimis Pharmaceuticals, Inc.</w:t>
            </w:r>
          </w:p>
        </w:tc>
      </w:tr>
      <w:tr>
        <w:trPr/>
        <w:tc>
          <w:tcPr>
            <w:tcW w:w="665"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pPr>
            <w:r>
              <w:rPr/>
              <w:t> </w:t>
            </w:r>
          </w:p>
        </w:tc>
        <w:tc>
          <w:tcPr>
            <w:tcW w:w="9480" w:type="dxa"/>
            <w:tcBorders/>
            <w:shd w:fill="auto" w:val="clear"/>
            <w:tcMar>
              <w:bottom w:w="0" w:type="dxa"/>
            </w:tcMar>
            <w:vAlign w:val="center"/>
          </w:tcPr>
          <w:p>
            <w:pPr>
              <w:pStyle w:val="TableContents"/>
              <w:spacing w:before="0" w:after="283"/>
              <w:jc w:val="both"/>
              <w:rPr>
                <w:caps w:val="false"/>
                <w:smallCaps w:val="false"/>
              </w:rPr>
            </w:pPr>
            <w:r>
              <w:rPr>
                <w:caps w:val="false"/>
                <w:smallCaps w:val="false"/>
              </w:rPr>
              <w:t> </w:t>
            </w:r>
          </w:p>
        </w:tc>
      </w:tr>
      <w:tr>
        <w:trPr/>
        <w:tc>
          <w:tcPr>
            <w:tcW w:w="665" w:type="dxa"/>
            <w:tcBorders/>
            <w:shd w:fill="auto"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auto" w:val="clear"/>
            <w:tcMar>
              <w:bottom w:w="0" w:type="dxa"/>
            </w:tcMar>
            <w:vAlign w:val="center"/>
          </w:tcPr>
          <w:p>
            <w:pPr>
              <w:pStyle w:val="TableContents"/>
              <w:spacing w:before="0" w:after="283"/>
              <w:rPr/>
            </w:pPr>
            <w:r>
              <w:rPr/>
              <w:t> </w:t>
            </w:r>
          </w:p>
        </w:tc>
        <w:tc>
          <w:tcPr>
            <w:tcW w:w="9480"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Press release issued by Imprimis Pharmaceuticals, Inc. dated October 29, 2014</w:t>
            </w:r>
          </w:p>
        </w:tc>
      </w:tr>
    </w:tbl>
    <w:p>
      <w:pPr>
        <w:pStyle w:val="TextBody"/>
        <w:ind w:left="0" w:right="0" w:hanging="72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ind w:left="0" w:right="0" w:hanging="720"/>
        <w:rPr>
          <w:caps w:val="false"/>
          <w:smallCaps w:val="false"/>
        </w:rPr>
      </w:pPr>
      <w:r>
        <w:rPr>
          <w:caps w:val="false"/>
          <w:smallCaps w:val="false"/>
        </w:rPr>
        <w:t> </w:t>
      </w:r>
      <w:r>
        <w:br w:type="page"/>
      </w:r>
    </w:p>
    <w:p>
      <w:pPr>
        <w:pStyle w:val="TextBody"/>
        <w:jc w:val="center"/>
        <w:rPr>
          <w:caps w:val="false"/>
          <w:smallCaps w:val="false"/>
        </w:rPr>
      </w:pPr>
      <w:bookmarkStart w:id="2" w:name="ex10-1.htm"/>
      <w:bookmarkStart w:id="3" w:name="ksex101"/>
      <w:bookmarkEnd w:id="2"/>
      <w:bookmarkEnd w:id="3"/>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 AGREEMENT</w:t>
      </w:r>
    </w:p>
    <w:p>
      <w:pPr>
        <w:pStyle w:val="TextBody"/>
        <w:jc w:val="center"/>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LICENSE AGREEMENT (this “Agreement”) dated as of October 24, 2014 (the “Effective Date”), is entered into between </w:t>
      </w:r>
      <w:r>
        <w:rPr>
          <w:rFonts w:ascii="Times New Roman;Times;Serif" w:hAnsi="Times New Roman;Times;Serif"/>
          <w:b w:val="false"/>
          <w:i w:val="false"/>
          <w:caps/>
          <w:sz w:val="20"/>
        </w:rPr>
        <w:t>Urigen Pharmaceuticals, Inc.</w:t>
      </w:r>
      <w:r>
        <w:rPr>
          <w:rFonts w:ascii="Times New Roman;Times;Serif" w:hAnsi="Times New Roman;Times;Serif"/>
          <w:b w:val="false"/>
          <w:i w:val="false"/>
          <w:caps w:val="false"/>
          <w:smallCaps w:val="false"/>
          <w:sz w:val="20"/>
        </w:rPr>
        <w:t>, a Delaware corporation (“Urigen”), with a place of business at 501 Silverside Road PMB# 95, Wilmington, Delaware 19809 and IMPRIMIS PHARMACEUTICALS, INC., a Delaware corporation (“Imprimis”), with a place of business at 12264 El Camino Real, Suite 350, San Diego, California 92130. The parties hereby agree as follows:</w:t>
      </w:r>
    </w:p>
    <w:p>
      <w:pPr>
        <w:pStyle w:val="TextBody"/>
        <w:ind w:left="0" w:right="0" w:firstLine="720"/>
        <w:jc w:val="both"/>
        <w:rPr>
          <w:caps/>
        </w:rPr>
      </w:pPr>
      <w:r>
        <w:rPr>
          <w:caps/>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For the purposes of this Agreement, the following terms shall have the respective meanings set forth below and grammatical variations of such terms shall have corresponding meanings:</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“Affiliate” shall mean, with respect to any Person, any other Person which directly or indirectly controls, is controlled by, or is under common control with, such Person. A Person shall be regarded as in control of another Person if it owns, or directly or indirectly controls, more than fifty percent (50%) of the voting stock or other ownership interest of the other Person, or if it directly or indirectly possesses the power to direct or cause the direction of the management and policies of the other Person by any means whatsoever.</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“Bad Debt” shall mean an estimate of accounts receivable deemed uncollectible in each calendar quarter, in accordance with GAAP.</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“Conversion Date” shall mean the date on which the license granted by Urigen to Imprimis under Section 3.1.1 converts from nonexclusive to exclusive as set forth in Section 3.1.4.</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“Diligence Plan” shall mean the diligence plan for the development and commercialization of Products set forth on Exhibit A, as amended pursuant to the terms of this Agreement.</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“Existing Sublicensees” shall mean the Third Party sublicensees that are parties to the Existing Sublicenses. Existing Sublicensees exclude UCSD Pharmacy.</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“Existing Sublicenses” shall mean the agreements listed on Exhibit B. Existing Sublicenses exclude the UCSD Pharmacy Sublicense as amended pursuant to Sections 3.5.2 and 3.5.3 below.</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“FDA” shall mean the Food and Drug Administration of the United States, or the successor thereto.</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“FD&amp;C Act” shall mean the United States Federal Food, Drug, and Cosmetic Act, as amended (including, without limitation, by the Drug Quality and Security Act), and the rules and regulations promulgated thereunder.</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“Field of Use” shall mean the prevention or treatment of disorders of the lower urinary tract, defined as the bladder, prostate, urethra, and related conditions.</w:t>
      </w:r>
    </w:p>
    <w:p>
      <w:pPr>
        <w:pStyle w:val="TextBody"/>
        <w:ind w:left="0" w:right="0" w:firstLine="1440"/>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1</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 “First Commercial Sale” shall mean, with respect to any Product, the first sale of such Product to a Third Party.</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“Fulfillment Scope” shall have the meaning set forth in Section 3.5.3.</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“GAAP” shall mean United States generally accepted accounting principles.</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 “Gross Sales” shall mean, with respect to any Product, the gross sales price of such Product invoiced, including any applicable sales, use, value-added and other sales-related direct taxes, in a calendar quarter during the term of this Agreement by Imprimis, its Affiliates or its or their respective sublicensees to customers who are not Affiliates (or are Affiliates but are the end users of such Product) prior to any deductions.</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 “Initial Product” shall mean a Product containing fifty thousand international units (50,000 iu) of heparin sodium and two hundred milligrams (200 mg) of alkalinized lidocaine HCl in a final dosage form of twenty milliliters (20 ml).</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 “Inventions” shall mean, collectively, the inventions disclosed in UCSD Case Docket Nos. SD2003-049 and SD2004-134 and titled “Novel Intravesical Therapy For Immediate Symptom Relief And Chronic Therapy In Interstitial Cystitis Patients”.</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 “Joint Committee” shall mean the joint committee, comprising representatives of Urigen and Imprimis, described in Section 5.</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 “Licensed IP Rights” shall mean, collectively, the Licensed Patent Rights and the Licensed Know-How Rights.</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 “Licensed Know-How Rights” shall mean all trade secret and other know-how rights in and to all data, information, compositions and other technology (including, but not limited to, formulae, procedures, processes, methods, protocols, techniques and results of experimentation and testing) which are necessary or useful for Imprimis to make, use, develop, sell or market a composition, or to practice any method or process, at any time claimed or disclosed in any issued patent or pending patent application within the Licensed Patent Rights or which otherwise relates to the Inventions or derivatives, enhancements, improvements and other modifications thereof, or methods of manufacture or uses of any of the foregoing that are subject to patents or patent applications that share common priority date with the patents and patent applications listed on Exhibit C.</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 “Licensed Patent Rights” shall mean (a) the patents and patent applications listed on Exhibit C, (b) all patents and patent applications in the Territory that claim or cover the Inventions, the Products, or derivatives, enhancements, improvements and other modifications thereof, or methods of manufacture or uses of any of the foregoing, that share common priority date with the patents and patent applications listed on Exhibit C, in each case, in which Urigen heretofore or hereafter has an ownership or (sub)licensable interest, (c) all divisions, continuations, continuations-in-part, that claim priority to, or common priority with, the patent applications described in clauses (a) and (b) above or the patent applications that resulted in the patents described in clauses (a) and (b) above, (d) all patents that have issued or in the future issue from any of the foregoing described patent applications, including utility model, and (e) all extensions, supplemental protection certificates, registrations, confirmations, reissues, reexaminations, inter partes reviews, post-grant reviews, restorations, additions and renewals of or to any of the foregoing described patents.</w:t>
      </w:r>
    </w:p>
    <w:p>
      <w:pPr>
        <w:pStyle w:val="TextBody"/>
        <w:ind w:left="0" w:right="0" w:firstLine="1440"/>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2</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 “Net Sales” shall mean, with respect to any Product, the Gross Sales for such Product invoiced in a calendar quarter during the term of this Agreement by Imprimis, its Affiliates or its or their respective sublicensees to customers who are not Affiliates (or are Affiliates but are the end users of such Product), less (a) credits, allowances, discounts and rebates to, and chargebacks from the account of, such customers including those granted to government agencies (i.e. payments made under the “Medicare Part D Coverage Gap Discount Program” which shall be trued up and reconciled in the ordinary course of business); (b) sales, use, value-added and other sales-related direct taxes; and (c) an allowance for uncollectible or Bad Debt not to exceed 3% of Gross Sales for such calendar quarter.</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“Person” shall mean any individual, partnership, firm, corporation, association, trust, unincorporated organization or other entity, as well as any syndicate or group of any of the foregoing.</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 “Product” shall mean services, compositions, products, dosages and formulations comprising both (a) alkalinized lidocaine (or such other (i) anesthetics, and/or (ii) other active pharmaceutical ingredients that are not claimed or covered by the Licensed Patent Rights, in each case, that are agreed to by unanimous agreement of all members of the Joint Committee) and (b) heparin, in each case that are licensed to or dispensed by compounding pharmacies or outsourcing facilities under Section 503A and/or Section 503B of the FD&amp;C Act.</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 “Royalty Period” shall mean, on a Product-by-Product basis, the period of time beginning on the date of the First Commercial Sale of such Product and continuing during the term for which a Valid Claim remains in effect and would be infringed but for rights under the Licensed Patent Rights by the make, use, offer for sale, sale or import of such Product.</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 “Territory” shall mean the United States of America, its territories and possessions.</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“Third Party” shall mean any Person other than Imprimis, Urigen or their respective Affiliates.</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 “UCSD” shall mean The Regents of The University of California, a California corporation having its statewide administrative offices at 1111 Franklin Street, Oakland, California 94607-5200, represented by its San Diego campus.</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 “UCSD Pharmacy” shall mean The Regents of the University of California on behalf of the UC San Diego Health System, a compounding pharmacy having its principal office at 200 West Arbor Avenue, San Diego, California 92103.</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 “UCSD License” shall mean the License Agreement, effective as of June 6, 2004, between EGB Advisors, LLC (a predecessor of Urigen) and UCSD, including the License Agreement entered into on January 18, 2006 between Urigen and UCSD terminating and restating the aforementioned agreement and any amendments or restatements thereto as of the Effective Date.</w:t>
      </w:r>
    </w:p>
    <w:p>
      <w:pPr>
        <w:pStyle w:val="TextBody"/>
        <w:ind w:left="0" w:right="0" w:firstLine="1440"/>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3</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 “UCSD Pharmacy Sublicense” shall mean the formulation and use agreement, made and entered into as of August 4, 2014, between Urigen and UCSD Pharmacy, a copy of which has been provided by Urigen to Imprimis prior to the Effective Date and as amended pursuant to Section 3.5.3 below.</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 “Urigen In-Licenses” shall mean all agreements (as modified, amended or restated as of the Effective Date), pursuant to which Urigen or its Affiliates derive any right, title or interest in or to the Licensed IP Rights, including, without limitation, the UCSD License.</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 “Urigen Product” shall mean services, compositions, products and formulations containing alkalinized anesthetic and heparinoid that are claimed or covered by the Licensed Patent Rights or use the Licensed Know-How Rights.</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 “Urigen Product Launch” shall mean First Commercial Sale of a Urigen Product by Urigen, its Affiliates, or a Third Party after the FDA grants Urigen approval to market such Urigen Product in the Territory for use in the Field.</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 “Valid Claim” shall mean either (a) a claim of an issued and unexpired patent included within the Licensed Patent Rights, which has not been held permanently revoked, unenforceable or invalid by a decision of a court or other governmental agency of competent jurisdiction, unappealable or unappealed within the time allowed for appeal, and which has not been admitted to be invalid or unenforceable through reissue or disclaimer or otherwise or (b) a claim of a pending patent application included within the Licensed Patent Rights, which claim was filed in good faith, has not been pending for more than five (5) years and has not been abandoned or finally disallowed without the possibility of appeal or refiling of such application.</w:t>
      </w:r>
    </w:p>
    <w:p>
      <w:pPr>
        <w:pStyle w:val="TextBody"/>
        <w:ind w:left="0" w:right="0" w:firstLine="720"/>
        <w:jc w:val="both"/>
        <w:rPr>
          <w:caps/>
        </w:rPr>
      </w:pPr>
      <w:r>
        <w:rPr>
          <w:caps/>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2. </w:t>
      </w:r>
      <w:r>
        <w:rPr>
          <w:rFonts w:ascii="Times New Roman;Times;Serif" w:hAnsi="Times New Roman;Times;Serif"/>
          <w:b w:val="false"/>
          <w:i w:val="false"/>
          <w:caps w:val="false"/>
          <w:smallCaps w:val="false"/>
          <w:sz w:val="20"/>
          <w:u w:val="single"/>
        </w:rPr>
        <w:t>Representations and Warranties</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Mutual Representations and Warranties</w:t>
      </w:r>
      <w:r>
        <w:rPr>
          <w:rFonts w:ascii="Times New Roman;Times;Serif" w:hAnsi="Times New Roman;Times;Serif"/>
          <w:b w:val="false"/>
          <w:i w:val="false"/>
          <w:caps w:val="false"/>
          <w:smallCaps w:val="false"/>
          <w:sz w:val="20"/>
        </w:rPr>
        <w:t>. Each party hereby represents and warrants to the other party as follows:</w:t>
      </w:r>
    </w:p>
    <w:p>
      <w:pPr>
        <w:pStyle w:val="TextBody"/>
        <w:ind w:left="0" w:right="0" w:firstLine="2160"/>
        <w:jc w:val="both"/>
        <w:rPr>
          <w:caps w:val="false"/>
          <w:smallCaps w:val="false"/>
        </w:rPr>
      </w:pPr>
      <w:r>
        <w:rPr>
          <w:caps w:val="false"/>
          <w:smallCaps w:val="false"/>
        </w:rPr>
        <w:t> </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 Such party is a corporation duly organized, validly existing and in good standing under the laws of the state in which it is incorporated.</w:t>
      </w:r>
    </w:p>
    <w:p>
      <w:pPr>
        <w:pStyle w:val="TextBody"/>
        <w:ind w:left="0" w:right="0" w:firstLine="2160"/>
        <w:jc w:val="both"/>
        <w:rPr>
          <w:caps w:val="false"/>
          <w:smallCaps w:val="false"/>
        </w:rPr>
      </w:pPr>
      <w:r>
        <w:rPr>
          <w:caps w:val="false"/>
          <w:smallCaps w:val="false"/>
        </w:rPr>
        <w:t> </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Such party (a) has the corporate power and authority and the legal right to enter into this Agreement and to perform its obligations hereunder, and (b) has taken all necessary corporate action on its part to authorize the execution and delivery of this Agreement and the performance of its obligations hereunder. This Agreement has been duly executed and delivered on behalf of such party, and constitutes a legal, valid, binding obligation, enforceable against such party in accordance with its terms.</w:t>
      </w:r>
    </w:p>
    <w:p>
      <w:pPr>
        <w:pStyle w:val="TextBody"/>
        <w:ind w:left="0" w:right="0" w:firstLine="2160"/>
        <w:jc w:val="both"/>
        <w:rPr>
          <w:caps w:val="false"/>
          <w:smallCaps w:val="false"/>
        </w:rPr>
      </w:pPr>
      <w:r>
        <w:rPr>
          <w:caps w:val="false"/>
          <w:smallCaps w:val="false"/>
        </w:rPr>
        <w:t> </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 All necessary consents, approvals and authorizations of all governmental authorities and other Persons required to be obtained by such party in connection with this Agreement have been obtained.</w:t>
      </w:r>
    </w:p>
    <w:p>
      <w:pPr>
        <w:pStyle w:val="TextBody"/>
        <w:ind w:left="0" w:right="0" w:firstLine="2160"/>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4</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rPr>
          <w:caps w:val="false"/>
          <w:smallCaps w:val="false"/>
        </w:rPr>
      </w:pPr>
      <w:r>
        <w:rPr>
          <w:caps w:val="false"/>
          <w:smallCaps w:val="false"/>
        </w:rPr>
        <w:t> </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 The execution and delivery of this Agreement and the performance of such party’s obligations hereunder (a) do not conflict with or violate any requirement of applicable laws or regulations, and (b) do not conflict with, or constitute a default under, any contractual obligation of it.</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Urigen Representations and Warranties</w:t>
      </w:r>
      <w:r>
        <w:rPr>
          <w:rFonts w:ascii="Times New Roman;Times;Serif" w:hAnsi="Times New Roman;Times;Serif"/>
          <w:b w:val="false"/>
          <w:i w:val="false"/>
          <w:caps w:val="false"/>
          <w:smallCaps w:val="false"/>
          <w:sz w:val="20"/>
        </w:rPr>
        <w:t>. Urigen hereby represents and warrants to Imprimis as follows:</w:t>
      </w:r>
    </w:p>
    <w:p>
      <w:pPr>
        <w:pStyle w:val="TextBody"/>
        <w:ind w:left="0" w:right="0" w:firstLine="2160"/>
        <w:jc w:val="both"/>
        <w:rPr>
          <w:caps w:val="false"/>
          <w:smallCaps w:val="false"/>
        </w:rPr>
      </w:pPr>
      <w:r>
        <w:rPr>
          <w:caps w:val="false"/>
          <w:smallCaps w:val="false"/>
        </w:rPr>
        <w:t> </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 Urigen (a) is the sole owner or exclusive licensee of the Licensed IP Rights, (b) except for the Existing Sublicenses and the UCSD Pharmacy Sublicense, has not granted to any Third Party any license or other interest in the Licensed IP Rights, (c) is not aware of any Third Party patent, patent application or other intellectual property rights that would be infringed (i) by practicing any process or method or by making, using or selling any composition which is claimed or disclosed in the Licensed Patent Rights or which constitutes Licensed Know-How Rights, or (ii) by making, using or selling Products, and (d) other than several individual physicians’ in-office compounding (on a one-off basis), is not aware of any widespread or commercial scale infringement or misappropriation by a Third Party of the Licensed IP Rights.</w:t>
      </w:r>
    </w:p>
    <w:p>
      <w:pPr>
        <w:pStyle w:val="TextBody"/>
        <w:ind w:left="0" w:right="0" w:firstLine="2160"/>
        <w:jc w:val="both"/>
        <w:rPr>
          <w:caps w:val="false"/>
          <w:smallCaps w:val="false"/>
        </w:rPr>
      </w:pPr>
      <w:r>
        <w:rPr>
          <w:caps w:val="false"/>
          <w:smallCaps w:val="false"/>
        </w:rPr>
        <w:t> </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 Urigen has provided Imprimis with complete and correct copies of all Urigen In-Licenses, and there have been no modifications, amendments or restatements other than as provided to Imprimis prior to the Effective Date. The Urigen In-Licenses are in full force and effect in accordance with their terms. After giving effect to this Agreement, there exist no breaches, defaults or events which would (with the giving of notice, the passage of time or both) give rise to a breach, default or other right to terminate or modify any Urigen In-License.</w:t>
      </w:r>
    </w:p>
    <w:p>
      <w:pPr>
        <w:pStyle w:val="TextBody"/>
        <w:ind w:left="0" w:right="0" w:firstLine="2160"/>
        <w:jc w:val="both"/>
        <w:rPr>
          <w:caps w:val="false"/>
          <w:smallCaps w:val="false"/>
        </w:rPr>
      </w:pPr>
      <w:r>
        <w:rPr>
          <w:caps w:val="false"/>
          <w:smallCaps w:val="false"/>
        </w:rPr>
        <w:t> </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 Urigen has provided Imprimis with complete and correct copies of all Existing Sublicenses and UCSD Pharmacy Sublicense, and there have been no modifications, amendments or restatements other than as provided to Imprimis prior to the Effective Date</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Imprimis Representations and Warranties</w:t>
      </w:r>
      <w:r>
        <w:rPr>
          <w:rFonts w:ascii="Times New Roman;Times;Serif" w:hAnsi="Times New Roman;Times;Serif"/>
          <w:b w:val="false"/>
          <w:i w:val="false"/>
          <w:caps w:val="false"/>
          <w:smallCaps w:val="false"/>
          <w:sz w:val="20"/>
        </w:rPr>
        <w:t>. Imprimis hereby represents and warrants to Urigen as follows:</w:t>
      </w:r>
    </w:p>
    <w:p>
      <w:pPr>
        <w:pStyle w:val="TextBody"/>
        <w:ind w:left="0" w:right="0" w:firstLine="2160"/>
        <w:jc w:val="both"/>
        <w:rPr>
          <w:caps w:val="false"/>
          <w:smallCaps w:val="false"/>
        </w:rPr>
      </w:pPr>
      <w:r>
        <w:rPr>
          <w:caps w:val="false"/>
          <w:smallCaps w:val="false"/>
        </w:rPr>
        <w:t> </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 All Products to be supplied or sold pursuant to this Agreement shall comply with all applicable Federal, State and local regulations, requirements and/or laws.</w:t>
      </w:r>
    </w:p>
    <w:p>
      <w:pPr>
        <w:pStyle w:val="TextBody"/>
        <w:ind w:left="0" w:right="0" w:firstLine="2160"/>
        <w:jc w:val="both"/>
        <w:rPr>
          <w:caps w:val="false"/>
          <w:smallCaps w:val="false"/>
        </w:rPr>
      </w:pPr>
      <w:r>
        <w:rPr>
          <w:caps w:val="false"/>
          <w:smallCaps w:val="false"/>
        </w:rPr>
        <w:t> </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 Imprimis has full power and authority to execute this Agreement and to perform its obligations hereunder.</w:t>
      </w:r>
    </w:p>
    <w:p>
      <w:pPr>
        <w:pStyle w:val="TextBody"/>
        <w:ind w:left="0" w:right="0" w:firstLine="720"/>
        <w:jc w:val="both"/>
        <w:rPr>
          <w:caps/>
        </w:rPr>
      </w:pPr>
      <w:r>
        <w:rPr>
          <w:caps/>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3. </w:t>
      </w:r>
      <w:r>
        <w:rPr>
          <w:rFonts w:ascii="Times New Roman;Times;Serif" w:hAnsi="Times New Roman;Times;Serif"/>
          <w:b w:val="false"/>
          <w:i w:val="false"/>
          <w:caps w:val="false"/>
          <w:smallCaps w:val="false"/>
          <w:sz w:val="20"/>
          <w:u w:val="single"/>
        </w:rPr>
        <w:t>License Grant</w:t>
      </w:r>
      <w:r>
        <w:rPr>
          <w:rFonts w:ascii="Times New Roman;Times;Serif" w:hAnsi="Times New Roman;Times;Serif"/>
          <w:b w:val="false"/>
          <w:i w:val="false"/>
          <w:caps w:val="false"/>
          <w:smallCaps w:val="false"/>
          <w:sz w:val="20"/>
        </w:rPr>
        <w:t>.</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Licensed IP Rights</w:t>
      </w:r>
      <w:r>
        <w:rPr>
          <w:rFonts w:ascii="Times New Roman;Times;Serif" w:hAnsi="Times New Roman;Times;Serif"/>
          <w:b w:val="false"/>
          <w:i w:val="false"/>
          <w:caps w:val="false"/>
          <w:smallCaps w:val="false"/>
          <w:sz w:val="20"/>
        </w:rPr>
        <w:t>.</w:t>
      </w:r>
    </w:p>
    <w:p>
      <w:pPr>
        <w:pStyle w:val="TextBody"/>
        <w:ind w:left="0" w:right="0" w:firstLine="2160"/>
        <w:jc w:val="both"/>
        <w:rPr>
          <w:caps w:val="false"/>
          <w:smallCaps w:val="false"/>
        </w:rPr>
      </w:pPr>
      <w:r>
        <w:rPr>
          <w:caps w:val="false"/>
          <w:smallCaps w:val="false"/>
        </w:rPr>
        <w:t> </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 Urigen hereby grants to Imprimis and its Affiliates a nonexclusive license under the Licensed IP Rights to conduct research and to develop, make, have made, use, offer for sale, sell and import Products in the Territory for use in the Field. Imprimis or its affiliates or sublicensee’s shall not sponsor or conduct any clinical work without the prior written approval of Urigen.</w:t>
      </w:r>
    </w:p>
    <w:p>
      <w:pPr>
        <w:pStyle w:val="TextBody"/>
        <w:ind w:left="0" w:right="0" w:firstLine="2160"/>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5</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rPr>
          <w:caps w:val="false"/>
          <w:smallCaps w:val="false"/>
        </w:rPr>
      </w:pPr>
      <w:r>
        <w:rPr>
          <w:caps w:val="false"/>
          <w:smallCaps w:val="false"/>
        </w:rPr>
        <w:t> </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 If any patent owned by Imprimis, either directly or through one of its Affiliates, issues from a patent application that has a priority date after the Effective Date, claims a Urigen Product and is supported by the results of the work performed by Imprimis or its Affiliates under this Agreement, then Imprimis hereby grants to Urigen, or will cause to be granted by its Affiliates a worldwide, non-exclusive, irrevocable, royalty-free, freely transferable license under the claims of such issued patent, solely to the extent they claim a Urigen Product, to develop, make, have made, use, offer for sale, sell and import Urigen Products for use in the Field.</w:t>
      </w:r>
    </w:p>
    <w:p>
      <w:pPr>
        <w:pStyle w:val="TextBody"/>
        <w:ind w:left="0" w:right="0" w:firstLine="2160"/>
        <w:jc w:val="both"/>
        <w:rPr>
          <w:caps w:val="false"/>
          <w:smallCaps w:val="false"/>
        </w:rPr>
      </w:pPr>
      <w:r>
        <w:rPr>
          <w:caps w:val="false"/>
          <w:smallCaps w:val="false"/>
        </w:rPr>
        <w:t> </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3.1.3 Within the Territory, Imprimis shall have the right to grant sublicenses under this Agreement consistent with the terms of this Agreement, subject to Urigen’s prior written consent which shall not be unreasonably withheld, delayed or conditioned. Imprimis shall provide Urigen with a copy of each executed sublicense agreement and any modifications thereof, along with written certification that the sublicense is in compliance with the License Agreement. Any authorized sublicenses shall not diminish Imprimis’ obligations under the License Agreement, and Imprimis shall remain primarily liable for such obligations and for any breach of any provision of this Agreement by its Affiliates or sublicensees. Promptly after the Urigen Product Launch, Imprimis shall terminate all authorized sublicenses granted under this Agreement. </w:t>
      </w:r>
    </w:p>
    <w:p>
      <w:pPr>
        <w:pStyle w:val="TextBody"/>
        <w:ind w:left="0" w:right="0" w:firstLine="2160"/>
        <w:jc w:val="both"/>
        <w:rPr>
          <w:caps w:val="false"/>
          <w:smallCaps w:val="false"/>
        </w:rPr>
      </w:pPr>
      <w:r>
        <w:rPr>
          <w:caps w:val="false"/>
          <w:smallCaps w:val="false"/>
        </w:rPr>
        <w:t> </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 For a period commencing on the six (6) month anniversary of the Effective Date, and terminating on the twelve (12) month anniversary of the Effective Date, Imprimis shall have the right to convert the nonexclusive license granted under Section 3.1.1 to an exclusive license (with the right to grant sublicenses through multiple tiers) by providing Urigen with written notice to that effect, provided that such right shall remain nonexclusive solely with respect to the rights granted to UCSD Pharmacy under the UCSD Pharmacy Sublicense. Subject to Section 3.5, such conversion shall become effective as of the date of such written notice.</w:t>
      </w:r>
    </w:p>
    <w:p>
      <w:pPr>
        <w:pStyle w:val="TextBody"/>
        <w:ind w:left="0" w:right="0" w:firstLine="2160"/>
        <w:jc w:val="both"/>
        <w:rPr>
          <w:caps w:val="false"/>
          <w:smallCaps w:val="false"/>
        </w:rPr>
      </w:pPr>
      <w:r>
        <w:rPr>
          <w:caps w:val="false"/>
          <w:smallCaps w:val="false"/>
        </w:rPr>
        <w:t> </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 During the term of this Agreement, Urigen shall not grant to a Third Party any licenses within the Territory, that would become effective during the term of this Agreement, related to products that may reasonably be considered competitive to the Products in the Territory for use in the Field, except as provided in Section 8.2.1(b).</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Urigen In-Licenses</w:t>
      </w:r>
      <w:r>
        <w:rPr>
          <w:rFonts w:ascii="Times New Roman;Times;Serif" w:hAnsi="Times New Roman;Times;Serif"/>
          <w:b w:val="false"/>
          <w:i w:val="false"/>
          <w:caps w:val="false"/>
          <w:smallCaps w:val="false"/>
          <w:sz w:val="20"/>
        </w:rPr>
        <w:t>. Within the Territory, except for the Existing Sublicenses, Urigen has not transferred or granted, and Urigen shall not transfer or grant, to any Third Party any license or other interest in the Urigen In-Licenses. Urigen shall timely pay in full all amounts required to be paid by Urigen, and timely perform in full all obligations required to be performed by Urigen, under all Urigen In-Licenses. Urigen promptly shall provide Imprimis with copies of all notices and other deliveries received under the Urigen In-Licenses. Without the prior express written consent of Imprimis (which consent shall not be unreasonably withheld, delayed or conditioned), Urigen shall not (and shall take no action or make no omission to) modify or waive any provision of any Urigen In-License that could impair the value of the licenses to Imprimis herein, or to terminate or have terminated any Urigen In-License. If any Urigen In-License is terminated for any reason, Urigen shall use all commercially reasonable efforts to reinstate such Urigen In-License. If Urigen is unable to reinstate such license, Urigen shall assist Imprimis using all commercially reasonable efforts to cause the applicable licensor to grant a direct license under the Licensed IP Rights to Imprimis containing payment terms and conditions no less favorable to Imprimis than the payment terms and conditions of such Urigen In-License.</w:t>
      </w:r>
    </w:p>
    <w:p>
      <w:pPr>
        <w:pStyle w:val="TextBody"/>
        <w:ind w:left="0" w:right="0" w:firstLine="1440"/>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6</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Availability of the Licensed IP Rights</w:t>
      </w:r>
      <w:r>
        <w:rPr>
          <w:rFonts w:ascii="Times New Roman;Times;Serif" w:hAnsi="Times New Roman;Times;Serif"/>
          <w:b w:val="false"/>
          <w:i w:val="false"/>
          <w:caps w:val="false"/>
          <w:smallCaps w:val="false"/>
          <w:sz w:val="20"/>
        </w:rPr>
        <w:t>. Urigen shall provide Imprimis with a copy of all information available to Urigen relating to the Licensed IP Rights and/or Inventions.</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Technical Assistance</w:t>
      </w:r>
      <w:r>
        <w:rPr>
          <w:rFonts w:ascii="Times New Roman;Times;Serif" w:hAnsi="Times New Roman;Times;Serif"/>
          <w:b w:val="false"/>
          <w:i w:val="false"/>
          <w:caps w:val="false"/>
          <w:smallCaps w:val="false"/>
          <w:sz w:val="20"/>
        </w:rPr>
        <w:t>. For a period of one (1) year following the date of this Agreement, Urigen shall provide such technical assistance to Imprimis as Imprimis reasonably requests regarding the Licensed IP Rights and/or Inventions. Imprimis shall pay to Urigen its documented reasonable out-of-pocket costs of providing such technical assistance.</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Existing Sublicenses; UCSD Pharmacy Sublicense</w:t>
      </w:r>
      <w:r>
        <w:rPr>
          <w:rFonts w:ascii="Times New Roman;Times;Serif" w:hAnsi="Times New Roman;Times;Serif"/>
          <w:b w:val="false"/>
          <w:i w:val="false"/>
          <w:caps w:val="false"/>
          <w:smallCaps w:val="false"/>
          <w:sz w:val="20"/>
        </w:rPr>
        <w:t>.</w:t>
      </w:r>
    </w:p>
    <w:p>
      <w:pPr>
        <w:pStyle w:val="TextBody"/>
        <w:ind w:left="0" w:right="0" w:firstLine="2160"/>
        <w:jc w:val="both"/>
        <w:rPr>
          <w:caps w:val="false"/>
          <w:smallCaps w:val="false"/>
        </w:rPr>
      </w:pPr>
      <w:r>
        <w:rPr>
          <w:caps w:val="false"/>
          <w:smallCaps w:val="false"/>
        </w:rPr>
        <w:t> </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 Imprimis acknowledges the existence of the (a) Existing Sublicenses, and (b) the UCSD Pharmacy Sublicense.</w:t>
      </w:r>
    </w:p>
    <w:p>
      <w:pPr>
        <w:pStyle w:val="TextBody"/>
        <w:ind w:left="0" w:right="0" w:firstLine="2160"/>
        <w:jc w:val="both"/>
        <w:rPr>
          <w:caps w:val="false"/>
          <w:smallCaps w:val="false"/>
        </w:rPr>
      </w:pPr>
      <w:r>
        <w:rPr>
          <w:caps w:val="false"/>
          <w:smallCaps w:val="false"/>
        </w:rPr>
        <w:t> </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 Within the Territory, Urigen shall not (i) grant any rights under the Licensed IP Rights to any Third Parties or amend the Existing Sublicenses or UCSD Pharmacy Sublicense (except as otherwise expressly set forth in this Agreement), or (ii) consent to a sublicense under the UCSD Pharmacy Sublicense, in each case, without the prior written consent of Imprimis. Urigen shall assign the Existing Sublicenses to Imprimis immediately after the Conversion Date, provided, however, that (A) Urigen hereby agrees to be solely and fully responsible for all liabilities, duties and obligations of Urigen relating to acts, omissions or facts arising prior to such assignment, in, to and under the Existing Sublicenses, and (B) Urigen promptly shall execute and deliver all such instruments of transfer and assignment (in such form and substance as reasonably requested by Imprimis) and shall take all such other actions as reasonably requested by Imprimis to effectuate such assignment.</w:t>
      </w:r>
    </w:p>
    <w:p>
      <w:pPr>
        <w:pStyle w:val="TextBody"/>
        <w:ind w:left="0" w:right="0" w:firstLine="2160"/>
        <w:jc w:val="both"/>
        <w:rPr>
          <w:caps w:val="false"/>
          <w:smallCaps w:val="false"/>
        </w:rPr>
      </w:pPr>
      <w:r>
        <w:rPr>
          <w:caps w:val="false"/>
          <w:smallCaps w:val="false"/>
        </w:rPr>
        <w:t> </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 Urigen shall use commercially reasonable efforts to amend the UCSD Pharmacy Sublicense to limit the scope of rights granted to UCSD Pharmacy thereunder to the fulfillment of prescriptions from UCSD physicians serving patients at a facility owned or operated by UCSD (“Fulfillment Scope”), and to effectuate such amendment prior to the six (6) month anniversary of the Effective Date. Urigen shall (a) use commercially reasonable efforts to ensure that during the term of the UCSD Pharmacy Sublicense UCSD Pharmacy provides Urigen with an annual certificate of compliance with Sections 503A and 503B of the FD&amp;C Act, and (b) provide Imprimis with copies of all such certificates within ten (10) days after receipt thereof.</w:t>
      </w:r>
    </w:p>
    <w:p>
      <w:pPr>
        <w:pStyle w:val="TextBody"/>
        <w:ind w:left="0" w:right="0" w:firstLine="720"/>
        <w:jc w:val="both"/>
        <w:rPr>
          <w:caps/>
        </w:rPr>
      </w:pPr>
      <w:r>
        <w:rPr>
          <w:caps/>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4. </w:t>
      </w:r>
      <w:r>
        <w:rPr>
          <w:rFonts w:ascii="Times New Roman;Times;Serif" w:hAnsi="Times New Roman;Times;Serif"/>
          <w:b w:val="false"/>
          <w:i w:val="false"/>
          <w:caps w:val="false"/>
          <w:smallCaps w:val="false"/>
          <w:sz w:val="20"/>
          <w:u w:val="single"/>
        </w:rPr>
        <w:t>Royalties and Milestones</w:t>
      </w:r>
      <w:r>
        <w:rPr>
          <w:rFonts w:ascii="Times New Roman;Times;Serif" w:hAnsi="Times New Roman;Times;Serif"/>
          <w:b w:val="false"/>
          <w:i w:val="false"/>
          <w:caps w:val="false"/>
          <w:smallCaps w:val="false"/>
          <w:sz w:val="20"/>
        </w:rPr>
        <w:t>.</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Royalties</w:t>
      </w:r>
      <w:r>
        <w:rPr>
          <w:rFonts w:ascii="Times New Roman;Times;Serif" w:hAnsi="Times New Roman;Times;Serif"/>
          <w:b w:val="false"/>
          <w:i w:val="false"/>
          <w:caps w:val="false"/>
          <w:smallCaps w:val="false"/>
          <w:sz w:val="20"/>
        </w:rPr>
        <w:t>.</w:t>
      </w:r>
    </w:p>
    <w:p>
      <w:pPr>
        <w:pStyle w:val="TextBody"/>
        <w:ind w:left="0" w:right="0" w:firstLine="2160"/>
        <w:jc w:val="both"/>
        <w:rPr>
          <w:caps w:val="false"/>
          <w:smallCaps w:val="false"/>
        </w:rPr>
      </w:pPr>
      <w:r>
        <w:rPr>
          <w:caps w:val="false"/>
          <w:smallCaps w:val="false"/>
        </w:rPr>
        <w:t> </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4.1.1 </w:t>
      </w:r>
      <w:r>
        <w:rPr>
          <w:rFonts w:ascii="Times New Roman;Times;Serif" w:hAnsi="Times New Roman;Times;Serif"/>
          <w:b w:val="false"/>
          <w:i w:val="false"/>
          <w:caps w:val="false"/>
          <w:smallCaps w:val="false"/>
          <w:sz w:val="20"/>
          <w:u w:val="single"/>
        </w:rPr>
        <w:t>Royalties</w:t>
      </w:r>
      <w:r>
        <w:rPr>
          <w:rFonts w:ascii="Times New Roman;Times;Serif" w:hAnsi="Times New Roman;Times;Serif"/>
          <w:b w:val="false"/>
          <w:i w:val="false"/>
          <w:caps w:val="false"/>
          <w:smallCaps w:val="false"/>
          <w:sz w:val="20"/>
        </w:rPr>
        <w:t>. Subject to the terms and conditions of this Agreement, Imprimis shall pay to Urigen royalties for sale of Products during the applicable Royalty Period equal to (a) the greater of (i) fifty cents ($0.50) per milliliter of such Products, and (ii) twenty percent (20%) of Net Sales of such Products for said Royalty Period, in each case sold by Imprimis, its Affiliates and its and their respective sublicensees, until the aggregate Gross Sales price of all Products invoiced by Imprimis, its Affiliates or its or their respective sublicensees to customers who are not Affiliates (or are Affiliates but are the end users of Products) equals to fifteen million dollars ($15,000,000), or (b) after Imprimis achieves the fifteen million dollars ($15,000,000) aggregate Gross Sales price of all Products invoiced by Imprimis as above then Imprimis shall pay for said Royalty Period the greater of (i) fifty cents ($0.50) per milliliter of such Products, and (ii) fifteen percent (15%) of Net Sales of such Product sold by Imprimis, its Affiliates and its and their respective sublicensees thereafter. Only one royalty shall be owing for a Product regardless of how many Valid Claims cover such Product. Imprimis, its Affiliates or its or their respective sublicensees shall have the right to provide Third Parties with Products as samples free of charge (and therefore, not subject to royalties under this Agreement), provided, however, that the milliliters of such Products provided as samples shall not exceed ten percent (10%) of the milliliters of Products sold and invoiced by Imprimis, its Affiliates or its or their respective sublicensees under this Agreement in the applicable Royalty Period.</w:t>
      </w:r>
    </w:p>
    <w:p>
      <w:pPr>
        <w:pStyle w:val="TextBody"/>
        <w:ind w:left="0" w:right="0" w:firstLine="2160"/>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7</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rPr>
          <w:caps w:val="false"/>
          <w:smallCaps w:val="false"/>
        </w:rPr>
      </w:pPr>
      <w:r>
        <w:rPr>
          <w:caps w:val="false"/>
          <w:smallCaps w:val="false"/>
        </w:rPr>
        <w:t> </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4.1.2 </w:t>
      </w:r>
      <w:r>
        <w:rPr>
          <w:rFonts w:ascii="Times New Roman;Times;Serif" w:hAnsi="Times New Roman;Times;Serif"/>
          <w:b w:val="false"/>
          <w:i w:val="false"/>
          <w:caps w:val="false"/>
          <w:smallCaps w:val="false"/>
          <w:sz w:val="20"/>
          <w:u w:val="single"/>
        </w:rPr>
        <w:t>Third Party Royalties</w:t>
      </w:r>
      <w:r>
        <w:rPr>
          <w:rFonts w:ascii="Times New Roman;Times;Serif" w:hAnsi="Times New Roman;Times;Serif"/>
          <w:b w:val="false"/>
          <w:i w:val="false"/>
          <w:caps w:val="false"/>
          <w:smallCaps w:val="false"/>
          <w:sz w:val="20"/>
        </w:rPr>
        <w:t>. If Imprimis, its Affiliates or its or their respective sublicensees are required to pay royalties to any Third Party in order to make, have made, use, sell, offer to sale or import Products, then Imprimis shall have the right to credit fifty percent (50%) of such Third Party royalty payments against the royalties owing to Urigen under Section 4.1.1 with respect to sales of such Products; provided, however, that Imprimis shall not reduce the amount of the royalties paid to Urigen under Section 4.1.1 by reason of this Section 4.1.2, with respect to sales of such Products to less than fifty cents ($0.50) per milliliter of such Products.</w:t>
      </w:r>
    </w:p>
    <w:p>
      <w:pPr>
        <w:pStyle w:val="TextBody"/>
        <w:ind w:left="0" w:right="0" w:firstLine="2160"/>
        <w:jc w:val="both"/>
        <w:rPr>
          <w:caps w:val="false"/>
          <w:smallCaps w:val="false"/>
        </w:rPr>
      </w:pPr>
      <w:r>
        <w:rPr>
          <w:caps w:val="false"/>
          <w:smallCaps w:val="false"/>
        </w:rPr>
        <w:t> </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4.1.3 </w:t>
      </w:r>
      <w:r>
        <w:rPr>
          <w:rFonts w:ascii="Times New Roman;Times;Serif" w:hAnsi="Times New Roman;Times;Serif"/>
          <w:b w:val="false"/>
          <w:i w:val="false"/>
          <w:caps w:val="false"/>
          <w:smallCaps w:val="false"/>
          <w:sz w:val="20"/>
          <w:u w:val="single"/>
        </w:rPr>
        <w:t>Combination Products</w:t>
      </w:r>
      <w:r>
        <w:rPr>
          <w:rFonts w:ascii="Times New Roman;Times;Serif" w:hAnsi="Times New Roman;Times;Serif"/>
          <w:b w:val="false"/>
          <w:i w:val="false"/>
          <w:caps w:val="false"/>
          <w:smallCaps w:val="false"/>
          <w:sz w:val="20"/>
        </w:rPr>
        <w:t>. In the event that Imprimis, its Affiliates or its or their respective sublicensees sell a Product in the form of a combination product containing any such Product and other ingredients, such as buffers, diluents, adjuvants (collectively, “Inactive Ingredients”) and/or containers and delivery devices such as vials, syringes, vented needles and Lofric® catheters (collectively, “Containers and Devices”) (a “Combination Product”), Net Sales of such Combination Product shall be adjusted by subtracting from the invoiced sales price of such Combination Product the average sales price for the Inactive Ingredients and Containers and Devices determined in good faith by Imprimis. Imprimis shall not reduce the amount of the royalties paid to Urigen under Section 4.1.1 by reason of this Section 4.1.3, with respect to sales of such Products to less than fifty cents ($0.50) per milliliter of such Products. In the event that Imprimis, its Affiliates or its or their respective sublicensees sell a Product in the form of a combination product containing any such Product and one or more active pharmaceutical ingredients that are not claimed or covered by the Licensed Patent Rights (whether combined in a single formulation or package, as applicable, or formulated or packaged separately but sold together for a single price) as agreed to by unanimous agreement of all members of the Joint Committee, Net Sales of such Combination Product shall be adjusted to account for such active pharmaceutical ingredients as mutually agreed in writing by the parties.</w:t>
      </w:r>
    </w:p>
    <w:p>
      <w:pPr>
        <w:pStyle w:val="TextBody"/>
        <w:ind w:left="0" w:right="0" w:firstLine="2160"/>
        <w:jc w:val="both"/>
        <w:rPr>
          <w:caps w:val="false"/>
          <w:smallCaps w:val="false"/>
        </w:rPr>
      </w:pPr>
      <w:r>
        <w:rPr>
          <w:caps w:val="false"/>
          <w:smallCaps w:val="false"/>
        </w:rPr>
        <w:t> </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4.1.4 </w:t>
      </w:r>
      <w:r>
        <w:rPr>
          <w:rFonts w:ascii="Times New Roman;Times;Serif" w:hAnsi="Times New Roman;Times;Serif"/>
          <w:b w:val="false"/>
          <w:i w:val="false"/>
          <w:caps w:val="false"/>
          <w:smallCaps w:val="false"/>
          <w:sz w:val="20"/>
          <w:u w:val="single"/>
        </w:rPr>
        <w:t>UCSD Pharmacy Credit</w:t>
      </w:r>
      <w:r>
        <w:rPr>
          <w:rFonts w:ascii="Times New Roman;Times;Serif" w:hAnsi="Times New Roman;Times;Serif"/>
          <w:b w:val="false"/>
          <w:i w:val="false"/>
          <w:caps w:val="false"/>
          <w:smallCaps w:val="false"/>
          <w:sz w:val="20"/>
        </w:rPr>
        <w:t>. Imprimis shall have the right to credit the aggregate gross sales price of products invoiced in connection with the UCSD Pharmacy Sublicense sold after the Conversion Date for use outside of the Fulfillment Scope against royalties owing by Imprimis to Urigen under Section 4.1.1 and minimum annual royalties owing by Imprimis to Urigen under Section 4.2. Urigen shall timely provide such information (including, without limitation, royalty report information) and take such further actions as reasonably necessary to effectuate the foregoing.</w:t>
      </w:r>
    </w:p>
    <w:p>
      <w:pPr>
        <w:pStyle w:val="TextBody"/>
        <w:ind w:left="0" w:right="0" w:firstLine="2160"/>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8</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rPr>
          <w:caps w:val="false"/>
          <w:smallCaps w:val="false"/>
        </w:rPr>
      </w:pPr>
      <w:r>
        <w:rPr>
          <w:caps w:val="false"/>
          <w:smallCaps w:val="false"/>
        </w:rPr>
        <w:t> </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4.1.5 </w:t>
      </w:r>
      <w:r>
        <w:rPr>
          <w:rFonts w:ascii="Times New Roman;Times;Serif" w:hAnsi="Times New Roman;Times;Serif"/>
          <w:b w:val="false"/>
          <w:i w:val="false"/>
          <w:caps w:val="false"/>
          <w:smallCaps w:val="false"/>
          <w:sz w:val="20"/>
          <w:u w:val="single"/>
        </w:rPr>
        <w:t>True-Up for Collected Bad Debt</w:t>
      </w:r>
      <w:r>
        <w:rPr>
          <w:rFonts w:ascii="Times New Roman;Times;Serif" w:hAnsi="Times New Roman;Times;Serif"/>
          <w:b w:val="false"/>
          <w:i w:val="false"/>
          <w:caps w:val="false"/>
          <w:smallCaps w:val="false"/>
          <w:sz w:val="20"/>
        </w:rPr>
        <w:t>. If during a calendar year during the term of this Agreement Imprimis, its Affiliates and its and their respective sublicenees collect any amount for Bad Debts deducted in calculating royalties for sale of Products during such calendar year in accordance with Section 4.1.1 and such amount, if collected during the applicable calendar quarter of such calendar year in which the applicable sales of Products occurred would have reduced the deduction for Bad Debts for such calendar quarter below three percent (3%), within forty (40) days after the end of such calendar year, Imprimis shall (a) provide to Urigen a “true-up” calculation to reconcile the Net Sales for such calendar quarter after giving effect to such collection, and (b) if applicable, pay to Urigen any unpaid royalties owing on the basis of such reconciled Net Sales in accordance with Section 4.1.1.</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Minimum Annual Royalty</w:t>
      </w:r>
      <w:r>
        <w:rPr>
          <w:rFonts w:ascii="Times New Roman;Times;Serif" w:hAnsi="Times New Roman;Times;Serif"/>
          <w:b w:val="false"/>
          <w:i w:val="false"/>
          <w:caps w:val="false"/>
          <w:smallCaps w:val="false"/>
          <w:sz w:val="20"/>
        </w:rPr>
        <w:t>. Within forty (40) days after the end of each calendar year commencing with the calendar year during which the Conversion Date occurs and each anniversary thereafter, during the applicable Royalty Period, Imprimis shall pay to Urigen the following amounts:</w:t>
      </w:r>
    </w:p>
    <w:p>
      <w:pPr>
        <w:pStyle w:val="TextBody"/>
        <w:ind w:left="0" w:right="0" w:firstLine="2160"/>
        <w:jc w:val="both"/>
        <w:rPr>
          <w:caps w:val="false"/>
          <w:smallCaps w:val="false"/>
        </w:rPr>
      </w:pPr>
      <w:r>
        <w:rPr>
          <w:caps w:val="false"/>
          <w:smallCaps w:val="false"/>
        </w:rPr>
        <w:t> </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 For the calendar year during which the Conversion Date occurs, an amount equal to the greater of: (a) one hundred and ten percent (110%) of the sum of royalties paid by each Existing Sublicensee during the most current twelve (12) months properly reported by Urigen to Imprimis under Section 4.3 prior to the Conversion Date multiplied by C/12 where C is the number of full calendar months from the Conversion Date through the end of such calendar year, less royalties already paid by Imprimis to Urigen pursuant to Section 4.1 for such calendar year; and (b) eight hundred thousand dollars ($800,000) less (i) royalties already paid by Imprimis to Urigen pursuant to Section 4.1 for such calendar year and (ii) and the sum of royalties paid by each Existing Sublicensee during such calendar year.</w:t>
      </w:r>
    </w:p>
    <w:p>
      <w:pPr>
        <w:pStyle w:val="TextBody"/>
        <w:ind w:left="0" w:right="0" w:firstLine="2160"/>
        <w:jc w:val="both"/>
        <w:rPr>
          <w:caps w:val="false"/>
          <w:smallCaps w:val="false"/>
        </w:rPr>
      </w:pPr>
      <w:r>
        <w:rPr>
          <w:caps w:val="false"/>
          <w:smallCaps w:val="false"/>
        </w:rPr>
        <w:t> </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 For each calendar year thereafter one hundred and ten percent (110%) of the amount owing during the prior calendar year less royalties paid by Imprimis to Urigen pursuant to Section 4.1 for such calendar year.</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Minimum Royalty Reports</w:t>
      </w:r>
      <w:r>
        <w:rPr>
          <w:rFonts w:ascii="Times New Roman;Times;Serif" w:hAnsi="Times New Roman;Times;Serif"/>
          <w:b w:val="false"/>
          <w:i w:val="false"/>
          <w:caps w:val="false"/>
          <w:smallCaps w:val="false"/>
          <w:sz w:val="20"/>
        </w:rPr>
        <w:t>. Within ten (10) business days after the end of each calendar month until the Conversion Date, Urigen shall use commercially reasonable efforts to deliver to Imprimis a report setting forth the number of prescriptions fulfilled and the amount of royalties paid by each Existing Sublicensee during such month and the eleven (11) preceding months. Upon written request by Imprimis, Urigen shall provide Imprimis with such data, information and other materials as reasonably necessary to verify such amounts.</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Royalty Reports</w:t>
      </w:r>
      <w:r>
        <w:rPr>
          <w:rFonts w:ascii="Times New Roman;Times;Serif" w:hAnsi="Times New Roman;Times;Serif"/>
          <w:b w:val="false"/>
          <w:i w:val="false"/>
          <w:caps w:val="false"/>
          <w:smallCaps w:val="false"/>
          <w:sz w:val="20"/>
        </w:rPr>
        <w:t>. Within forty (40) days after the end of each calendar quarter during the applicable Royalty Period, Imprimis shall deliver to Urigen a report setting forth for such calendar quarter (a) the calculation of the applicable royalties due under this Agreement for the sale of each Product; and (b) the volume of all Product(s) provided to Third Parties. Imprimis shall remit the total payments due for the sale of Products during such calendar quarter at the time such report is made. No such reports or payments will be due for any Product before the First Commercial Sale of such Product.</w:t>
      </w:r>
    </w:p>
    <w:p>
      <w:pPr>
        <w:pStyle w:val="TextBody"/>
        <w:ind w:left="0" w:right="0" w:firstLine="1440"/>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9</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Payment Provisions</w:t>
      </w:r>
      <w:r>
        <w:rPr>
          <w:rFonts w:ascii="Times New Roman;Times;Serif" w:hAnsi="Times New Roman;Times;Serif"/>
          <w:b w:val="false"/>
          <w:i w:val="false"/>
          <w:caps w:val="false"/>
          <w:smallCaps w:val="false"/>
          <w:sz w:val="20"/>
        </w:rPr>
        <w:t>.</w:t>
      </w:r>
    </w:p>
    <w:p>
      <w:pPr>
        <w:pStyle w:val="TextBody"/>
        <w:ind w:left="0" w:right="0" w:firstLine="2160"/>
        <w:jc w:val="both"/>
        <w:rPr>
          <w:caps w:val="false"/>
          <w:smallCaps w:val="false"/>
        </w:rPr>
      </w:pPr>
      <w:r>
        <w:rPr>
          <w:caps w:val="false"/>
          <w:smallCaps w:val="false"/>
        </w:rPr>
        <w:t> </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4.5.1 </w:t>
      </w:r>
      <w:r>
        <w:rPr>
          <w:rFonts w:ascii="Times New Roman;Times;Serif" w:hAnsi="Times New Roman;Times;Serif"/>
          <w:b w:val="false"/>
          <w:i w:val="false"/>
          <w:caps w:val="false"/>
          <w:smallCaps w:val="false"/>
          <w:sz w:val="20"/>
          <w:u w:val="single"/>
        </w:rPr>
        <w:t>Payment Terms</w:t>
      </w:r>
      <w:r>
        <w:rPr>
          <w:rFonts w:ascii="Times New Roman;Times;Serif" w:hAnsi="Times New Roman;Times;Serif"/>
          <w:b w:val="false"/>
          <w:i w:val="false"/>
          <w:caps w:val="false"/>
          <w:smallCaps w:val="false"/>
          <w:sz w:val="20"/>
        </w:rPr>
        <w:t>. The royalties shown to have accrued by each report provided for under this Section 4 shall be due on the date such report is due. Payment of royalties in whole or in part may be made in advance of such due date.</w:t>
      </w:r>
    </w:p>
    <w:p>
      <w:pPr>
        <w:pStyle w:val="TextBody"/>
        <w:ind w:left="0" w:right="0" w:firstLine="2160"/>
        <w:jc w:val="both"/>
        <w:rPr>
          <w:caps w:val="false"/>
          <w:smallCaps w:val="false"/>
        </w:rPr>
      </w:pPr>
      <w:r>
        <w:rPr>
          <w:caps w:val="false"/>
          <w:smallCaps w:val="false"/>
        </w:rPr>
        <w:t> </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4.5.2 </w:t>
      </w:r>
      <w:r>
        <w:rPr>
          <w:rFonts w:ascii="Times New Roman;Times;Serif" w:hAnsi="Times New Roman;Times;Serif"/>
          <w:b w:val="false"/>
          <w:i w:val="false"/>
          <w:caps w:val="false"/>
          <w:smallCaps w:val="false"/>
          <w:sz w:val="20"/>
          <w:u w:val="single"/>
        </w:rPr>
        <w:t>Withholding Taxes</w:t>
      </w:r>
      <w:r>
        <w:rPr>
          <w:rFonts w:ascii="Times New Roman;Times;Serif" w:hAnsi="Times New Roman;Times;Serif"/>
          <w:b w:val="false"/>
          <w:i w:val="false"/>
          <w:caps w:val="false"/>
          <w:smallCaps w:val="false"/>
          <w:sz w:val="20"/>
        </w:rPr>
        <w:t>. Imprimis shall be entitled to deduct the amount of any withholding taxes, value-added taxes or other taxes, levies or charges with respect to such amounts, other than United States taxes, payable by Imprimis, its Affiliates or its or their respective sublicensees, or any taxes required to be withheld by Imprimis, its Affiliates or its or their respective sublicensees, to the extent Imprimis, its Affiliates or its or their respective sublicensees pay to the appropriate governmental authority on behalf of Urigen such taxes, levies or charges. Imprimis shall use reasonable efforts to minimize any such taxes, levies or charges required to be withheld on behalf of Urigen by Imprimis, its Affiliates or its or their respective sublicensees. Imprimis promptly shall deliver to Urigen proof of payment of all such taxes, levies and other charges, together with copies of all communications from or with such governmental authority with respect thereto.</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Audits</w:t>
      </w:r>
      <w:r>
        <w:rPr>
          <w:rFonts w:ascii="Times New Roman;Times;Serif" w:hAnsi="Times New Roman;Times;Serif"/>
          <w:b w:val="false"/>
          <w:i w:val="false"/>
          <w:caps w:val="false"/>
          <w:smallCaps w:val="false"/>
          <w:sz w:val="20"/>
        </w:rPr>
        <w:t>.</w:t>
      </w:r>
    </w:p>
    <w:p>
      <w:pPr>
        <w:pStyle w:val="TextBody"/>
        <w:ind w:left="0" w:right="0" w:firstLine="2160"/>
        <w:jc w:val="both"/>
        <w:rPr>
          <w:caps w:val="false"/>
          <w:smallCaps w:val="false"/>
        </w:rPr>
      </w:pPr>
      <w:r>
        <w:rPr>
          <w:caps w:val="false"/>
          <w:smallCaps w:val="false"/>
        </w:rPr>
        <w:t> </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4.6.1 </w:t>
      </w:r>
      <w:r>
        <w:rPr>
          <w:rFonts w:ascii="Times New Roman;Times;Serif" w:hAnsi="Times New Roman;Times;Serif"/>
          <w:b w:val="false"/>
          <w:i w:val="false"/>
          <w:caps w:val="false"/>
          <w:smallCaps w:val="false"/>
          <w:sz w:val="20"/>
          <w:u w:val="single"/>
        </w:rPr>
        <w:t>Financial Audits</w:t>
      </w:r>
      <w:r>
        <w:rPr>
          <w:rFonts w:ascii="Times New Roman;Times;Serif" w:hAnsi="Times New Roman;Times;Serif"/>
          <w:b w:val="false"/>
          <w:i w:val="false"/>
          <w:caps w:val="false"/>
          <w:smallCaps w:val="false"/>
          <w:sz w:val="20"/>
        </w:rPr>
        <w:t>. Upon the written request of Urigen and not more than once in each calendar year, Imprimis shall permit an independent certified public accounting firm of nationally recognized standing selected by Urigen and reasonably acceptable to Imprimis, at Urigen’s expense, to have access during normal business hours to such of the financial records of Imprimis or its Affiliates as may be reasonably necessary to verify the accuracy of the royalty reports hereunder for the eight (8) calendar quarters immediately prior to the date of such request (other than records for which Urigen has already conducted an audit under this Section. If such accounting firm concludes that additional amounts were owed during the audited period, Imprimis shall pay such additional amounts within thirty (30) days after the date Urigen delivers to Imprimis such accounting firm’s written report so concluding. The fees charged by such accounting firm shall be paid by Urigen; provided, however, if the audit discloses that the royalties payable by Imprimis for such period are more than one hundred ten percent (110%) of the royalties actually paid for such period, then Imprimis shall pay the reasonable fees and expenses charged by such accounting firm. Urigen shall cause its accounting firm to retain all financial information subject to review under this Section 4.6 in strict confidence; provided, however, that Imprimis shall have the right to require that such accounting firm, prior to conducting such audit, enter into an appropriate non-disclosure agreement with Imprimis or its Affiliates regarding such financial information. The accounting firm shall disclose to Urigen only whether the reports are correct or not and the amount of any discrepancy. No other information shall be shared. Urigen shall treat all such financial information as Imprimis’ confidential information, and shall not disclose such financial information to any Third Party or use it for any purpose other than as specified in this Section 4.6.</w:t>
      </w:r>
    </w:p>
    <w:p>
      <w:pPr>
        <w:pStyle w:val="TextBody"/>
        <w:ind w:left="0" w:right="0" w:firstLine="2160"/>
        <w:jc w:val="both"/>
        <w:rPr>
          <w:caps w:val="false"/>
          <w:smallCaps w:val="false"/>
        </w:rPr>
      </w:pPr>
      <w:r>
        <w:rPr>
          <w:caps w:val="false"/>
          <w:smallCaps w:val="false"/>
        </w:rPr>
        <w:t> </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4.6.2 </w:t>
      </w:r>
      <w:r>
        <w:rPr>
          <w:rFonts w:ascii="Times New Roman;Times;Serif" w:hAnsi="Times New Roman;Times;Serif"/>
          <w:b w:val="false"/>
          <w:i w:val="false"/>
          <w:caps w:val="false"/>
          <w:smallCaps w:val="false"/>
          <w:sz w:val="20"/>
          <w:u w:val="single"/>
        </w:rPr>
        <w:t>Quality Audits</w:t>
      </w:r>
      <w:r>
        <w:rPr>
          <w:rFonts w:ascii="Times New Roman;Times;Serif" w:hAnsi="Times New Roman;Times;Serif"/>
          <w:b w:val="false"/>
          <w:i w:val="false"/>
          <w:caps w:val="false"/>
          <w:smallCaps w:val="false"/>
          <w:sz w:val="20"/>
        </w:rPr>
        <w:t>. Imprimis shall permit Urigen or its authorized representative, to conduct inspections and test audits of Imprimis’ and its Affiliate’s facilities, operations and procedures at reasonable time intervals, to the extent necessary to verify that the quality and performance of the Products produced by Imprimis are in compliance with this Agreement, in each case as mutually agreed in advance in writing by the parties and subject to standard confidentiality obligations provided by Imprimis.</w:t>
      </w:r>
    </w:p>
    <w:p>
      <w:pPr>
        <w:pStyle w:val="TextBody"/>
        <w:ind w:left="0" w:right="0" w:firstLine="720"/>
        <w:jc w:val="both"/>
        <w:rPr>
          <w:caps/>
        </w:rPr>
      </w:pPr>
      <w:r>
        <w:rPr>
          <w:caps/>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10</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5. </w:t>
      </w:r>
      <w:r>
        <w:rPr>
          <w:rFonts w:ascii="Times New Roman;Times;Serif" w:hAnsi="Times New Roman;Times;Serif"/>
          <w:b w:val="false"/>
          <w:i w:val="false"/>
          <w:caps w:val="false"/>
          <w:smallCaps w:val="false"/>
          <w:sz w:val="20"/>
          <w:u w:val="single"/>
        </w:rPr>
        <w:t>Joint Committee</w:t>
      </w:r>
      <w:r>
        <w:rPr>
          <w:rFonts w:ascii="Times New Roman;Times;Serif" w:hAnsi="Times New Roman;Times;Serif"/>
          <w:b w:val="false"/>
          <w:i w:val="false"/>
          <w:caps w:val="false"/>
          <w:smallCaps w:val="false"/>
          <w:sz w:val="20"/>
        </w:rPr>
        <w:t>.</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Composition</w:t>
      </w:r>
      <w:r>
        <w:rPr>
          <w:rFonts w:ascii="Times New Roman;Times;Serif" w:hAnsi="Times New Roman;Times;Serif"/>
          <w:b w:val="false"/>
          <w:i w:val="false"/>
          <w:caps w:val="false"/>
          <w:smallCaps w:val="false"/>
          <w:sz w:val="20"/>
        </w:rPr>
        <w:t>. The Joint Committee shall comprise two (2) named representatives of Urigen and two (2) named representatives of Imprimis. Each party shall appoint its representatives to the Joint Committee from time to time, and may substitute one or more of its representatives, in its sole discretion, effective upon written notice to the other party of such change.</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Chairperson</w:t>
      </w:r>
      <w:r>
        <w:rPr>
          <w:rFonts w:ascii="Times New Roman;Times;Serif" w:hAnsi="Times New Roman;Times;Serif"/>
          <w:b w:val="false"/>
          <w:i w:val="false"/>
          <w:caps w:val="false"/>
          <w:smallCaps w:val="false"/>
          <w:sz w:val="20"/>
        </w:rPr>
        <w:t>. Imprimis shall designate one of its representatives at the Joint Committee as a chairperson (the “Chairperson”). The Chairperson shall be responsible for organizing the meetings of the Joint Committee by determining the time, date and place therefor.</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val="false"/>
          <w:caps w:val="false"/>
          <w:smallCaps w:val="false"/>
          <w:sz w:val="20"/>
          <w:u w:val="single"/>
        </w:rPr>
        <w:t>Purpose</w:t>
      </w:r>
      <w:r>
        <w:rPr>
          <w:rFonts w:ascii="Times New Roman;Times;Serif" w:hAnsi="Times New Roman;Times;Serif"/>
          <w:b w:val="false"/>
          <w:i w:val="false"/>
          <w:caps w:val="false"/>
          <w:smallCaps w:val="false"/>
          <w:sz w:val="20"/>
        </w:rPr>
        <w:t>. The Joint Committee shall be responsible for (a) exchanging information between the parties regarding the Diligence Plan and the activities conducted by Imprimis thereunder, and (b) except for any Product that is the same as the Initial Product, or any Product that is substantially similar to the Initial Product (provided that the final dosage of such substantially similar Product is equal to or greater than twenty milliliters (20ml)), determining the Product as set forth in Section 1.22.</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val="false"/>
          <w:i w:val="false"/>
          <w:caps w:val="false"/>
          <w:smallCaps w:val="false"/>
          <w:sz w:val="20"/>
          <w:u w:val="single"/>
        </w:rPr>
        <w:t>Meetings</w:t>
      </w:r>
      <w:r>
        <w:rPr>
          <w:rFonts w:ascii="Times New Roman;Times;Serif" w:hAnsi="Times New Roman;Times;Serif"/>
          <w:b w:val="false"/>
          <w:i w:val="false"/>
          <w:caps w:val="false"/>
          <w:smallCaps w:val="false"/>
          <w:sz w:val="20"/>
        </w:rPr>
        <w:t>. Any member of the Joint Committee may request a meeting of the Joint Committee, provided that, unless otherwise mutually agreed by the parties, such member shall not have the right to request more than one (1) meeting per calendar quarter. The specific times, dates and places of such meetings will be determined by the Chairperson. Each party may permit such visitors to a meeting of the Joint Committee as mutually agreed by the parties prior to such meeting. Each party shall be responsible for its own costs in connection with the meetings of the Joint Committee.</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val="false"/>
          <w:i w:val="false"/>
          <w:caps w:val="false"/>
          <w:smallCaps w:val="false"/>
          <w:sz w:val="20"/>
          <w:u w:val="single"/>
        </w:rPr>
        <w:t>Joint Committee Dispute Resolution</w:t>
      </w:r>
      <w:r>
        <w:rPr>
          <w:rFonts w:ascii="Times New Roman;Times;Serif" w:hAnsi="Times New Roman;Times;Serif"/>
          <w:b w:val="false"/>
          <w:i w:val="false"/>
          <w:caps w:val="false"/>
          <w:smallCaps w:val="false"/>
          <w:sz w:val="20"/>
        </w:rPr>
        <w:t>. Any disagreement arising in the Joint Committee shall be presented to the officer (who shall be a Vice President or more senior officer) of each party that has primarily oversight responsibility for such party’s activities under the Collaboration, and such officers shall use good faith efforts to resolve such disagreement. If any such disagreement is not resolved by such officers within thirty (30) days after first presentation in writing to each of such disagreement, then such disagreement then shall be presented to the Chief Executive Officers of the parties who shall use good faith efforts to resolve such disagreement.</w:t>
      </w:r>
    </w:p>
    <w:p>
      <w:pPr>
        <w:pStyle w:val="TextBody"/>
        <w:ind w:left="0" w:right="0" w:firstLine="720"/>
        <w:jc w:val="both"/>
        <w:rPr>
          <w:caps/>
        </w:rPr>
      </w:pPr>
      <w:r>
        <w:rPr>
          <w:caps/>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6. </w:t>
      </w:r>
      <w:r>
        <w:rPr>
          <w:rFonts w:ascii="Times New Roman;Times;Serif" w:hAnsi="Times New Roman;Times;Serif"/>
          <w:b w:val="false"/>
          <w:i w:val="false"/>
          <w:caps w:val="false"/>
          <w:smallCaps w:val="false"/>
          <w:sz w:val="20"/>
          <w:u w:val="single"/>
        </w:rPr>
        <w:t>Diligence</w:t>
      </w:r>
      <w:r>
        <w:rPr>
          <w:rFonts w:ascii="Times New Roman;Times;Serif" w:hAnsi="Times New Roman;Times;Serif"/>
          <w:b w:val="false"/>
          <w:i w:val="false"/>
          <w:caps w:val="false"/>
          <w:smallCaps w:val="false"/>
          <w:sz w:val="20"/>
        </w:rPr>
        <w:t>. Imprimis shall use commercially reasonable efforts to diligently make, have made, use, have used, provide, have provided and sell Products in accordance with the terms of the Diligence Plan (attached hereto as Exhibit A), to make the investment into the promotional efforts relating to the Products as set forth on the Diligence Plan, and to comply with any regulation, including Sections 503A and 503B of the FD&amp;C Act, to permit sales of the Product in accordance with the terms and conditions of this Agreement. The parties acknowledge and agree that performance of any activities and achievement of any objectives described in the Diligence Plan within timelines set forth therein depend on circumstances beyond Imprimis’ control. Therefore, if Imprimis is unable to achieve such objectives within the applicable timelines, Imprimis shall have the right to, in good faith, modify such timelines and otherwise account for circumstances beyond Imprimis’ reasonable control. Any other modifications and amendments to the Diligence Plan shall be subject to the parties’ mutual written agreement.</w:t>
      </w:r>
    </w:p>
    <w:p>
      <w:pPr>
        <w:pStyle w:val="TextBody"/>
        <w:ind w:left="0" w:right="0" w:firstLine="720"/>
        <w:rPr>
          <w:caps/>
        </w:rPr>
      </w:pPr>
      <w:r>
        <w:rPr>
          <w:caps/>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11</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7.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Each party (the “Indemnifying Party”) shall defend, indemnify and hold the other party (the “Indemnified Party”) harmless from all losses, liabilities, damages and expenses (including reasonable attorneys’ fees and costs) incurred as a result of any Third Party claim, demand, action or proceeding to the extent arising out of any breach by the Indemnifying Party of any representation, warranty or covenant set forth in this Agreement, or the gross negligence or willful misconduct of the Indemnifying Party in the performance of its obligations under this Agreement.</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val="false"/>
          <w:i w:val="false"/>
          <w:caps w:val="false"/>
          <w:smallCaps w:val="false"/>
          <w:sz w:val="20"/>
          <w:u w:val="single"/>
        </w:rPr>
        <w:t>Procedure</w:t>
      </w:r>
      <w:r>
        <w:rPr>
          <w:rFonts w:ascii="Times New Roman;Times;Serif" w:hAnsi="Times New Roman;Times;Serif"/>
          <w:b w:val="false"/>
          <w:i w:val="false"/>
          <w:caps w:val="false"/>
          <w:smallCaps w:val="false"/>
          <w:sz w:val="20"/>
        </w:rPr>
        <w:t>. The Indemnified Party promptly shall notify the Indemnifying Party of any liability or action in respect of which the Indemnified Party intends to claim such indemnification, and the Indemnifying Party shall have the right to assume the defense thereof with counsel selected by the Indemnifying Party. The indemnity agreement in this Section 7 shall not apply to amounts paid in settlement of any loss, claim, damage, liability or action if such settlement is effected without the consent of the Indemnifying Party, which consent shall not be unreasonably withheld, delayed or conditioned. The failure to deliver notice to the Indemnifying Party within a reasonable time after the commencement of any such action, if prejudicial to its ability to defend such action, shall relieve the Indemnifying Party of any liability to the Indemnified Party under this Section 7, but the omission so to deliver notice to the Indemnifying Party will not relieve it of any liability that it may have to the Indemnified Party otherwise than under this Section 7. The Indemnified Party under this Section 7, its employees and agents, shall cooperate fully with the Indemnifying Party and its legal representatives in the investigation and defense of any action, claim or liability covered by this indemnification.</w:t>
      </w:r>
    </w:p>
    <w:p>
      <w:pPr>
        <w:pStyle w:val="TextBody"/>
        <w:ind w:left="0" w:right="0" w:firstLine="720"/>
        <w:jc w:val="both"/>
        <w:rPr>
          <w:caps/>
        </w:rPr>
      </w:pPr>
      <w:r>
        <w:rPr>
          <w:caps/>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8. </w:t>
      </w:r>
      <w:r>
        <w:rPr>
          <w:rFonts w:ascii="Times New Roman;Times;Serif" w:hAnsi="Times New Roman;Times;Serif"/>
          <w:b w:val="false"/>
          <w:i w:val="false"/>
          <w:caps w:val="false"/>
          <w:smallCaps w:val="false"/>
          <w:sz w:val="20"/>
          <w:u w:val="single"/>
        </w:rPr>
        <w:t>Term and Termination</w:t>
      </w:r>
      <w:r>
        <w:rPr>
          <w:rFonts w:ascii="Times New Roman;Times;Serif" w:hAnsi="Times New Roman;Times;Serif"/>
          <w:b w:val="false"/>
          <w:i w:val="false"/>
          <w:caps w:val="false"/>
          <w:smallCaps w:val="false"/>
          <w:sz w:val="20"/>
        </w:rPr>
        <w:t>.</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This Agreement shall commence on the Effective Date and, unless terminated earlier pursuant to this Section 7, shall continue in effect until the first to occur of (a) the Urigen Product Launch, and (b) expiration of Imprimis’ obligation to pay royalties to Urigen under Section 4. The license grant under Section 3.1 shall be effective at all times prior to termination or expiration of this Agreement. If this Agreement expires pursuant to this Section 8.1(b), Imprimis shall have a fully paid-up, non-exclusive license under the Licensed Know-How Rights to conduct research and to develop, make, have made, use, sell, offer for sale and import Products in the Territory for use in the Field.</w:t>
      </w:r>
    </w:p>
    <w:p>
      <w:pPr>
        <w:pStyle w:val="TextBody"/>
        <w:ind w:left="0" w:right="0" w:firstLine="1440"/>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12</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rPr>
          <w:caps w:val="false"/>
          <w:smallCaps w:val="false"/>
        </w:rPr>
      </w:pPr>
      <w:r>
        <w:rPr>
          <w:caps w:val="false"/>
          <w:smallCaps w:val="false"/>
        </w:rPr>
        <w:t> </w:t>
      </w:r>
    </w:p>
    <w:p>
      <w:pPr>
        <w:pStyle w:val="TextBody"/>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w:t>
      </w:r>
    </w:p>
    <w:p>
      <w:pPr>
        <w:pStyle w:val="TextBody"/>
        <w:ind w:left="0" w:right="0" w:firstLine="2160"/>
        <w:rPr>
          <w:caps w:val="false"/>
          <w:smallCaps w:val="false"/>
        </w:rPr>
      </w:pPr>
      <w:r>
        <w:rPr>
          <w:caps w:val="false"/>
          <w:smallCaps w:val="false"/>
        </w:rPr>
        <w:t> </w:t>
      </w:r>
    </w:p>
    <w:p>
      <w:pPr>
        <w:pStyle w:val="TextBody"/>
        <w:ind w:left="0" w:right="0" w:firstLine="21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8.2.1 </w:t>
      </w:r>
      <w:r>
        <w:rPr>
          <w:rFonts w:ascii="Times New Roman;Times;Serif" w:hAnsi="Times New Roman;Times;Serif"/>
          <w:b w:val="false"/>
          <w:i w:val="false"/>
          <w:caps w:val="false"/>
          <w:smallCaps w:val="false"/>
          <w:sz w:val="20"/>
          <w:u w:val="single"/>
        </w:rPr>
        <w:t>Termination by Imprimis</w:t>
      </w:r>
      <w:r>
        <w:rPr>
          <w:rFonts w:ascii="Times New Roman;Times;Serif" w:hAnsi="Times New Roman;Times;Serif"/>
          <w:b w:val="false"/>
          <w:i w:val="false"/>
          <w:caps w:val="false"/>
          <w:smallCaps w:val="false"/>
          <w:sz w:val="20"/>
        </w:rPr>
        <w:t>.</w:t>
      </w:r>
    </w:p>
    <w:p>
      <w:pPr>
        <w:pStyle w:val="TextBody"/>
        <w:ind w:left="0" w:right="0" w:firstLine="2880"/>
        <w:rPr>
          <w:caps w:val="false"/>
          <w:smallCaps w:val="false"/>
        </w:rPr>
      </w:pPr>
      <w:r>
        <w:rPr>
          <w:caps w:val="false"/>
          <w:smallCaps w:val="false"/>
        </w:rPr>
        <w:t> </w:t>
      </w:r>
    </w:p>
    <w:p>
      <w:pPr>
        <w:pStyle w:val="TextBody"/>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provided in Section 9.4, Imprimis may terminate this Agreement upon or after the breach of any material provision of this Agreement by Urigen if Urigen has not cured such breach within ninety (90) days after receipt of express written notice thereof by Imprimis; provided, however, if any default is not capable of being cured within such ninety (90) day period and Urigen is diligently undertaking to cure such default as soon as commercially feasible thereafter under the circumstances, Imprimis shall have no right to terminate this Agreement for cause.</w:t>
      </w:r>
    </w:p>
    <w:p>
      <w:pPr>
        <w:pStyle w:val="TextBody"/>
        <w:ind w:left="0" w:right="0" w:firstLine="2880"/>
        <w:jc w:val="both"/>
        <w:rPr>
          <w:caps w:val="false"/>
          <w:smallCaps w:val="false"/>
        </w:rPr>
      </w:pPr>
      <w:r>
        <w:rPr>
          <w:caps w:val="false"/>
          <w:smallCaps w:val="false"/>
        </w:rPr>
        <w:t> </w:t>
      </w:r>
    </w:p>
    <w:p>
      <w:pPr>
        <w:pStyle w:val="TextBody"/>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to the rights set forth in Section 8.2.1(a) above, Imprimis shall have the right to terminate this Agreement at its option in its sole discretion upon one hundred eighty (180) days written notice to Urigen. From the time of receipt of written notice of termination, during the one hundred eighty (180) days prior to termination and thereafter, Urigen shall have the right to enter into agreements with any Affiliates and/or sublicensees to develop, make, have made, use, sell, offer for sale and import Products after the expiration of such one hundred eighty (180)-days period on terms and conditions no less favorable than the terms and conditions set forth in this Agreement.</w:t>
      </w:r>
    </w:p>
    <w:p>
      <w:pPr>
        <w:pStyle w:val="TextBody"/>
        <w:ind w:left="0" w:right="0" w:firstLine="2160"/>
        <w:jc w:val="both"/>
        <w:rPr>
          <w:caps w:val="false"/>
          <w:smallCaps w:val="false"/>
        </w:rPr>
      </w:pPr>
      <w:r>
        <w:rPr>
          <w:caps w:val="false"/>
          <w:smallCaps w:val="false"/>
        </w:rPr>
        <w:t> </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8.2.2 </w:t>
      </w:r>
      <w:r>
        <w:rPr>
          <w:rFonts w:ascii="Times New Roman;Times;Serif" w:hAnsi="Times New Roman;Times;Serif"/>
          <w:b w:val="false"/>
          <w:i w:val="false"/>
          <w:caps w:val="false"/>
          <w:smallCaps w:val="false"/>
          <w:sz w:val="20"/>
          <w:u w:val="single"/>
        </w:rPr>
        <w:t>Termination for Cause by Urigen</w:t>
      </w:r>
      <w:r>
        <w:rPr>
          <w:rFonts w:ascii="Times New Roman;Times;Serif" w:hAnsi="Times New Roman;Times;Serif"/>
          <w:b w:val="false"/>
          <w:i w:val="false"/>
          <w:caps w:val="false"/>
          <w:smallCaps w:val="false"/>
          <w:sz w:val="20"/>
        </w:rPr>
        <w:t>. Except as otherwise provided in Section 9.4, Urigen may terminate this Agreement upon or after the breach of any material provision of this Agreement by Imprimis if Imprimis has not cured such breach within ninety (90) days after receipt of express written notice thereof by Urigen; provided, however, if any default is not capable of being cured within such ninety (90) day period and Imprimis is diligently undertaking to cure such default as soon as commercially feasible thereafter under the circumstances, Urigen shall have no right to terminate this Agreement.</w:t>
      </w:r>
    </w:p>
    <w:p>
      <w:pPr>
        <w:pStyle w:val="TextBody"/>
        <w:ind w:left="0" w:right="0" w:firstLine="2160"/>
        <w:jc w:val="both"/>
        <w:rPr>
          <w:caps w:val="false"/>
          <w:smallCaps w:val="false"/>
        </w:rPr>
      </w:pPr>
      <w:r>
        <w:rPr>
          <w:caps w:val="false"/>
          <w:smallCaps w:val="false"/>
        </w:rPr>
        <w:t> </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8.2.3 </w:t>
      </w:r>
      <w:r>
        <w:rPr>
          <w:rFonts w:ascii="Times New Roman;Times;Serif" w:hAnsi="Times New Roman;Times;Serif"/>
          <w:b w:val="false"/>
          <w:i w:val="false"/>
          <w:caps w:val="false"/>
          <w:smallCaps w:val="false"/>
          <w:sz w:val="20"/>
          <w:u w:val="single"/>
        </w:rPr>
        <w:t>Termination caused by Regulatory Mandate</w:t>
      </w:r>
      <w:r>
        <w:rPr>
          <w:rFonts w:ascii="Times New Roman;Times;Serif" w:hAnsi="Times New Roman;Times;Serif"/>
          <w:b w:val="false"/>
          <w:i w:val="false"/>
          <w:caps w:val="false"/>
          <w:smallCaps w:val="false"/>
          <w:sz w:val="20"/>
        </w:rPr>
        <w:t>. If any state or federal regulatory body, including the FDA, interprets an existing or promulgates a new rule, law or regulation that prohibits or otherwise materially adversely affects the exercise of rights licensed to Imprimis under this Agreement, the parties shall use commercially reasonable efforts to take actions and/or amend this Agreement to promptly and adequately address and account for such rules, laws or regulations. If such actions do not adequately address and account for such rules, laws or regulations and/or the parties do not mutually agree on terms and conditions of an amendment to this Agreement that addresses and accounts for such rules, laws or regulations, then either party may terminate this Agreement upon written notice to the other party.</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8.3 </w:t>
      </w:r>
      <w:r>
        <w:rPr>
          <w:rFonts w:ascii="Times New Roman;Times;Serif" w:hAnsi="Times New Roman;Times;Serif"/>
          <w:b w:val="false"/>
          <w:i w:val="false"/>
          <w:caps w:val="false"/>
          <w:smallCaps w:val="false"/>
          <w:sz w:val="20"/>
          <w:u w:val="single"/>
        </w:rPr>
        <w:t>Effect of Termination</w:t>
      </w:r>
      <w:r>
        <w:rPr>
          <w:rFonts w:ascii="Times New Roman;Times;Serif" w:hAnsi="Times New Roman;Times;Serif"/>
          <w:b w:val="false"/>
          <w:i w:val="false"/>
          <w:caps w:val="false"/>
          <w:smallCaps w:val="false"/>
          <w:sz w:val="20"/>
        </w:rPr>
        <w:t>.</w:t>
      </w:r>
    </w:p>
    <w:p>
      <w:pPr>
        <w:pStyle w:val="TextBody"/>
        <w:ind w:left="0" w:right="0" w:firstLine="2160"/>
        <w:jc w:val="both"/>
        <w:rPr>
          <w:caps w:val="false"/>
          <w:smallCaps w:val="false"/>
        </w:rPr>
      </w:pPr>
      <w:r>
        <w:rPr>
          <w:caps w:val="false"/>
          <w:smallCaps w:val="false"/>
        </w:rPr>
        <w:t> </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8.3.1 </w:t>
      </w:r>
      <w:r>
        <w:rPr>
          <w:rFonts w:ascii="Times New Roman;Times;Serif" w:hAnsi="Times New Roman;Times;Serif"/>
          <w:b w:val="false"/>
          <w:i w:val="false"/>
          <w:caps w:val="false"/>
          <w:smallCaps w:val="false"/>
          <w:sz w:val="20"/>
          <w:u w:val="single"/>
        </w:rPr>
        <w:t>Effect of Urigen Product Launch</w:t>
      </w:r>
      <w:r>
        <w:rPr>
          <w:rFonts w:ascii="Times New Roman;Times;Serif" w:hAnsi="Times New Roman;Times;Serif"/>
          <w:b w:val="false"/>
          <w:i w:val="false"/>
          <w:caps w:val="false"/>
          <w:smallCaps w:val="false"/>
          <w:sz w:val="20"/>
        </w:rPr>
        <w:t>. If the Conversion Date occurs prior to the Urigen Product Launch, Imprimis shall have the option exercisable on written notice within ninety (90) days after the effective date of termination of this Agreement to become a non-exclusive distributor of the Urigen Product in the Territory on commercially reasonable and customary terms and conditions for agreements of this type. After Imprimis exercises such option, the parties shall enter in a mutually acceptable written distribution agreement consistent with such terms and conditions.</w:t>
      </w:r>
    </w:p>
    <w:p>
      <w:pPr>
        <w:pStyle w:val="TextBody"/>
        <w:ind w:left="0" w:right="0" w:firstLine="216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13</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rPr>
          <w:caps w:val="false"/>
          <w:smallCaps w:val="false"/>
        </w:rPr>
      </w:pPr>
      <w:r>
        <w:rPr>
          <w:caps w:val="false"/>
          <w:smallCaps w:val="false"/>
        </w:rPr>
        <w:t> </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8.3.2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Sections 4 (solely with respect to outstanding payment obligations as set forth therein), 8 and 9 shall survive termination or expiration of this Agreement.</w:t>
      </w:r>
    </w:p>
    <w:p>
      <w:pPr>
        <w:pStyle w:val="TextBody"/>
        <w:ind w:left="0" w:right="0" w:firstLine="720"/>
        <w:jc w:val="both"/>
        <w:rPr>
          <w:caps/>
        </w:rPr>
      </w:pPr>
      <w:r>
        <w:rPr>
          <w:caps/>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9.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 </w:t>
      </w:r>
      <w:r>
        <w:rPr>
          <w:rFonts w:ascii="Times New Roman;Times;Serif" w:hAnsi="Times New Roman;Times;Serif"/>
          <w:b w:val="false"/>
          <w:i w:val="false"/>
          <w:caps w:val="false"/>
          <w:smallCaps w:val="false"/>
          <w:sz w:val="20"/>
          <w:u w:val="single"/>
        </w:rPr>
        <w:t>Public Announcements</w:t>
      </w:r>
      <w:r>
        <w:rPr>
          <w:rFonts w:ascii="Times New Roman;Times;Serif" w:hAnsi="Times New Roman;Times;Serif"/>
          <w:b w:val="false"/>
          <w:i w:val="false"/>
          <w:caps w:val="false"/>
          <w:smallCaps w:val="false"/>
          <w:sz w:val="20"/>
        </w:rPr>
        <w:t>. Neither party nor its Affiliates shall make any public announcements concerning matters regarding this Agreement or the negotiation thereof without the prior written consent of the other party unless such disclosure is required by law, in which case the announcing party shall provide the other party with reasonable notice of such disclosure sufficient to make written comments concerning such disclosure.</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9.2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Neither party shall assign its rights or obligations under this Agreement without the prior written consent of the other party; provided, however, that a party may, without such consent, assign this Agreement and its rights and obligations hereunder (a) to any Affiliate, or (b) in connection with the transfer or sale of all or substantially all of its business to which this Agreement relates, or in the event of its merger, consolidation, change in control or similar transaction. Any permitted assignee shall assume all obligations of its assignor under this Agreement. Any purported assignment in violation of this Section 9.2 shall be void.</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9.3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xml:space="preserve">. Each party hereby agrees, and agrees to cause its Affiliates, stockholders, members, and representatives, to keep (a) the terms of this Agreement and (b) any non-public, confidential or proprietary information of the other party confidential (collectively, the “Confidential Information”) and, without limiting its other obligations hereunder, will treat and safeguard such Confidential Information with the same degree of care with which it treats its own confidential information (but in no less a reasonable degree of care) and to limit access to such terms to such employees, consultants, representatives and professional advisors of such party who reasonably require such access in connection with the activities contemplated by this Agreement or otherwise to administer the terms of this Agreement. To the extent practicable, in the event that a party is required to disclose the Confidential Information pursuant to any law, regulation, or judicial or administrative directive, such party will promptly notify the other party in order to allow the other party a reasonable period of time to obtain protective or confidential treatment of such terms before they are disclosed. Either party may disclose the terms of this Agreement (i) to the extent required, in the reasonable opinion of such party’s legal counsel, to comply with applicable laws, including, without limitation, the rules and regulations promulgated by the United States Securities and Exchange Commission; and (ii) in connection with a prospective acquisition, merger, financing, or license for such party, to prospective acquirers or merger candidates or to existing or potential investors or licensees,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prior to such disclosure each such candidate or investor will agree to be bound by obligations of confidentiality and non-use at least equivalent in scope to those set forth in this Section 9.3. Each party acknowledges that it will be impossible to measure in money the damage to the other party if such party fails to comply with the obligations imposed by this Section 9.3, and that, in the event of any such failure, the non-disclosing party may not have an adequate remedy at law or in damages. Accordingly, each party agrees that injunctive relief or other equitable remedy, in addition to remedies at law or damages, is an appropriate remedy for any such failure and will not oppose the granting of such relief on the basis that the disclosing party has an adequate remedy at law. Each party agrees that it will not seek, and agrees to waive any requirement for, the securing or posting of a bond in connection with the non-disclosing party seeking or obtaining such equitable relief.</w:t>
      </w:r>
    </w:p>
    <w:p>
      <w:pPr>
        <w:pStyle w:val="TextBody"/>
        <w:ind w:left="0" w:right="0" w:firstLine="1440"/>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14</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9.4 </w:t>
      </w:r>
      <w:r>
        <w:rPr>
          <w:rFonts w:ascii="Times New Roman;Times;Serif" w:hAnsi="Times New Roman;Times;Serif"/>
          <w:b w:val="false"/>
          <w:i w:val="false"/>
          <w:caps w:val="false"/>
          <w:smallCaps w:val="false"/>
          <w:sz w:val="20"/>
          <w:u w:val="single"/>
        </w:rPr>
        <w:t>Force Majeure</w:t>
      </w:r>
      <w:r>
        <w:rPr>
          <w:rFonts w:ascii="Times New Roman;Times;Serif" w:hAnsi="Times New Roman;Times;Serif"/>
          <w:b w:val="false"/>
          <w:i w:val="false"/>
          <w:caps w:val="false"/>
          <w:smallCaps w:val="false"/>
          <w:sz w:val="20"/>
        </w:rPr>
        <w:t>. Neither party shall be held liable or responsible to the other party nor be deemed to have defaulted under or breached this Agreement for failure or delay in fulfilling or performing any term of this Agreement to the extent, and for so long as, such failure or delay is caused by or results from causes beyond the reasonable control of the affected party including but not limited to fire, floods, embargoes, war, acts of war (whether war be declared or not), acts of terrorism, insurrections, riots, civil commotions, strikes, lockouts or other labor disturbances, acts of God or acts, omissions or delays in acting by any governmental authority or the other party.</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9.5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Any provision of this Agreement which is illegal, invalid or unenforceable shall be ineffective to the extent of such illegality, invalidity or unenforceability, without affecting in any way the remaining provisions hereof.</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9.6 </w:t>
      </w:r>
      <w:r>
        <w:rPr>
          <w:rFonts w:ascii="Times New Roman;Times;Serif" w:hAnsi="Times New Roman;Times;Serif"/>
          <w:b w:val="false"/>
          <w:i w:val="false"/>
          <w:caps w:val="false"/>
          <w:smallCaps w:val="false"/>
          <w:sz w:val="20"/>
          <w:u w:val="single"/>
        </w:rPr>
        <w:t>Governing Law; Exclusive Jurisdiction</w:t>
      </w:r>
      <w:r>
        <w:rPr>
          <w:rFonts w:ascii="Times New Roman;Times;Serif" w:hAnsi="Times New Roman;Times;Serif"/>
          <w:b w:val="false"/>
          <w:i w:val="false"/>
          <w:caps w:val="false"/>
          <w:smallCaps w:val="false"/>
          <w:sz w:val="20"/>
        </w:rPr>
        <w:t>. This Agreement shall be governed by and construed in accordance with the laws of the State of California, without regard to the conflicts of law principles thereof.</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9.7 </w:t>
      </w:r>
      <w:r>
        <w:rPr>
          <w:rFonts w:ascii="Times New Roman;Times;Serif" w:hAnsi="Times New Roman;Times;Serif"/>
          <w:b w:val="false"/>
          <w:i w:val="false"/>
          <w:caps w:val="false"/>
          <w:smallCaps w:val="false"/>
          <w:sz w:val="20"/>
          <w:u w:val="single"/>
        </w:rPr>
        <w:t>Entire Agreement; Amendment</w:t>
      </w:r>
      <w:r>
        <w:rPr>
          <w:rFonts w:ascii="Times New Roman;Times;Serif" w:hAnsi="Times New Roman;Times;Serif"/>
          <w:b w:val="false"/>
          <w:i w:val="false"/>
          <w:caps w:val="false"/>
          <w:smallCaps w:val="false"/>
          <w:sz w:val="20"/>
        </w:rPr>
        <w:t>. This Agreement and each additional agreement and document to be executed and delivered pursuant hereto constitute all of the agreements of the parties with respect to, and supersede all prior agreements and understandings relating to the subject matter of, this Agreement or the transactions contemplated by this Agreement. This Agreement may not be modified or amended except by a written instrument specifically referring to this Agreement signed by the parties hereto.</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9.8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No waiver by one party of the other party’s obligations, or of any breach or default hereunder by any other party, shall be valid or effective, unless such waiver is set forth in writing and is signed by the party giving such waiver; and no such waiver shall be deemed a waiver of any subsequent breach or default of the same or similar nature or any other breach or default by such other party.</w:t>
      </w:r>
    </w:p>
    <w:p>
      <w:pPr>
        <w:pStyle w:val="TextBody"/>
        <w:ind w:left="0" w:right="0" w:firstLine="1440"/>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9.9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consent, notice or report required or permitted to be given or made under this Agreement by a party to the other party shall be in writing, delivered by any lawful means to such other party at its address indicated below, or to such other address as the addressee shall have last furnished in writing to the addressor and (except as otherwise provided in this Agreement) shall be effective upon receipt by the addressee.</w:t>
      </w:r>
    </w:p>
    <w:p>
      <w:pPr>
        <w:pStyle w:val="TextBody"/>
        <w:ind w:left="0" w:right="0" w:firstLine="720"/>
        <w:rPr>
          <w:caps w:val="false"/>
          <w:smallCaps w:val="false"/>
        </w:rPr>
      </w:pPr>
      <w:r>
        <w:rPr>
          <w:caps w:val="false"/>
          <w:smallCaps w:val="false"/>
        </w:rPr>
        <w:t> </w:t>
      </w:r>
    </w:p>
    <w:tbl>
      <w:tblPr>
        <w:tblW w:w="4090" w:type="dxa"/>
        <w:jc w:val="left"/>
        <w:tblInd w:w="0" w:type="dxa"/>
        <w:tblCellMar>
          <w:top w:w="0" w:type="dxa"/>
          <w:left w:w="0" w:type="dxa"/>
          <w:bottom w:w="0" w:type="dxa"/>
          <w:right w:w="0" w:type="dxa"/>
        </w:tblCellMar>
      </w:tblPr>
      <w:tblGrid>
        <w:gridCol w:w="75"/>
        <w:gridCol w:w="1175"/>
        <w:gridCol w:w="2840"/>
      </w:tblGrid>
      <w:tr>
        <w:trPr/>
        <w:tc>
          <w:tcPr>
            <w:tcW w:w="75" w:type="dxa"/>
            <w:tcBorders/>
            <w:shd w:fill="auto" w:val="clear"/>
            <w:vAlign w:val="center"/>
          </w:tcPr>
          <w:p>
            <w:pPr>
              <w:pStyle w:val="TableContents"/>
              <w:spacing w:before="0" w:after="283"/>
              <w:rPr/>
            </w:pPr>
            <w:r>
              <w:rPr/>
              <w:t> </w:t>
            </w:r>
          </w:p>
        </w:tc>
        <w:tc>
          <w:tcPr>
            <w:tcW w:w="117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Urigen:</w:t>
            </w:r>
          </w:p>
        </w:tc>
        <w:tc>
          <w:tcPr>
            <w:tcW w:w="28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Urigen Pharmaceuticals, Inc.</w:t>
            </w:r>
          </w:p>
        </w:tc>
      </w:tr>
      <w:tr>
        <w:trPr/>
        <w:tc>
          <w:tcPr>
            <w:tcW w:w="75" w:type="dxa"/>
            <w:tcBorders/>
            <w:shd w:fill="auto" w:val="clear"/>
            <w:vAlign w:val="center"/>
          </w:tcPr>
          <w:p>
            <w:pPr>
              <w:pStyle w:val="TableContents"/>
              <w:spacing w:before="0" w:after="283"/>
              <w:rPr/>
            </w:pPr>
            <w:r>
              <w:rPr/>
              <w:t> </w:t>
            </w:r>
          </w:p>
        </w:tc>
        <w:tc>
          <w:tcPr>
            <w:tcW w:w="1175" w:type="dxa"/>
            <w:tcBorders/>
            <w:shd w:fill="auto" w:val="clear"/>
            <w:vAlign w:val="center"/>
          </w:tcPr>
          <w:p>
            <w:pPr>
              <w:pStyle w:val="TableContents"/>
              <w:spacing w:before="0" w:after="283"/>
              <w:rPr>
                <w:caps w:val="false"/>
                <w:smallCaps w:val="false"/>
              </w:rPr>
            </w:pPr>
            <w:r>
              <w:rPr>
                <w:caps w:val="false"/>
                <w:smallCaps w:val="false"/>
              </w:rPr>
              <w:t> </w:t>
            </w:r>
          </w:p>
        </w:tc>
        <w:tc>
          <w:tcPr>
            <w:tcW w:w="28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501 Silverside Road PMB# 95 </w:t>
            </w:r>
          </w:p>
        </w:tc>
      </w:tr>
      <w:tr>
        <w:trPr/>
        <w:tc>
          <w:tcPr>
            <w:tcW w:w="75" w:type="dxa"/>
            <w:tcBorders/>
            <w:shd w:fill="auto" w:val="clear"/>
            <w:vAlign w:val="center"/>
          </w:tcPr>
          <w:p>
            <w:pPr>
              <w:pStyle w:val="TableContents"/>
              <w:spacing w:before="0" w:after="283"/>
              <w:rPr/>
            </w:pPr>
            <w:r>
              <w:rPr/>
              <w:t> </w:t>
            </w:r>
          </w:p>
        </w:tc>
        <w:tc>
          <w:tcPr>
            <w:tcW w:w="1175" w:type="dxa"/>
            <w:tcBorders/>
            <w:shd w:fill="auto" w:val="clear"/>
            <w:vAlign w:val="center"/>
          </w:tcPr>
          <w:p>
            <w:pPr>
              <w:pStyle w:val="TableContents"/>
              <w:spacing w:before="0" w:after="283"/>
              <w:rPr>
                <w:caps w:val="false"/>
                <w:smallCaps w:val="false"/>
              </w:rPr>
            </w:pPr>
            <w:r>
              <w:rPr>
                <w:caps w:val="false"/>
                <w:smallCaps w:val="false"/>
              </w:rPr>
              <w:t> </w:t>
            </w:r>
          </w:p>
        </w:tc>
        <w:tc>
          <w:tcPr>
            <w:tcW w:w="28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Wilmington, Delaware 19809</w:t>
            </w:r>
          </w:p>
        </w:tc>
      </w:tr>
      <w:tr>
        <w:trPr/>
        <w:tc>
          <w:tcPr>
            <w:tcW w:w="75" w:type="dxa"/>
            <w:tcBorders/>
            <w:shd w:fill="auto" w:val="clear"/>
            <w:vAlign w:val="center"/>
          </w:tcPr>
          <w:p>
            <w:pPr>
              <w:pStyle w:val="TableContents"/>
              <w:spacing w:before="0" w:after="283"/>
              <w:rPr/>
            </w:pPr>
            <w:r>
              <w:rPr/>
              <w:t> </w:t>
            </w:r>
          </w:p>
        </w:tc>
        <w:tc>
          <w:tcPr>
            <w:tcW w:w="1175" w:type="dxa"/>
            <w:tcBorders/>
            <w:shd w:fill="auto" w:val="clear"/>
            <w:vAlign w:val="center"/>
          </w:tcPr>
          <w:p>
            <w:pPr>
              <w:pStyle w:val="TableContents"/>
              <w:spacing w:before="0" w:after="283"/>
              <w:rPr>
                <w:caps w:val="false"/>
                <w:smallCaps w:val="false"/>
              </w:rPr>
            </w:pPr>
            <w:r>
              <w:rPr>
                <w:caps w:val="false"/>
                <w:smallCaps w:val="false"/>
              </w:rPr>
              <w:t> </w:t>
            </w:r>
          </w:p>
        </w:tc>
        <w:tc>
          <w:tcPr>
            <w:tcW w:w="28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Dan Vickery</w:t>
            </w:r>
          </w:p>
        </w:tc>
      </w:tr>
      <w:tr>
        <w:trPr/>
        <w:tc>
          <w:tcPr>
            <w:tcW w:w="75" w:type="dxa"/>
            <w:tcBorders/>
            <w:shd w:fill="auto" w:val="clear"/>
            <w:vAlign w:val="center"/>
          </w:tcPr>
          <w:p>
            <w:pPr>
              <w:pStyle w:val="TableContents"/>
              <w:spacing w:before="0" w:after="283"/>
              <w:rPr/>
            </w:pPr>
            <w:r>
              <w:rPr/>
              <w:t> </w:t>
            </w:r>
          </w:p>
        </w:tc>
        <w:tc>
          <w:tcPr>
            <w:tcW w:w="1175" w:type="dxa"/>
            <w:tcBorders/>
            <w:shd w:fill="auto" w:val="clear"/>
            <w:vAlign w:val="center"/>
          </w:tcPr>
          <w:p>
            <w:pPr>
              <w:pStyle w:val="TableContents"/>
              <w:spacing w:before="0" w:after="283"/>
              <w:rPr>
                <w:caps w:val="false"/>
                <w:smallCaps w:val="false"/>
              </w:rPr>
            </w:pPr>
            <w:r>
              <w:rPr>
                <w:caps w:val="false"/>
                <w:smallCaps w:val="false"/>
              </w:rPr>
              <w:t> </w:t>
            </w:r>
          </w:p>
        </w:tc>
        <w:tc>
          <w:tcPr>
            <w:tcW w:w="284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117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Imprimis:</w:t>
            </w:r>
          </w:p>
        </w:tc>
        <w:tc>
          <w:tcPr>
            <w:tcW w:w="28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Imprimis Pharmaceuticals, Inc.</w:t>
            </w:r>
          </w:p>
        </w:tc>
      </w:tr>
      <w:tr>
        <w:trPr/>
        <w:tc>
          <w:tcPr>
            <w:tcW w:w="75" w:type="dxa"/>
            <w:tcBorders/>
            <w:shd w:fill="auto" w:val="clear"/>
            <w:vAlign w:val="center"/>
          </w:tcPr>
          <w:p>
            <w:pPr>
              <w:pStyle w:val="TableContents"/>
              <w:spacing w:before="0" w:after="283"/>
              <w:rPr/>
            </w:pPr>
            <w:r>
              <w:rPr/>
              <w:t> </w:t>
            </w:r>
          </w:p>
        </w:tc>
        <w:tc>
          <w:tcPr>
            <w:tcW w:w="1175" w:type="dxa"/>
            <w:tcBorders/>
            <w:shd w:fill="auto" w:val="clear"/>
            <w:vAlign w:val="center"/>
          </w:tcPr>
          <w:p>
            <w:pPr>
              <w:pStyle w:val="TableContents"/>
              <w:spacing w:before="0" w:after="283"/>
              <w:rPr>
                <w:caps w:val="false"/>
                <w:smallCaps w:val="false"/>
              </w:rPr>
            </w:pPr>
            <w:r>
              <w:rPr>
                <w:caps w:val="false"/>
                <w:smallCaps w:val="false"/>
              </w:rPr>
              <w:t> </w:t>
            </w:r>
          </w:p>
        </w:tc>
        <w:tc>
          <w:tcPr>
            <w:tcW w:w="28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12264 El Camino Real, Suite 350</w:t>
            </w:r>
          </w:p>
        </w:tc>
      </w:tr>
      <w:tr>
        <w:trPr/>
        <w:tc>
          <w:tcPr>
            <w:tcW w:w="75" w:type="dxa"/>
            <w:tcBorders/>
            <w:shd w:fill="auto" w:val="clear"/>
            <w:vAlign w:val="center"/>
          </w:tcPr>
          <w:p>
            <w:pPr>
              <w:pStyle w:val="TableContents"/>
              <w:spacing w:before="0" w:after="283"/>
              <w:rPr/>
            </w:pPr>
            <w:r>
              <w:rPr/>
              <w:t> </w:t>
            </w:r>
          </w:p>
        </w:tc>
        <w:tc>
          <w:tcPr>
            <w:tcW w:w="1175" w:type="dxa"/>
            <w:tcBorders/>
            <w:shd w:fill="auto" w:val="clear"/>
            <w:vAlign w:val="center"/>
          </w:tcPr>
          <w:p>
            <w:pPr>
              <w:pStyle w:val="TableContents"/>
              <w:spacing w:before="0" w:after="283"/>
              <w:rPr>
                <w:caps w:val="false"/>
                <w:smallCaps w:val="false"/>
              </w:rPr>
            </w:pPr>
            <w:r>
              <w:rPr>
                <w:caps w:val="false"/>
                <w:smallCaps w:val="false"/>
              </w:rPr>
              <w:t> </w:t>
            </w:r>
          </w:p>
        </w:tc>
        <w:tc>
          <w:tcPr>
            <w:tcW w:w="28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Diego, California 92130</w:t>
            </w:r>
          </w:p>
        </w:tc>
      </w:tr>
      <w:tr>
        <w:trPr/>
        <w:tc>
          <w:tcPr>
            <w:tcW w:w="75" w:type="dxa"/>
            <w:tcBorders/>
            <w:shd w:fill="auto" w:val="clear"/>
            <w:vAlign w:val="center"/>
          </w:tcPr>
          <w:p>
            <w:pPr>
              <w:pStyle w:val="TableContents"/>
              <w:spacing w:before="0" w:after="283"/>
              <w:rPr/>
            </w:pPr>
            <w:r>
              <w:rPr/>
              <w:t> </w:t>
            </w:r>
          </w:p>
        </w:tc>
        <w:tc>
          <w:tcPr>
            <w:tcW w:w="1175" w:type="dxa"/>
            <w:tcBorders/>
            <w:shd w:fill="auto" w:val="clear"/>
            <w:vAlign w:val="center"/>
          </w:tcPr>
          <w:p>
            <w:pPr>
              <w:pStyle w:val="TableContents"/>
              <w:spacing w:before="0" w:after="283"/>
              <w:rPr>
                <w:caps w:val="false"/>
                <w:smallCaps w:val="false"/>
              </w:rPr>
            </w:pPr>
            <w:r>
              <w:rPr>
                <w:caps w:val="false"/>
                <w:smallCaps w:val="false"/>
              </w:rPr>
              <w:t> </w:t>
            </w:r>
          </w:p>
        </w:tc>
        <w:tc>
          <w:tcPr>
            <w:tcW w:w="28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Chief Executive Officer</w:t>
            </w:r>
          </w:p>
        </w:tc>
      </w:tr>
    </w:tbl>
    <w:p>
      <w:pPr>
        <w:pStyle w:val="TextBody"/>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9.10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separate counterparts, each of which shall be deemed an original, but all of which together shall constitute one and the same instrument.</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15</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ind w:left="0" w:right="0" w:firstLine="720"/>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of Imprimis and Urigen has caused a duly authorized representative to execute this Agreement on the Effective Date.</w:t>
      </w:r>
    </w:p>
    <w:p>
      <w:pPr>
        <w:pStyle w:val="TextBody"/>
        <w:ind w:left="0" w:right="0" w:firstLine="720"/>
        <w:rPr>
          <w:caps w:val="false"/>
          <w:smallCaps w:val="false"/>
        </w:rPr>
      </w:pPr>
      <w:r>
        <w:rPr>
          <w:caps w:val="false"/>
          <w:smallCaps w:val="false"/>
        </w:rPr>
        <w:t> </w:t>
      </w:r>
    </w:p>
    <w:tbl>
      <w:tblPr>
        <w:tblW w:w="3394" w:type="dxa"/>
        <w:jc w:val="left"/>
        <w:tblInd w:w="0" w:type="dxa"/>
        <w:tblCellMar>
          <w:top w:w="0" w:type="dxa"/>
          <w:left w:w="0" w:type="dxa"/>
          <w:bottom w:w="0" w:type="dxa"/>
          <w:right w:w="0" w:type="dxa"/>
        </w:tblCellMar>
      </w:tblPr>
      <w:tblGrid>
        <w:gridCol w:w="1249"/>
        <w:gridCol w:w="2070"/>
        <w:gridCol w:w="75"/>
      </w:tblGrid>
      <w:tr>
        <w:trPr/>
        <w:tc>
          <w:tcPr>
            <w:tcW w:w="3319" w:type="dxa"/>
            <w:gridSpan w:val="2"/>
            <w:tcBorders/>
            <w:shd w:fill="auto" w:val="clear"/>
            <w:vAlign w:val="center"/>
          </w:tcPr>
          <w:p>
            <w:pPr>
              <w:pStyle w:val="TableContents"/>
              <w:spacing w:before="0" w:after="283"/>
              <w:rPr>
                <w:rFonts w:ascii="Times New Roman;Times;Serif" w:hAnsi="Times New Roman;Times;Serif"/>
                <w:b w:val="false"/>
                <w:i w:val="false"/>
                <w:caps/>
                <w:sz w:val="20"/>
              </w:rPr>
            </w:pPr>
            <w:r>
              <w:rPr>
                <w:rFonts w:ascii="Times New Roman;Times;Serif" w:hAnsi="Times New Roman;Times;Serif"/>
                <w:b w:val="false"/>
                <w:i w:val="false"/>
                <w:caps/>
                <w:sz w:val="20"/>
              </w:rPr>
              <w:t>Urigen Pharmaceuticals, Inc.</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249" w:type="dxa"/>
            <w:tcBorders/>
            <w:shd w:fill="auto" w:val="clear"/>
            <w:vAlign w:val="center"/>
          </w:tcPr>
          <w:p>
            <w:pPr>
              <w:pStyle w:val="TableContents"/>
              <w:spacing w:before="0" w:after="283"/>
              <w:rPr>
                <w:caps w:val="false"/>
                <w:smallCaps w:val="false"/>
              </w:rPr>
            </w:pPr>
            <w:r>
              <w:rPr>
                <w:caps w:val="false"/>
                <w:smallCaps w:val="false"/>
              </w:rPr>
              <w:t> </w:t>
            </w:r>
          </w:p>
        </w:tc>
        <w:tc>
          <w:tcPr>
            <w:tcW w:w="2070" w:type="dxa"/>
            <w:tcBorders/>
            <w:shd w:fill="auto" w:val="clear"/>
            <w:vAlign w:val="center"/>
          </w:tcPr>
          <w:p>
            <w:pPr>
              <w:pStyle w:val="TableContents"/>
              <w:spacing w:before="0" w:after="283"/>
              <w:rPr>
                <w:caps w:val="false"/>
                <w:smallCaps w:val="false"/>
              </w:rPr>
            </w:pPr>
            <w:r>
              <w:rPr>
                <w:caps w:val="false"/>
                <w:smallCaps w:val="false"/>
              </w:rPr>
              <w:t> </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249"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70"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Dan Vickery</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249"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0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 Vickery</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249"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249" w:type="dxa"/>
            <w:tcBorders/>
            <w:shd w:fill="auto" w:val="clear"/>
            <w:vAlign w:val="center"/>
          </w:tcPr>
          <w:p>
            <w:pPr>
              <w:pStyle w:val="TableContents"/>
              <w:spacing w:before="0" w:after="283"/>
              <w:rPr>
                <w:caps w:val="false"/>
                <w:smallCaps w:val="false"/>
              </w:rPr>
            </w:pPr>
            <w:r>
              <w:rPr>
                <w:caps w:val="false"/>
                <w:smallCaps w:val="false"/>
              </w:rPr>
              <w:t> </w:t>
            </w:r>
          </w:p>
        </w:tc>
        <w:tc>
          <w:tcPr>
            <w:tcW w:w="2070" w:type="dxa"/>
            <w:tcBorders/>
            <w:shd w:fill="auto" w:val="clear"/>
            <w:vAlign w:val="center"/>
          </w:tcPr>
          <w:p>
            <w:pPr>
              <w:pStyle w:val="TableContents"/>
              <w:spacing w:before="0" w:after="283"/>
              <w:rPr>
                <w:caps w:val="false"/>
                <w:smallCaps w:val="false"/>
              </w:rPr>
            </w:pPr>
            <w:r>
              <w:rPr>
                <w:caps w:val="false"/>
                <w:smallCaps w:val="false"/>
              </w:rPr>
              <w:t> </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319"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IMPRIMIS PHARMACEUTICALS, INC.</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249" w:type="dxa"/>
            <w:tcBorders/>
            <w:shd w:fill="auto" w:val="clear"/>
            <w:vAlign w:val="center"/>
          </w:tcPr>
          <w:p>
            <w:pPr>
              <w:pStyle w:val="TableContents"/>
              <w:spacing w:before="0" w:after="283"/>
              <w:rPr>
                <w:caps w:val="false"/>
                <w:smallCaps w:val="false"/>
              </w:rPr>
            </w:pPr>
            <w:r>
              <w:rPr>
                <w:caps w:val="false"/>
                <w:smallCaps w:val="false"/>
              </w:rPr>
              <w:t> </w:t>
            </w:r>
          </w:p>
        </w:tc>
        <w:tc>
          <w:tcPr>
            <w:tcW w:w="2070" w:type="dxa"/>
            <w:tcBorders/>
            <w:shd w:fill="auto" w:val="clear"/>
            <w:vAlign w:val="center"/>
          </w:tcPr>
          <w:p>
            <w:pPr>
              <w:pStyle w:val="TableContents"/>
              <w:spacing w:before="0" w:after="283"/>
              <w:rPr>
                <w:caps w:val="false"/>
                <w:smallCaps w:val="false"/>
              </w:rPr>
            </w:pPr>
            <w:r>
              <w:rPr>
                <w:caps w:val="false"/>
                <w:smallCaps w:val="false"/>
              </w:rPr>
              <w:t> </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249"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70"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L. Baum</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249"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0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L. Baum</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249"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bl>
    <w:p>
      <w:pPr>
        <w:pStyle w:val="TextBody"/>
        <w:rPr>
          <w:caps w:val="false"/>
          <w:smallCaps w:val="false"/>
        </w:rPr>
      </w:pPr>
      <w:r>
        <w:rPr>
          <w:caps w:val="false"/>
          <w:smallCaps w:val="false"/>
        </w:rPr>
        <w:t> </w:t>
      </w:r>
    </w:p>
    <w:tbl>
      <w:tblPr>
        <w:tblW w:w="2935" w:type="dxa"/>
        <w:jc w:val="left"/>
        <w:tblInd w:w="0" w:type="dxa"/>
        <w:tblCellMar>
          <w:top w:w="0" w:type="dxa"/>
          <w:left w:w="0" w:type="dxa"/>
          <w:bottom w:w="0" w:type="dxa"/>
          <w:right w:w="0" w:type="dxa"/>
        </w:tblCellMar>
      </w:tblPr>
      <w:tblGrid>
        <w:gridCol w:w="560"/>
        <w:gridCol w:w="2300"/>
        <w:gridCol w:w="75"/>
      </w:tblGrid>
      <w:tr>
        <w:trPr/>
        <w:tc>
          <w:tcPr>
            <w:tcW w:w="5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00"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Gary W. Seelhorst</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5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30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Gary W. Seelhorst</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5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30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VP, Corporate Development</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bl>
    <w:p>
      <w:pPr>
        <w:pStyle w:val="TextBody"/>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License Agreement]</w:t>
      </w:r>
    </w:p>
    <w:p>
      <w:pPr>
        <w:pStyle w:val="TextBody"/>
        <w:jc w:val="center"/>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DILIGENCE PLAN</w:t>
      </w:r>
    </w:p>
    <w:p>
      <w:pPr>
        <w:pStyle w:val="TextBody"/>
        <w:jc w:val="center"/>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SUBLICENSES</w:t>
      </w:r>
    </w:p>
    <w:p>
      <w:pPr>
        <w:pStyle w:val="TextBody"/>
        <w:jc w:val="center"/>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LICENSED PATENT RIGHTS</w:t>
      </w:r>
    </w:p>
    <w:p>
      <w:pPr>
        <w:pStyle w:val="TextBody"/>
        <w:jc w:val="center"/>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caps w:val="false"/>
          <w:smallCaps w:val="false"/>
        </w:rPr>
      </w:pPr>
      <w:r>
        <w:rPr>
          <w:caps w:val="false"/>
          <w:smallCaps w:val="false"/>
        </w:rPr>
        <w:t> </w:t>
      </w:r>
      <w:r>
        <w:br w:type="page"/>
      </w:r>
    </w:p>
    <w:p>
      <w:pPr>
        <w:pStyle w:val="TextBody"/>
        <w:rPr>
          <w:caps w:val="false"/>
          <w:smallCaps w:val="false"/>
        </w:rPr>
      </w:pPr>
      <w:bookmarkStart w:id="4" w:name="ex99-1.htm"/>
      <w:bookmarkStart w:id="5" w:name="ksex991"/>
      <w:bookmarkEnd w:id="4"/>
      <w:bookmarkEnd w:id="5"/>
      <w:r>
        <w:rPr>
          <w:caps w:val="false"/>
          <w:smallCaps w:val="false"/>
        </w:rPr>
        <w:t> </w:t>
      </w:r>
    </w:p>
    <w:p>
      <w:pPr>
        <w:pStyle w:val="TextBody"/>
        <w:jc w:val="left"/>
        <w:rPr>
          <w:caps w:val="false"/>
          <w:smallCaps w:val="false"/>
        </w:rPr>
      </w:pPr>
      <w:r>
        <w:rPr>
          <w:caps w:val="false"/>
          <w:smallCaps w:val="false"/>
        </w:rPr>
        <w:drawing>
          <wp:inline distT="0" distB="0" distL="0" distR="0">
            <wp:extent cx="2181225" cy="952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81225" cy="952500"/>
                    </a:xfrm>
                    <a:prstGeom prst="rect">
                      <a:avLst/>
                    </a:prstGeom>
                  </pic:spPr>
                </pic:pic>
              </a:graphicData>
            </a:graphic>
          </wp:inline>
        </w:drawing>
      </w:r>
      <w:r>
        <w:rPr>
          <w:caps w:val="false"/>
          <w:smallCaps w:val="false"/>
        </w:rPr>
        <w:t>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Imprimis Pharmaceuticals Enters into License Agreement</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Patented Urology Formulation</w:t>
      </w:r>
    </w:p>
    <w:p>
      <w:pPr>
        <w:pStyle w:val="TextBody"/>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283"/>
              <w:jc w:val="left"/>
              <w:rPr>
                <w:caps w:val="false"/>
                <w:smallCaps w:val="false"/>
              </w:rPr>
            </w:pPr>
            <w:r>
              <w:rPr>
                <w:caps w:val="false"/>
                <w:smallCaps w:val="false"/>
              </w:rPr>
              <w:t>●</w:t>
            </w:r>
          </w:p>
        </w:tc>
        <w:tc>
          <w:tcPr>
            <w:tcW w:w="1002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Patented formulation of alkalized lidocaine and heparin has been prescribed as a compounded drug for individual patients in different dosages in thousands of insurance reimbursed bladder instillation treatments for interstitial cystitis and painful bladder syndrome (IC/PBS)</w:t>
            </w:r>
          </w:p>
        </w:tc>
      </w:tr>
      <w:tr>
        <w:trPr/>
        <w:tc>
          <w:tcPr>
            <w:tcW w:w="18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002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185" w:type="dxa"/>
            <w:tcBorders/>
            <w:shd w:fill="auto" w:val="clear"/>
            <w:vAlign w:val="center"/>
          </w:tcPr>
          <w:p>
            <w:pPr>
              <w:pStyle w:val="TableContents"/>
              <w:spacing w:before="0" w:after="283"/>
              <w:jc w:val="left"/>
              <w:rPr>
                <w:caps w:val="false"/>
                <w:smallCaps w:val="false"/>
              </w:rPr>
            </w:pPr>
            <w:r>
              <w:rPr>
                <w:caps w:val="false"/>
                <w:smallCaps w:val="false"/>
              </w:rPr>
              <w:t>●</w:t>
            </w:r>
          </w:p>
        </w:tc>
        <w:tc>
          <w:tcPr>
            <w:tcW w:w="1002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Formulation to form the cornerstone of the Imprimis </w:t>
            </w:r>
            <w:r>
              <w:rPr>
                <w:rFonts w:ascii="Times New Roman;Times;Serif" w:hAnsi="Times New Roman;Times;Serif"/>
                <w:b w:val="false"/>
                <w:i/>
                <w:caps w:val="false"/>
                <w:smallCaps w:val="false"/>
                <w:sz w:val="20"/>
              </w:rPr>
              <w:t>Defeat IC</w:t>
            </w:r>
            <w:r>
              <w:rPr>
                <w:rFonts w:ascii="Times New Roman;Times;Serif" w:hAnsi="Times New Roman;Times;Serif"/>
                <w:b w:val="false"/>
                <w:i w:val="false"/>
                <w:caps w:val="false"/>
                <w:smallCaps w:val="false"/>
                <w:sz w:val="20"/>
              </w:rPr>
              <w:t>™ physician and patient education campaign, which is expected to launch in early 2015</w:t>
            </w:r>
          </w:p>
        </w:tc>
      </w:tr>
    </w:tbl>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DIEGO, October 29, 2014 — Imprimis Pharmaceuticals, Inc. (Nasdaq: IMMY) today announced that it has entered into a license agreement, under which Imprimis acquired the US rights to commercially compound a patented combination of alkalized lidocaine and heparin from Urigen Pharmaceuticals, Inc. Physicians in the US and abroad have been prescribing and instilling this compounded drug formulation in different dosages to treat individual patients suffering from interstitial cystitis, also known as painful bladder syndrome (IC/PBS). Compounded alkalized lidocaine and heparin instillation procedures have been reimbursable by private healthcare providers and to Medicare beneficiaries under CPT Code 51700.</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Urigen’s patented formulation first became available in 2011 as a compounded drug. Since then, there have been more than 125,000 instillation procedures completed in the US. In 2014, the number of prescriptions written for individual patients for Urigen’s compounded alkalized lidocaine and heparin formulation is estimated to exceed 110,000, generating approximately $6.5M in annual prescription sales. To date, sales of this formulation have been generated without a dedicated national sales and marketing strategy.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According to the </w:t>
      </w:r>
      <w:r>
        <w:rPr>
          <w:rFonts w:ascii="Times New Roman;Times;Serif" w:hAnsi="Times New Roman;Times;Serif"/>
          <w:b w:val="false"/>
          <w:i w:val="false"/>
          <w:caps w:val="false"/>
          <w:smallCaps w:val="false"/>
          <w:sz w:val="20"/>
          <w:u w:val="single"/>
        </w:rPr>
        <w:t>RAND IC Epidemiology Study</w:t>
      </w:r>
      <w:r>
        <w:rPr>
          <w:rFonts w:ascii="Times New Roman;Times;Serif" w:hAnsi="Times New Roman;Times;Serif"/>
          <w:b w:val="false"/>
          <w:i w:val="false"/>
          <w:caps w:val="false"/>
          <w:smallCaps w:val="false"/>
          <w:sz w:val="20"/>
        </w:rPr>
        <w:t xml:space="preserve"> (2009), the largest IC epidemiology study ever undertaken, and the </w:t>
      </w:r>
      <w:r>
        <w:rPr>
          <w:rFonts w:ascii="Times New Roman;Times;Serif" w:hAnsi="Times New Roman;Times;Serif"/>
          <w:b w:val="false"/>
          <w:i w:val="false"/>
          <w:caps w:val="false"/>
          <w:smallCaps w:val="false"/>
          <w:sz w:val="20"/>
          <w:u w:val="single"/>
        </w:rPr>
        <w:t>BACH</w:t>
      </w:r>
      <w:r>
        <w:rPr>
          <w:rFonts w:ascii="Times New Roman;Times;Serif" w:hAnsi="Times New Roman;Times;Serif"/>
          <w:b w:val="false"/>
          <w:i w:val="false"/>
          <w:caps w:val="false"/>
          <w:smallCaps w:val="false"/>
          <w:sz w:val="20"/>
        </w:rPr>
        <w:t xml:space="preserve"> study (2009), the total addressable market for this debilitating chronic disease is estimated to be more than ten million women and men in the US.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agreement, Imprimis shall pay Urigen tiered royalties based on net product sales with a minimum annual payment per unit for each prescription dispensed. The license does not require any cash payment by Imprimis upon execution. The license is non-exclusive for a period of six months, at which time Imprimis has the sole right to convert to an exclusive license. Once converted to an exclusive license, Imprimis is obligated to make certain annual minimum payments. The license is for the US market only and covers certain US patent rights that extend through 2026. The agreement contains provisions for the parties to remain long-term partners throughout the product lifecycle.</w:t>
      </w:r>
    </w:p>
    <w:p>
      <w:pPr>
        <w:pStyle w:val="TextBody"/>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caps w:val="false"/>
          <w:smallCaps w:val="false"/>
        </w:rPr>
      </w:pPr>
      <w:r>
        <w:rPr>
          <w:caps w:val="false"/>
          <w:smallCaps w:val="false"/>
        </w:rPr>
        <w:t>  </w:t>
      </w:r>
    </w:p>
    <w:p>
      <w:pPr>
        <w:pStyle w:val="TextBody"/>
        <w:jc w:val="left"/>
        <w:rPr>
          <w:caps w:val="false"/>
          <w:smallCaps w:val="false"/>
        </w:rPr>
      </w:pPr>
      <w:r>
        <w:rPr>
          <w:caps w:val="false"/>
          <w:smallCaps w:val="false"/>
        </w:rPr>
        <w:drawing>
          <wp:inline distT="0" distB="0" distL="0" distR="0">
            <wp:extent cx="2181225" cy="952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181225" cy="952500"/>
                    </a:xfrm>
                    <a:prstGeom prst="rect">
                      <a:avLst/>
                    </a:prstGeom>
                  </pic:spPr>
                </pic:pic>
              </a:graphicData>
            </a:graphic>
          </wp:inline>
        </w:drawing>
      </w:r>
      <w:r>
        <w:rPr>
          <w:caps w:val="false"/>
          <w:smallCaps w:val="false"/>
        </w:rPr>
        <w:t> </w:t>
      </w:r>
    </w:p>
    <w:p>
      <w:pPr>
        <w:pStyle w:val="TextBody"/>
        <w:jc w:val="center"/>
        <w:rPr>
          <w:caps w:val="false"/>
          <w:smallCaps w:val="false"/>
        </w:rPr>
      </w:pPr>
      <w:r>
        <w:rPr>
          <w:caps w:val="false"/>
          <w:smallCaps w:val="false"/>
        </w:rPr>
        <w:t> </w:t>
      </w:r>
    </w:p>
    <w:p>
      <w:pPr>
        <w:pStyle w:val="TextBody"/>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The acquisition of the license to compound Urigen’s alkalized lidocaine and heparin formulation is an important milestone for our company and a win for the millions of women and men in the US suffering from IC/PBS, a chronic and debilitating disease,” stated Mark L. Baum, CEO of Imprimis. “We intend to build a dedicated national education and awareness program around IC/PBS and this important patented formulation. Similar to the </w:t>
      </w:r>
      <w:r>
        <w:rPr>
          <w:rFonts w:ascii="Times New Roman;Times;Serif" w:hAnsi="Times New Roman;Times;Serif"/>
          <w:b w:val="false"/>
          <w:i/>
          <w:caps w:val="false"/>
          <w:smallCaps w:val="false"/>
          <w:sz w:val="20"/>
        </w:rPr>
        <w:t>Go Dropless</w:t>
      </w:r>
      <w:r>
        <w:rPr>
          <w:rFonts w:ascii="Times New Roman;Times;Serif" w:hAnsi="Times New Roman;Times;Serif"/>
          <w:b w:val="false"/>
          <w:i w:val="false"/>
          <w:caps w:val="false"/>
          <w:smallCaps w:val="false"/>
          <w:sz w:val="20"/>
        </w:rPr>
        <w:t xml:space="preserve">™ campaign we launched earlier this year for our Dropless Cataract Surgery™ program in ophthalmology, we intend to create national awareness for this urology formulation through a </w:t>
      </w:r>
      <w:r>
        <w:rPr>
          <w:rFonts w:ascii="Times New Roman;Times;Serif" w:hAnsi="Times New Roman;Times;Serif"/>
          <w:b w:val="false"/>
          <w:i/>
          <w:caps w:val="false"/>
          <w:smallCaps w:val="false"/>
          <w:sz w:val="20"/>
        </w:rPr>
        <w:t>Defeat IC</w:t>
      </w:r>
      <w:r>
        <w:rPr>
          <w:rFonts w:ascii="Times New Roman;Times;Serif" w:hAnsi="Times New Roman;Times;Serif"/>
          <w:b w:val="false"/>
          <w:i w:val="false"/>
          <w:caps w:val="false"/>
          <w:smallCaps w:val="false"/>
          <w:sz w:val="20"/>
        </w:rPr>
        <w:t xml:space="preserve">™ campaign, which we expect to begin in early 2015. The </w:t>
      </w:r>
      <w:r>
        <w:rPr>
          <w:rFonts w:ascii="Times New Roman;Times;Serif" w:hAnsi="Times New Roman;Times;Serif"/>
          <w:b w:val="false"/>
          <w:i/>
          <w:caps w:val="false"/>
          <w:smallCaps w:val="false"/>
          <w:sz w:val="20"/>
        </w:rPr>
        <w:t>Defeat IC</w:t>
      </w:r>
      <w:r>
        <w:rPr>
          <w:rFonts w:ascii="Times New Roman;Times;Serif" w:hAnsi="Times New Roman;Times;Serif"/>
          <w:b w:val="false"/>
          <w:i w:val="false"/>
          <w:caps w:val="false"/>
          <w:smallCaps w:val="false"/>
          <w:sz w:val="20"/>
        </w:rPr>
        <w:t xml:space="preserve">™ campaign will be aimed at physicians who treat the millions of patients in the US who present with IC/PBS symptoms. We appreciate the work that has been done thus far with the Urigen team to ready ourselves for the launch of our </w:t>
      </w:r>
      <w:r>
        <w:rPr>
          <w:rFonts w:ascii="Times New Roman;Times;Serif" w:hAnsi="Times New Roman;Times;Serif"/>
          <w:b w:val="false"/>
          <w:i/>
          <w:caps w:val="false"/>
          <w:smallCaps w:val="false"/>
          <w:sz w:val="20"/>
        </w:rPr>
        <w:t>Defeat IC</w:t>
      </w:r>
      <w:r>
        <w:rPr>
          <w:rFonts w:ascii="Times New Roman;Times;Serif" w:hAnsi="Times New Roman;Times;Serif"/>
          <w:b w:val="false"/>
          <w:i w:val="false"/>
          <w:caps w:val="false"/>
          <w:smallCaps w:val="false"/>
          <w:sz w:val="20"/>
        </w:rPr>
        <w:t>™ campaign, and we look forward to continued collaboration with the Urigen team.”</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Compounded alkalized lidocaine and heparin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may only be prescribed pursuant to a physician prescription for an individually identified patient consistent with federal and state laws governing compounded drug formulations.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INTERSTITIAL CYSTITIS / PAINFUL BLADDER SYNDROME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IC/PBS is a chronic disease state characterized by bladder pressure, bladder pain, and in some patients, lesions in the bladder, commonly referred to as Hunner’s lesions. Patients suffer from increased urinary urgency and frequency. IC/PBS symptoms are often misdiagnosed as urinary tract infections in women and chronic prostatitis in men, or other medical conditions. Patients are commonly prescribed antibiotics for the IC/PBS symptoms which often do not address the condition.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CLINICAL STUDY SUMMARY OF ALKALIZED LIDOCAINE AND HEPARIN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Two published journal articles describe the safety and efficacy of Urigen’s alkalized lidocaine and heparin instillation in patients with IC/PBS. The article, Parsons, et al. 2012. </w:t>
      </w:r>
      <w:r>
        <w:rPr>
          <w:rFonts w:ascii="Times New Roman;Times;Serif" w:hAnsi="Times New Roman;Times;Serif"/>
          <w:b w:val="false"/>
          <w:i/>
          <w:caps w:val="false"/>
          <w:smallCaps w:val="false"/>
          <w:sz w:val="20"/>
          <w:u w:val="single"/>
        </w:rPr>
        <w:t>International Society for Sexual Medicine</w:t>
      </w:r>
      <w:r>
        <w:rPr>
          <w:rFonts w:ascii="Times New Roman;Times;Serif" w:hAnsi="Times New Roman;Times;Serif"/>
          <w:b w:val="false"/>
          <w:i w:val="false"/>
          <w:caps w:val="false"/>
          <w:smallCaps w:val="false"/>
          <w:sz w:val="20"/>
        </w:rPr>
        <w:t xml:space="preserve">, was a multicenter prospective, double-blind, placebo-controlled trial, and showed a statistically significant improvement in the reduction of pain (p=0.0363) and micturition urgency (p=0.0328) in patients with IC/PBS. The second published article, Parsons, 2005. </w:t>
      </w:r>
      <w:r>
        <w:rPr>
          <w:rFonts w:ascii="Times New Roman;Times;Serif" w:hAnsi="Times New Roman;Times;Serif"/>
          <w:b w:val="false"/>
          <w:i/>
          <w:caps w:val="false"/>
          <w:smallCaps w:val="false"/>
          <w:sz w:val="20"/>
          <w:u w:val="single"/>
        </w:rPr>
        <w:t>Journal of Urology</w:t>
      </w:r>
      <w:r>
        <w:rPr>
          <w:rFonts w:ascii="Times New Roman;Times;Serif" w:hAnsi="Times New Roman;Times;Serif"/>
          <w:b w:val="false"/>
          <w:i w:val="false"/>
          <w:caps w:val="false"/>
          <w:smallCaps w:val="false"/>
          <w:sz w:val="20"/>
        </w:rPr>
        <w:t>, studied the effect of two instillations (Group 1 = 1% Lidocaine; Group 2 = 2% Lidocaine) in IC/PBS patients in relieving urgency and frequency of micturition as well as pain. All patients in the study saw marked improvement in all three symptoms with a statistically significant response rate in Group 2 over Group 1.</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IMPRIMIS PHARMACEUTICALS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San Diego-based Imprimis Pharmaceuticals, Inc. (NASDAQ: IMMY) is a specialty pharmaceutical company dedicated to delivering high quality and innovative medicines to physicians and patients at accessible prices. Imprimis is pioneering a new commercial pathway using compounding pharmacies for the formulation and distribution of its proprietary drug therapies, which include formulations in ophthalmology and urology. For more information about Imprimis, please visit the company’s corporate website at </w:t>
      </w:r>
      <w:r>
        <w:rPr>
          <w:rFonts w:ascii="Times New Roman;Times;Serif" w:hAnsi="Times New Roman;Times;Serif"/>
          <w:b w:val="false"/>
          <w:i w:val="false"/>
          <w:caps w:val="false"/>
          <w:smallCaps w:val="false"/>
          <w:sz w:val="20"/>
          <w:u w:val="single"/>
        </w:rPr>
        <w:t>www.ImprimisPharma.com</w:t>
      </w:r>
      <w:r>
        <w:rPr>
          <w:rFonts w:ascii="Times New Roman;Times;Serif" w:hAnsi="Times New Roman;Times;Serif"/>
          <w:b w:val="false"/>
          <w:i w:val="false"/>
          <w:caps w:val="false"/>
          <w:smallCaps w:val="false"/>
          <w:sz w:val="20"/>
        </w:rPr>
        <w:t xml:space="preserve">; ophthalmology business website at </w:t>
      </w:r>
      <w:r>
        <w:rPr>
          <w:rFonts w:ascii="Times New Roman;Times;Serif" w:hAnsi="Times New Roman;Times;Serif"/>
          <w:b w:val="false"/>
          <w:i w:val="false"/>
          <w:caps w:val="false"/>
          <w:smallCaps w:val="false"/>
          <w:sz w:val="20"/>
          <w:u w:val="single"/>
        </w:rPr>
        <w:t>www.GoDropless.com</w:t>
      </w:r>
      <w:r>
        <w:rPr>
          <w:rFonts w:ascii="Times New Roman;Times;Serif" w:hAnsi="Times New Roman;Times;Serif"/>
          <w:b w:val="false"/>
          <w:i w:val="false"/>
          <w:caps w:val="false"/>
          <w:smallCaps w:val="false"/>
          <w:sz w:val="20"/>
        </w:rPr>
        <w:t xml:space="preserve">; and urology business websites at </w:t>
      </w:r>
      <w:r>
        <w:rPr>
          <w:rFonts w:ascii="Times New Roman;Times;Serif" w:hAnsi="Times New Roman;Times;Serif"/>
          <w:b w:val="false"/>
          <w:i w:val="false"/>
          <w:caps w:val="false"/>
          <w:smallCaps w:val="false"/>
          <w:sz w:val="20"/>
          <w:u w:val="single"/>
        </w:rPr>
        <w:t>www.DefeatIC.com</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www.PainfulBladderSyndrome.com</w:t>
      </w:r>
      <w:r>
        <w:rPr>
          <w:rFonts w:ascii="Times New Roman;Times;Serif" w:hAnsi="Times New Roman;Times;Serif"/>
          <w:b w:val="false"/>
          <w:i w:val="false"/>
          <w:caps w:val="false"/>
          <w:smallCaps w:val="false"/>
          <w:sz w:val="20"/>
        </w:rPr>
        <w:t>.</w:t>
      </w:r>
    </w:p>
    <w:p>
      <w:pPr>
        <w:pStyle w:val="TextBody"/>
        <w:ind w:left="0" w:right="0" w:firstLine="72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caps w:val="false"/>
          <w:smallCaps w:val="false"/>
        </w:rPr>
      </w:pPr>
      <w:r>
        <w:rPr>
          <w:caps w:val="false"/>
          <w:smallCaps w:val="false"/>
        </w:rPr>
        <w:t>  </w:t>
      </w:r>
    </w:p>
    <w:p>
      <w:pPr>
        <w:pStyle w:val="TextBody"/>
        <w:jc w:val="left"/>
        <w:rPr>
          <w:caps w:val="false"/>
          <w:smallCaps w:val="false"/>
        </w:rPr>
      </w:pPr>
      <w:r>
        <w:rPr>
          <w:caps w:val="false"/>
          <w:smallCaps w:val="false"/>
        </w:rPr>
        <w:drawing>
          <wp:inline distT="0" distB="0" distL="0" distR="0">
            <wp:extent cx="2181225" cy="952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181225" cy="952500"/>
                    </a:xfrm>
                    <a:prstGeom prst="rect">
                      <a:avLst/>
                    </a:prstGeom>
                  </pic:spPr>
                </pic:pic>
              </a:graphicData>
            </a:graphic>
          </wp:inline>
        </w:drawing>
      </w:r>
      <w:r>
        <w:rPr>
          <w:caps w:val="false"/>
          <w:smallCaps w:val="false"/>
        </w:rPr>
        <w:t> </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SAFE HARBOR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risks and uncertainties related to Imprimis’ ability to make commercially available its compounded formulations and technologies in a timely manner or at all; physician interest in prescribing its formulations; risks related to its compounding pharmacy operations; its ability to enter into other strategic alliances, including arrangements with pharmacies, physicians and healthcare organizations for the development and distribution of its formulations; its ability to obtain intellectual property protection for its assets; its ability to accurately estimate its expenses and cash burn, and raise additional funds when necessary; risks related to research and development activities; the projected size of the potential market for its technologies and formulations;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Imprimis’ filings with the Securities and Exchange Commission, including its Annual Report on Form 10-K and its Quarterly Reports on Form 10-Q. Such documents may be read free of charge on the SEC’s web 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Undue reliance should not be placed on forward-looking statements, which speak only as of the date they are made. Except as required by law, Imprimis undertakes no obligation to update any forward looking statements to reflect new information, events or circumstances after the date they are made, or to reflect the occurrence of unanticipated events.</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jc w:val="center"/>
        <w:rPr>
          <w:caps w:val="false"/>
          <w:smallCaps w:val="false"/>
        </w:rPr>
      </w:pPr>
      <w:r>
        <w:rPr>
          <w:caps w:val="false"/>
          <w:smallCaps w:val="false"/>
        </w:rPr>
        <w:t> </w:t>
      </w:r>
    </w:p>
    <w:tbl>
      <w:tblPr>
        <w:tblW w:w="2975" w:type="dxa"/>
        <w:jc w:val="left"/>
        <w:tblInd w:w="0" w:type="dxa"/>
        <w:tblCellMar>
          <w:top w:w="0" w:type="dxa"/>
          <w:left w:w="0" w:type="dxa"/>
          <w:bottom w:w="0" w:type="dxa"/>
          <w:right w:w="0" w:type="dxa"/>
        </w:tblCellMar>
      </w:tblPr>
      <w:tblGrid>
        <w:gridCol w:w="2900"/>
        <w:gridCol w:w="75"/>
      </w:tblGrid>
      <w:tr>
        <w:trPr/>
        <w:tc>
          <w:tcPr>
            <w:tcW w:w="2900" w:type="dxa"/>
            <w:tcBorders/>
            <w:shd w:fill="auto" w:val="clear"/>
            <w:vAlign w:val="center"/>
          </w:tcPr>
          <w:p>
            <w:pPr>
              <w:pStyle w:val="TableContents"/>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Imprimis Investor contact:</w:t>
            </w:r>
          </w:p>
        </w:tc>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290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Bonnie Ortega</w:t>
            </w:r>
          </w:p>
        </w:tc>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290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Imprimis Pharmaceuticals</w:t>
            </w:r>
          </w:p>
        </w:tc>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290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bortega@imprimispharma.com</w:t>
            </w:r>
          </w:p>
        </w:tc>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290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858.704.4587</w:t>
            </w:r>
          </w:p>
        </w:tc>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290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2900" w:type="dxa"/>
            <w:tcBorders/>
            <w:shd w:fill="auto" w:val="clear"/>
            <w:vAlign w:val="center"/>
          </w:tcPr>
          <w:p>
            <w:pPr>
              <w:pStyle w:val="TableContents"/>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Imprimis Media contact:</w:t>
            </w:r>
          </w:p>
        </w:tc>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290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Amy Phillips</w:t>
            </w:r>
          </w:p>
        </w:tc>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290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Pascale Communications, LLC</w:t>
            </w:r>
          </w:p>
        </w:tc>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290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amy@pascalecommunications.com</w:t>
            </w:r>
          </w:p>
        </w:tc>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290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412-327-9499</w:t>
            </w:r>
          </w:p>
        </w:tc>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r>
    </w:tbl>
    <w:p>
      <w:pPr>
        <w:pStyle w:val="TextBody"/>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spacing w:before="0" w:after="283"/>
        <w:jc w:val="both"/>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9891</Words>
  <CharactersWithSpaces>64173</CharactersWithSpaces>
  <Paragraphs>590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 10.1</dc:title>
</cp:coreProperties>
</file>