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Eton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29772L 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Nashville, Tennessee 37215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Andrew R. Boll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(615) 733-4731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6"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8"/>
          <w:szCs w:val="18"/>
          <w:color w:val="auto"/>
        </w:rPr>
        <w:t>CUSIP No.</w:t>
        <w:tab/>
        <w:t>29772L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234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234815"/>
                    </a:xfrm>
                    <a:prstGeom prst="rect">
                      <a:avLst/>
                    </a:prstGeom>
                    <a:noFill/>
                  </pic:spPr>
                </pic:pic>
              </a:graphicData>
            </a:graphic>
          </wp:anchor>
        </w:drawing>
      </w:r>
    </w:p>
    <w:p>
      <w:pPr>
        <w:spacing w:after="0" w:line="259" w:lineRule="exact"/>
        <w:rPr>
          <w:sz w:val="20"/>
          <w:szCs w:val="20"/>
          <w:color w:val="auto"/>
        </w:rPr>
      </w:pPr>
    </w:p>
    <w:p>
      <w:pPr>
        <w:ind w:left="720" w:right="7740" w:hanging="685"/>
        <w:spacing w:after="0" w:line="263" w:lineRule="auto"/>
        <w:tabs>
          <w:tab w:leader="none" w:pos="7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 Harrow, Inc.</w:t>
      </w:r>
    </w:p>
    <w:p>
      <w:pPr>
        <w:spacing w:after="0" w:line="5" w:lineRule="exact"/>
        <w:rPr>
          <w:sz w:val="20"/>
          <w:szCs w:val="20"/>
          <w:color w:val="auto"/>
        </w:rPr>
      </w:pPr>
    </w:p>
    <w:p>
      <w:pPr>
        <w:ind w:left="720" w:hanging="685"/>
        <w:spacing w:after="0"/>
        <w:tabs>
          <w:tab w:leader="none" w:pos="7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b w:val="1"/>
          <w:bCs w:val="1"/>
          <w:color w:val="auto"/>
        </w:rPr>
      </w:pPr>
    </w:p>
    <w:p>
      <w:pPr>
        <w:ind w:left="1320" w:hanging="250"/>
        <w:spacing w:after="0" w:line="207" w:lineRule="exact"/>
        <w:tabs>
          <w:tab w:leader="none" w:pos="13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320" w:hanging="250"/>
        <w:spacing w:after="0" w:line="207" w:lineRule="exact"/>
        <w:tabs>
          <w:tab w:leader="none" w:pos="13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5" w:lineRule="exact"/>
        <w:rPr>
          <w:sz w:val="20"/>
          <w:szCs w:val="20"/>
          <w:color w:val="auto"/>
        </w:rPr>
      </w:pPr>
    </w:p>
    <w:p>
      <w:pPr>
        <w:ind w:left="720" w:hanging="685"/>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3" w:lineRule="exact"/>
        <w:rPr>
          <w:sz w:val="20"/>
          <w:szCs w:val="20"/>
          <w:color w:val="auto"/>
        </w:rPr>
      </w:pPr>
    </w:p>
    <w:p>
      <w:pPr>
        <w:ind w:left="720" w:right="7600" w:hanging="685"/>
        <w:spacing w:after="0" w:line="263" w:lineRule="auto"/>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 N/A</w:t>
      </w:r>
    </w:p>
    <w:p>
      <w:pPr>
        <w:spacing w:after="0" w:line="5" w:lineRule="exact"/>
        <w:rPr>
          <w:sz w:val="20"/>
          <w:szCs w:val="20"/>
          <w:color w:val="auto"/>
        </w:rPr>
      </w:pPr>
    </w:p>
    <w:p>
      <w:pPr>
        <w:ind w:left="720" w:hanging="685"/>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b w:val="1"/>
          <w:bCs w:val="1"/>
          <w:color w:val="auto"/>
        </w:rPr>
      </w:pPr>
    </w:p>
    <w:p>
      <w:pPr>
        <w:ind w:left="7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69" w:lineRule="exact"/>
        <w:rPr>
          <w:sz w:val="20"/>
          <w:szCs w:val="20"/>
          <w:color w:val="auto"/>
        </w:rPr>
      </w:pPr>
    </w:p>
    <w:p>
      <w:pPr>
        <w:ind w:left="720" w:right="6860" w:hanging="685"/>
        <w:spacing w:after="0" w:line="259" w:lineRule="auto"/>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194"/>
        </w:trPr>
        <w:tc>
          <w:tcPr>
            <w:tcW w:w="1360" w:type="dxa"/>
            <w:vAlign w:val="bottom"/>
            <w:tcBorders>
              <w:top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top w:val="single" w:sz="8" w:color="auto"/>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7</w:t>
            </w:r>
          </w:p>
        </w:tc>
        <w:tc>
          <w:tcPr>
            <w:tcW w:w="92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7"/>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68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36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BENEFICIALLY</w:t>
            </w:r>
          </w:p>
        </w:tc>
        <w:tc>
          <w:tcPr>
            <w:tcW w:w="68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9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41"/>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20"/>
                <w:szCs w:val="20"/>
                <w:color w:val="auto"/>
              </w:rPr>
            </w:pPr>
          </w:p>
        </w:tc>
        <w:tc>
          <w:tcPr>
            <w:tcW w:w="9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4"/>
        </w:trPr>
        <w:tc>
          <w:tcPr>
            <w:tcW w:w="136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EACH</w:t>
            </w:r>
          </w:p>
        </w:tc>
        <w:tc>
          <w:tcPr>
            <w:tcW w:w="68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9</w:t>
            </w:r>
          </w:p>
        </w:tc>
        <w:tc>
          <w:tcPr>
            <w:tcW w:w="92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9"/>
        </w:trPr>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680" w:type="dxa"/>
            <w:vAlign w:val="bottom"/>
            <w:tcBorders>
              <w:bottom w:val="single" w:sz="8" w:color="auto"/>
              <w:right w:val="single" w:sz="8" w:color="auto"/>
            </w:tcBorders>
          </w:tcPr>
          <w:p>
            <w:pPr>
              <w:spacing w:after="0"/>
              <w:rPr>
                <w:sz w:val="3"/>
                <w:szCs w:val="3"/>
                <w:color w:val="auto"/>
              </w:rPr>
            </w:pPr>
          </w:p>
        </w:tc>
        <w:tc>
          <w:tcPr>
            <w:tcW w:w="9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36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10</w:t>
            </w:r>
          </w:p>
        </w:tc>
        <w:tc>
          <w:tcPr>
            <w:tcW w:w="920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77"/>
        </w:trPr>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Borders>
              <w:bottom w:val="single" w:sz="8" w:color="auto"/>
              <w:right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ind w:left="720" w:right="3980" w:hanging="685"/>
        <w:spacing w:after="0" w:line="253" w:lineRule="auto"/>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0</w:t>
      </w:r>
    </w:p>
    <w:p>
      <w:pPr>
        <w:spacing w:after="0" w:line="4" w:lineRule="exact"/>
        <w:rPr>
          <w:rFonts w:ascii="Times New Roman" w:cs="Times New Roman" w:eastAsia="Times New Roman" w:hAnsi="Times New Roman"/>
          <w:sz w:val="18"/>
          <w:szCs w:val="18"/>
          <w:b w:val="1"/>
          <w:bCs w:val="1"/>
          <w:color w:val="auto"/>
        </w:rPr>
      </w:pPr>
    </w:p>
    <w:p>
      <w:pPr>
        <w:ind w:left="720" w:hanging="685"/>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2" w:lineRule="exact"/>
        <w:rPr>
          <w:rFonts w:ascii="Times New Roman" w:cs="Times New Roman" w:eastAsia="Times New Roman" w:hAnsi="Times New Roman"/>
          <w:sz w:val="18"/>
          <w:szCs w:val="18"/>
          <w:b w:val="1"/>
          <w:bCs w:val="1"/>
          <w:color w:val="auto"/>
        </w:rPr>
      </w:pPr>
    </w:p>
    <w:p>
      <w:pPr>
        <w:ind w:left="7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68" w:lineRule="exact"/>
        <w:rPr>
          <w:rFonts w:ascii="Times New Roman" w:cs="Times New Roman" w:eastAsia="Times New Roman" w:hAnsi="Times New Roman"/>
          <w:sz w:val="18"/>
          <w:szCs w:val="18"/>
          <w:b w:val="1"/>
          <w:bCs w:val="1"/>
          <w:color w:val="auto"/>
        </w:rPr>
      </w:pPr>
    </w:p>
    <w:p>
      <w:pPr>
        <w:ind w:left="720" w:right="5380" w:hanging="685"/>
        <w:spacing w:after="0" w:line="252" w:lineRule="auto"/>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0.0%</w:t>
      </w:r>
    </w:p>
    <w:p>
      <w:pPr>
        <w:spacing w:after="0" w:line="4" w:lineRule="exact"/>
        <w:rPr>
          <w:rFonts w:ascii="Times New Roman" w:cs="Times New Roman" w:eastAsia="Times New Roman" w:hAnsi="Times New Roman"/>
          <w:sz w:val="18"/>
          <w:szCs w:val="18"/>
          <w:b w:val="1"/>
          <w:bCs w:val="1"/>
          <w:color w:val="auto"/>
        </w:rPr>
      </w:pPr>
    </w:p>
    <w:p>
      <w:pPr>
        <w:ind w:left="720" w:hanging="685"/>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w:t>
      </w:r>
      <w:r>
        <w:rPr>
          <w:rFonts w:ascii="Times New Roman" w:cs="Times New Roman" w:eastAsia="Times New Roman" w:hAnsi="Times New Roman"/>
          <w:sz w:val="18"/>
          <w:szCs w:val="18"/>
          <w:u w:val="single" w:color="auto"/>
          <w:color w:val="auto"/>
        </w:rPr>
        <w:t>Final Amendment</w:t>
      </w:r>
      <w:r>
        <w:rPr>
          <w:rFonts w:ascii="Times New Roman" w:cs="Times New Roman" w:eastAsia="Times New Roman" w:hAnsi="Times New Roman"/>
          <w:sz w:val="18"/>
          <w:szCs w:val="18"/>
          <w:color w:val="auto"/>
        </w:rPr>
        <w:t>”) amends and supplements the statement on Schedule 13D filed with the Securities and Exchange Commission on November 23, 2018, as amended by Amendment No. 1 to Schedule 13D filed by the Reporting Person with the Securities and Exchange Commission on January 28, 2022 (the “</w:t>
      </w:r>
      <w:r>
        <w:rPr>
          <w:rFonts w:ascii="Times New Roman" w:cs="Times New Roman" w:eastAsia="Times New Roman" w:hAnsi="Times New Roman"/>
          <w:sz w:val="18"/>
          <w:szCs w:val="18"/>
          <w:u w:val="single" w:color="auto"/>
          <w:color w:val="auto"/>
        </w:rPr>
        <w:t>Amended Schedule 13D</w:t>
      </w:r>
      <w:r>
        <w:rPr>
          <w:rFonts w:ascii="Times New Roman" w:cs="Times New Roman" w:eastAsia="Times New Roman" w:hAnsi="Times New Roman"/>
          <w:sz w:val="18"/>
          <w:szCs w:val="18"/>
          <w:color w:val="auto"/>
        </w:rPr>
        <w:t>”). Capitalized terms used but not defined in this Final Amendment shall have the meanings set forth in the Amended Schedule 13D. Except as specifically amended by this Final Amendment, the Amended Schedule 13D is unchanged.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 of the Amended Schedule 13D is hereby amended and restated to read as follows:</w:t>
      </w:r>
    </w:p>
    <w:p>
      <w:pPr>
        <w:spacing w:after="0" w:line="225" w:lineRule="exact"/>
        <w:rPr>
          <w:sz w:val="20"/>
          <w:szCs w:val="20"/>
          <w:color w:val="auto"/>
        </w:rPr>
      </w:pPr>
    </w:p>
    <w:p>
      <w:pPr>
        <w:ind w:left="900" w:hanging="244"/>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13D is being filed by Harrow, Inc. (formerly known as Harrow Health, Inc. and Imprimis Pharmaceuticals, Inc.) (the “Reporting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Amended Schedule 13D is amended by adding the following:</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April 26, 2024, the Reporting Person sold all 1,982,000 shares of Common Stock of the Issuer previously owned by the Reporting Person in a block trade at a gross price of $3.00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Amended Schedule 13D is amended and restated to read as follows:</w:t>
      </w:r>
    </w:p>
    <w:p>
      <w:pPr>
        <w:spacing w:after="0" w:line="225" w:lineRule="exact"/>
        <w:rPr>
          <w:sz w:val="20"/>
          <w:szCs w:val="20"/>
          <w:color w:val="auto"/>
        </w:rPr>
      </w:pPr>
    </w:p>
    <w:p>
      <w:pPr>
        <w:ind w:firstLine="8"/>
        <w:spacing w:after="0" w:line="282" w:lineRule="auto"/>
        <w:tabs>
          <w:tab w:leader="none" w:pos="2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As of the date hereof, the Reporting Person does not beneficially own any shares of Common Stock, nor does the Reporting Person have or share the power to vote or to direct the vote, or the power to dispose or direct the disposition of, any shares of Common Stock.</w:t>
      </w:r>
    </w:p>
    <w:p>
      <w:pPr>
        <w:spacing w:after="0" w:line="162"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the Reporting Person has not effected any transactions in Common Stock of the Registrant during the past 60 days.</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right to receive and the power to direct the proceeds from the sale of the Common Stock covered by this Statement on Schedule 13D.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26, 2024, following the transaction reported herein, the Reporting Person ceased to be the beneficial owner of more than five percent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660"/>
        <w:spacing w:after="0"/>
        <w:tabs>
          <w:tab w:leader="none" w:pos="5620" w:val="left"/>
        </w:tabs>
        <w:rPr>
          <w:sz w:val="20"/>
          <w:szCs w:val="20"/>
          <w:color w:val="auto"/>
        </w:rPr>
      </w:pPr>
      <w:r>
        <w:rPr>
          <w:rFonts w:ascii="Times New Roman" w:cs="Times New Roman" w:eastAsia="Times New Roman" w:hAnsi="Times New Roman"/>
          <w:sz w:val="18"/>
          <w:szCs w:val="18"/>
          <w:color w:val="auto"/>
        </w:rPr>
        <w:t>April 30, 2024</w:t>
      </w:r>
      <w:r>
        <w:rPr>
          <w:sz w:val="20"/>
          <w:szCs w:val="20"/>
          <w:color w:val="auto"/>
        </w:rPr>
        <w:tab/>
      </w:r>
      <w:r>
        <w:rPr>
          <w:rFonts w:ascii="Times New Roman" w:cs="Times New Roman" w:eastAsia="Times New Roman" w:hAnsi="Times New Roman"/>
          <w:sz w:val="17"/>
          <w:szCs w:val="17"/>
          <w:color w:val="auto"/>
        </w:rPr>
        <w:t>Harrow,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lvl w:ilvl="1">
      <w:lvlJc w:val="left"/>
      <w:lvlText w:val="(%2)"/>
      <w:numFmt w:val="lowerLetter"/>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1"/>
      <w:numFmt w:val="decimal"/>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2024-04-30T06:09:53Z</dcterms:created>
  <dcterms:modified xsi:type="dcterms:W3CDTF">2024-04-30T06:09:53Z</dcterms:modified>
</cp:coreProperties>
</file>