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color w:val="000000"/>
        </w:rPr>
      </w:pPr>
      <w:bookmarkStart w:id="0" w:name="form10-q.htm"/>
      <w:bookmarkStart w:id="1" w:name="ksform10q"/>
      <w:bookmarkEnd w:id="0"/>
      <w:bookmarkEnd w:id="1"/>
      <w:r>
        <w:rPr>
          <w:caps w:val="false"/>
          <w:smallCaps w:val="false"/>
          <w:color w:val="000000"/>
        </w:rPr>
        <w:t> </w:t>
      </w:r>
    </w:p>
    <w:p>
      <w:pPr>
        <w:pStyle w:val="TextBody"/>
        <w:bidi w:val="0"/>
        <w:jc w:val="left"/>
        <w:rPr>
          <w:color w:val="000000"/>
          <w:bdr w:val="single" w:sz="32" w:space="1" w:color="000000"/>
        </w:rPr>
      </w:pPr>
      <w:r>
        <w:rPr>
          <w:color w:val="000000"/>
          <w:bdr w:val="single" w:sz="32" w:space="1" w:color="000000"/>
        </w:rPr>
        <w:t> </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UNITED STATES</w:t>
      </w:r>
    </w:p>
    <w:p>
      <w:pPr>
        <w:pStyle w:val="TextBody"/>
        <w:bidi w:val="0"/>
        <w:spacing w:before="0" w:after="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SECURITIES AND EXCHANGE COMMISSION</w:t>
      </w:r>
    </w:p>
    <w:p>
      <w:pPr>
        <w:pStyle w:val="TextBody"/>
        <w:bidi w:val="0"/>
        <w:spacing w:before="0" w:after="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z w:val="24"/>
        </w:rPr>
        <w:t>Washington, D.C. 20549</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z w:val="36"/>
        </w:rPr>
        <w:t xml:space="preserve">FORM </w:t>
      </w:r>
      <w:bookmarkStart w:id="2" w:name="xdx_90A_edei--DocumentType_c20230101__20"/>
      <w:bookmarkEnd w:id="2"/>
      <w:r>
        <w:rPr>
          <w:rFonts w:ascii="Times New Roman;Times;Serif" w:hAnsi="Times New Roman;Times;Serif"/>
          <w:b/>
          <w:i w:val="false"/>
          <w:caps w:val="false"/>
          <w:smallCaps w:val="false"/>
          <w:color w:val="000000"/>
          <w:sz w:val="36"/>
        </w:rPr>
        <w:t>10-Q</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bookmarkStart w:id="3" w:name="xdx_90A_edei--DocumentQuarterlyReport_c2"/>
      <w:bookmarkEnd w:id="3"/>
      <w:r>
        <w:rPr>
          <w:caps w:val="false"/>
          <w:smallCaps w:val="false"/>
          <w:color w:val="000000"/>
        </w:rPr>
        <w:t xml:space="preserve">☒ </w:t>
      </w:r>
      <w:r>
        <w:rPr>
          <w:rFonts w:ascii="Times New Roman;Times;Serif" w:hAnsi="Times New Roman;Times;Serif"/>
          <w:b/>
          <w:i w:val="false"/>
          <w:caps w:val="false"/>
          <w:smallCaps w:val="false"/>
          <w:color w:val="000000"/>
          <w:sz w:val="20"/>
        </w:rPr>
        <w:t xml:space="preserve">QUARTERLY REPORT PURSUANT TO SECTION 13 OR 15(d) OF THE SECURITIES EXCHANGE ACT OF 1934 </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For the quarterly period ended </w:t>
      </w:r>
      <w:bookmarkStart w:id="4" w:name="xdx_908_edei--DocumentPeriodEndDate_c202"/>
      <w:bookmarkEnd w:id="4"/>
      <w:r>
        <w:rPr>
          <w:rFonts w:ascii="Times New Roman;Times;Serif" w:hAnsi="Times New Roman;Times;Serif"/>
          <w:b/>
          <w:i w:val="false"/>
          <w:caps w:val="false"/>
          <w:smallCaps w:val="false"/>
          <w:color w:val="000000"/>
          <w:sz w:val="20"/>
        </w:rPr>
        <w:t xml:space="preserve">September 30, </w:t>
      </w:r>
      <w:bookmarkStart w:id="5" w:name="xdx_907_edei--DocumentFiscalYearFocus_c2"/>
      <w:bookmarkEnd w:id="5"/>
      <w:r>
        <w:rPr>
          <w:rFonts w:ascii="Times New Roman;Times;Serif" w:hAnsi="Times New Roman;Times;Serif"/>
          <w:b/>
          <w:i w:val="false"/>
          <w:caps w:val="false"/>
          <w:smallCaps w:val="false"/>
          <w:color w:val="000000"/>
          <w:sz w:val="20"/>
        </w:rPr>
        <w:t>2023</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or</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bookmarkStart w:id="6" w:name="xdx_905_edei--DocumentTransitionReport_c"/>
      <w:bookmarkEnd w:id="6"/>
      <w:r>
        <w:rPr>
          <w:caps w:val="false"/>
          <w:smallCaps w:val="false"/>
          <w:color w:val="000000"/>
        </w:rPr>
        <w:t xml:space="preserve">☐ </w:t>
      </w:r>
      <w:r>
        <w:rPr>
          <w:rFonts w:ascii="Times New Roman;Times;Serif" w:hAnsi="Times New Roman;Times;Serif"/>
          <w:b/>
          <w:i w:val="false"/>
          <w:caps w:val="false"/>
          <w:smallCaps w:val="false"/>
          <w:color w:val="000000"/>
          <w:sz w:val="20"/>
        </w:rPr>
        <w:t>TRANSITION REPORT PURSUANT TO SECTION 13 OR 15(d) OF THE SECURITIES EXCHANGE ACT OF 1934</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transition period from ___________ to _____________</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Commission File Number: </w:t>
      </w:r>
      <w:bookmarkStart w:id="7" w:name="xdx_901_edei--EntityFileNumber_c20230101"/>
      <w:bookmarkEnd w:id="7"/>
      <w:r>
        <w:rPr>
          <w:rFonts w:ascii="Times New Roman;Times;Serif" w:hAnsi="Times New Roman;Times;Serif"/>
          <w:b/>
          <w:i w:val="false"/>
          <w:caps w:val="false"/>
          <w:smallCaps w:val="false"/>
          <w:color w:val="000000"/>
          <w:sz w:val="20"/>
        </w:rPr>
        <w:t>001-35814</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36"/>
        </w:rPr>
      </w:pPr>
      <w:bookmarkStart w:id="8" w:name="xdx_908_edei--EntityRegistrantName_c2023"/>
      <w:bookmarkEnd w:id="8"/>
      <w:r>
        <w:rPr>
          <w:rFonts w:ascii="Times New Roman;Times;Serif" w:hAnsi="Times New Roman;Times;Serif"/>
          <w:b/>
          <w:i w:val="false"/>
          <w:caps w:val="false"/>
          <w:smallCaps w:val="false"/>
          <w:color w:val="000000"/>
          <w:sz w:val="36"/>
        </w:rPr>
        <w:t>Harrow, Inc.</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registrant as specified in its charter)</w:t>
      </w:r>
    </w:p>
    <w:p>
      <w:pPr>
        <w:pStyle w:val="TextBody"/>
        <w:bidi w:val="0"/>
        <w:spacing w:before="0" w:after="0"/>
        <w:jc w:val="center"/>
        <w:rPr>
          <w:caps w:val="false"/>
          <w:smallCaps w:val="false"/>
          <w:color w:val="000000"/>
        </w:rPr>
      </w:pPr>
      <w:r>
        <w:rPr>
          <w:caps w:val="false"/>
          <w:smallCaps w:val="false"/>
          <w:color w:val="000000"/>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9" w:name="xdx_90C_edei--EntityIncorporationStateCo"/>
            <w:bookmarkEnd w:id="9"/>
            <w:r>
              <w:rPr>
                <w:rFonts w:ascii="Times New Roman;Times;Serif" w:hAnsi="Times New Roman;Times;Serif"/>
                <w:b/>
                <w:i w:val="false"/>
                <w:caps w:val="false"/>
                <w:smallCaps w:val="false"/>
                <w:color w:val="000000"/>
                <w:sz w:val="20"/>
              </w:rPr>
              <w:t>Delaware</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10" w:name="xdx_90E_edei--EntityTaxIdentificationNum"/>
            <w:bookmarkEnd w:id="10"/>
            <w:r>
              <w:rPr>
                <w:rFonts w:ascii="Times New Roman;Times;Serif" w:hAnsi="Times New Roman;Times;Serif"/>
                <w:b/>
                <w:i w:val="false"/>
                <w:caps w:val="false"/>
                <w:smallCaps w:val="false"/>
                <w:color w:val="000000"/>
                <w:sz w:val="20"/>
              </w:rPr>
              <w:t>45-0567010</w:t>
            </w:r>
          </w:p>
        </w:tc>
      </w:tr>
      <w:tr>
        <w:trPr/>
        <w:tc>
          <w:tcPr>
            <w:tcW w:w="2495" w:type="dxa"/>
            <w:tcBorders/>
            <w:vAlign w:val="center"/>
          </w:tcPr>
          <w:p>
            <w:pPr>
              <w:pStyle w:val="TableContents"/>
              <w:bidi w:val="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incorporation or organization)</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w:t>
            </w:r>
          </w:p>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Identification No.)</w:t>
            </w:r>
          </w:p>
        </w:tc>
      </w:tr>
    </w:tbl>
    <w:p>
      <w:pPr>
        <w:pStyle w:val="TextBody"/>
        <w:bidi w:val="0"/>
        <w:spacing w:before="0" w:after="0"/>
        <w:jc w:val="center"/>
        <w:rPr>
          <w:caps w:val="false"/>
          <w:smallCaps w:val="false"/>
          <w:color w:val="000000"/>
        </w:rPr>
      </w:pPr>
      <w:r>
        <w:rPr>
          <w:caps w:val="false"/>
          <w:smallCaps w:val="false"/>
          <w:color w:val="000000"/>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bookmarkStart w:id="11" w:name="xdx_90A_edei--EntityAddressAddressLine1_"/>
            <w:bookmarkEnd w:id="11"/>
            <w:r>
              <w:rPr>
                <w:rFonts w:ascii="Times New Roman;Times;Serif" w:hAnsi="Times New Roman;Times;Serif"/>
                <w:b/>
                <w:i w:val="false"/>
                <w:caps w:val="false"/>
                <w:smallCaps w:val="false"/>
                <w:color w:val="000000"/>
                <w:sz w:val="20"/>
              </w:rPr>
              <w:t xml:space="preserve">102 Woodmont Blvd., </w:t>
            </w:r>
            <w:bookmarkStart w:id="12" w:name="xdx_900_edei--EntityAddressAddressLine2_"/>
            <w:bookmarkEnd w:id="12"/>
            <w:r>
              <w:rPr>
                <w:rFonts w:ascii="Times New Roman;Times;Serif" w:hAnsi="Times New Roman;Times;Serif"/>
                <w:b/>
                <w:i w:val="false"/>
                <w:caps w:val="false"/>
                <w:smallCaps w:val="false"/>
                <w:color w:val="000000"/>
                <w:sz w:val="20"/>
              </w:rPr>
              <w:t>Suite 610</w:t>
            </w:r>
          </w:p>
          <w:p>
            <w:pPr>
              <w:pStyle w:val="TableContents"/>
              <w:bidi w:val="0"/>
              <w:spacing w:before="0" w:after="0"/>
              <w:jc w:val="center"/>
              <w:rPr>
                <w:rFonts w:ascii="Times New Roman;Times;Serif" w:hAnsi="Times New Roman;Times;Serif"/>
                <w:b/>
                <w:i w:val="false"/>
                <w:caps w:val="false"/>
                <w:smallCaps w:val="false"/>
                <w:color w:val="000000"/>
                <w:sz w:val="20"/>
              </w:rPr>
            </w:pPr>
            <w:bookmarkStart w:id="13" w:name="xdx_905_edei--EntityAddressCityOrTown_c2"/>
            <w:bookmarkEnd w:id="13"/>
            <w:r>
              <w:rPr>
                <w:rFonts w:ascii="Times New Roman;Times;Serif" w:hAnsi="Times New Roman;Times;Serif"/>
                <w:b/>
                <w:i w:val="false"/>
                <w:caps w:val="false"/>
                <w:smallCaps w:val="false"/>
                <w:color w:val="000000"/>
                <w:sz w:val="20"/>
              </w:rPr>
              <w:t xml:space="preserve">Nashville, </w:t>
            </w:r>
            <w:bookmarkStart w:id="14" w:name="xdx_904_edei--EntityAddressStateOrProvin"/>
            <w:bookmarkEnd w:id="14"/>
            <w:r>
              <w:rPr>
                <w:rFonts w:ascii="Times New Roman;Times;Serif" w:hAnsi="Times New Roman;Times;Serif"/>
                <w:b/>
                <w:i w:val="false"/>
                <w:caps w:val="false"/>
                <w:smallCaps w:val="false"/>
                <w:color w:val="000000"/>
                <w:sz w:val="20"/>
              </w:rPr>
              <w:t xml:space="preserve">Tennessee </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bookmarkStart w:id="15" w:name="xdx_900_edei--EntityAddressPostalZipCode"/>
            <w:bookmarkEnd w:id="15"/>
            <w:r>
              <w:rPr>
                <w:rFonts w:ascii="Times New Roman;Times;Serif" w:hAnsi="Times New Roman;Times;Serif"/>
                <w:b/>
                <w:i w:val="false"/>
                <w:caps w:val="false"/>
                <w:smallCaps w:val="false"/>
                <w:color w:val="000000"/>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of principal executive offices)</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(Zip code)</w:t>
            </w:r>
          </w:p>
        </w:tc>
      </w:tr>
    </w:tbl>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bookmarkStart w:id="16" w:name="xdx_90D_edei--CityAreaCode_c20230101__20"/>
      <w:bookmarkEnd w:id="16"/>
      <w:r>
        <w:rPr>
          <w:rFonts w:ascii="Times New Roman;Times;Serif" w:hAnsi="Times New Roman;Times;Serif"/>
          <w:b/>
          <w:i w:val="false"/>
          <w:caps w:val="false"/>
          <w:smallCaps w:val="false"/>
          <w:color w:val="000000"/>
          <w:sz w:val="20"/>
        </w:rPr>
        <w:t xml:space="preserve">(615) </w:t>
      </w:r>
      <w:bookmarkStart w:id="17" w:name="xdx_90E_edei--LocalPhoneNumber_c20230101"/>
      <w:bookmarkEnd w:id="17"/>
      <w:r>
        <w:rPr>
          <w:rFonts w:ascii="Times New Roman;Times;Serif" w:hAnsi="Times New Roman;Times;Serif"/>
          <w:b/>
          <w:i w:val="false"/>
          <w:caps w:val="false"/>
          <w:smallCaps w:val="false"/>
          <w:color w:val="000000"/>
          <w:sz w:val="20"/>
        </w:rPr>
        <w:t>733-4730</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(Registrant’s telephone number, including area code)</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registered pursuant to Section 12(b) of the Act:</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Trading Symbol(s)</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8" w:name="xdx_90B_edei--Security12bTitle_c20230101"/>
            <w:bookmarkEnd w:id="18"/>
            <w:r>
              <w:rPr>
                <w:rFonts w:ascii="Times New Roman;Times;Serif" w:hAnsi="Times New Roman;Times;Serif"/>
                <w:b w:val="false"/>
                <w:i w:val="false"/>
                <w:caps w:val="false"/>
                <w:smallCaps w:val="false"/>
                <w:color w:val="000000"/>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19" w:name="xdx_909_edei--TradingSymbol_c20230101__2"/>
            <w:bookmarkEnd w:id="19"/>
            <w:r>
              <w:rPr>
                <w:rFonts w:ascii="Times New Roman;Times;Serif" w:hAnsi="Times New Roman;Times;Serif"/>
                <w:b w:val="false"/>
                <w:i w:val="false"/>
                <w:caps w:val="false"/>
                <w:smallCaps w:val="false"/>
                <w:color w:val="000000"/>
                <w:sz w:val="20"/>
              </w:rPr>
              <w:t>HROW</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w:t>
            </w:r>
            <w:bookmarkStart w:id="20" w:name="xdx_906_edei--SecurityExchangeName_c2023"/>
            <w:bookmarkEnd w:id="20"/>
            <w:r>
              <w:rPr>
                <w:rFonts w:ascii="Times New Roman;Times;Serif" w:hAnsi="Times New Roman;Times;Serif"/>
                <w:b w:val="false"/>
                <w:i w:val="false"/>
                <w:caps w:val="false"/>
                <w:smallCaps w:val="false"/>
                <w:color w:val="000000"/>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1" w:name="xdx_906_edei--Security12bTitle_c20230101"/>
            <w:bookmarkEnd w:id="21"/>
            <w:r>
              <w:rPr>
                <w:rFonts w:ascii="Times New Roman;Times;Serif" w:hAnsi="Times New Roman;Times;Serif"/>
                <w:b w:val="false"/>
                <w:i w:val="false"/>
                <w:caps w:val="false"/>
                <w:smallCaps w:val="false"/>
                <w:color w:val="000000"/>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2" w:name="xdx_909_edei--TradingSymbol_c20230101__2"/>
            <w:bookmarkEnd w:id="22"/>
            <w:r>
              <w:rPr>
                <w:rFonts w:ascii="Times New Roman;Times;Serif" w:hAnsi="Times New Roman;Times;Serif"/>
                <w:b w:val="false"/>
                <w:i w:val="false"/>
                <w:caps w:val="false"/>
                <w:smallCaps w:val="false"/>
                <w:color w:val="000000"/>
                <w:sz w:val="20"/>
              </w:rPr>
              <w:t>HROWL</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w:t>
            </w:r>
            <w:bookmarkStart w:id="23" w:name="xdx_90C_edei--SecurityExchangeName_c2023"/>
            <w:bookmarkEnd w:id="23"/>
            <w:r>
              <w:rPr>
                <w:rFonts w:ascii="Times New Roman;Times;Serif" w:hAnsi="Times New Roman;Times;Serif"/>
                <w:b w:val="false"/>
                <w:i w:val="false"/>
                <w:caps w:val="false"/>
                <w:smallCaps w:val="false"/>
                <w:color w:val="000000"/>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4" w:name="xdx_909_edei--Security12bTitle_c20230101"/>
            <w:bookmarkEnd w:id="24"/>
            <w:r>
              <w:rPr>
                <w:rFonts w:ascii="Times New Roman;Times;Serif" w:hAnsi="Times New Roman;Times;Serif"/>
                <w:b w:val="false"/>
                <w:i w:val="false"/>
                <w:caps w:val="false"/>
                <w:smallCaps w:val="false"/>
                <w:color w:val="000000"/>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bookmarkStart w:id="25" w:name="xdx_90A_edei--TradingSymbol_c20230101__2"/>
            <w:bookmarkEnd w:id="25"/>
            <w:r>
              <w:rPr>
                <w:rFonts w:ascii="Times New Roman;Times;Serif" w:hAnsi="Times New Roman;Times;Serif"/>
                <w:b w:val="false"/>
                <w:i w:val="false"/>
                <w:caps w:val="false"/>
                <w:smallCaps w:val="false"/>
                <w:color w:val="000000"/>
                <w:sz w:val="20"/>
              </w:rPr>
              <w:t>HROWM</w:t>
            </w:r>
          </w:p>
        </w:tc>
        <w:tc>
          <w:tcPr>
            <w:tcW w:w="60" w:type="dxa"/>
            <w:tcBorders/>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w:t>
            </w:r>
            <w:bookmarkStart w:id="26" w:name="xdx_901_edei--SecurityExchangeName_c2023"/>
            <w:bookmarkEnd w:id="26"/>
            <w:r>
              <w:rPr>
                <w:rFonts w:ascii="Times New Roman;Times;Serif" w:hAnsi="Times New Roman;Times;Serif"/>
                <w:b w:val="false"/>
                <w:i w:val="false"/>
                <w:caps w:val="false"/>
                <w:smallCaps w:val="false"/>
                <w:color w:val="000000"/>
                <w:sz w:val="20"/>
              </w:rPr>
              <w:t>Nasdaq Stock Market LLC</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D_edei--EntityCurrentReportingStat"/>
      <w:bookmarkEnd w:id="27"/>
      <w:r>
        <w:rPr>
          <w:rFonts w:ascii="Times New Roman;Times;Serif" w:hAnsi="Times New Roman;Times;Serif"/>
          <w:b w:val="false"/>
          <w:i w:val="false"/>
          <w:caps w:val="false"/>
          <w:smallCaps w:val="false"/>
          <w:color w:val="000000"/>
          <w:sz w:val="20"/>
        </w:rPr>
        <w:t>Yes ☒ No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F_edei--EntityInteractiveDataCurre"/>
      <w:bookmarkEnd w:id="28"/>
      <w:r>
        <w:rPr>
          <w:rFonts w:ascii="Times New Roman;Times;Serif" w:hAnsi="Times New Roman;Times;Serif"/>
          <w:b w:val="false"/>
          <w:i w:val="false"/>
          <w:caps w:val="false"/>
          <w:smallCaps w:val="false"/>
          <w:color w:val="000000"/>
          <w:sz w:val="20"/>
        </w:rPr>
        <w:t>Yes ☒ No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Large accelerated filer</w:t>
            </w:r>
          </w:p>
        </w:tc>
        <w:tc>
          <w:tcPr>
            <w:tcW w:w="23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Accelerated filer</w:t>
            </w:r>
          </w:p>
        </w:tc>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bookmarkStart w:id="29" w:name="xdx_90C_edei--EntityFilerCategory_c20230"/>
            <w:bookmarkEnd w:id="29"/>
            <w:r>
              <w:rPr>
                <w:rFonts w:ascii="Times New Roman;Times;Serif" w:hAnsi="Times New Roman;Times;Serif"/>
                <w:b w:val="false"/>
                <w:i w:val="false"/>
                <w:caps w:val="false"/>
                <w:smallCaps w:val="false"/>
                <w:color w:val="000000"/>
                <w:sz w:val="20"/>
              </w:rPr>
              <w:t>Non-accelerated filer</w:t>
            </w:r>
          </w:p>
        </w:tc>
        <w:tc>
          <w:tcPr>
            <w:tcW w:w="23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Smaller reporting company</w:t>
            </w:r>
          </w:p>
        </w:tc>
        <w:tc>
          <w:tcPr>
            <w:tcW w:w="245" w:type="dxa"/>
            <w:tcBorders/>
            <w:vAlign w:val="center"/>
          </w:tcPr>
          <w:p>
            <w:pPr>
              <w:pStyle w:val="TableContents"/>
              <w:bidi w:val="0"/>
              <w:spacing w:before="0" w:after="283"/>
              <w:jc w:val="left"/>
              <w:rPr>
                <w:caps w:val="false"/>
                <w:smallCaps w:val="false"/>
                <w:color w:val="000000"/>
              </w:rPr>
            </w:pPr>
            <w:bookmarkStart w:id="30" w:name="xdx_904_edei--EntitySmallBusiness_c20230"/>
            <w:bookmarkEnd w:id="30"/>
            <w:r>
              <w:rPr>
                <w:caps w:val="false"/>
                <w:smallCaps w:val="false"/>
                <w:color w:val="000000"/>
              </w:rPr>
              <w:t>☒</w:t>
            </w:r>
          </w:p>
        </w:tc>
      </w:tr>
      <w:tr>
        <w:trPr/>
        <w:tc>
          <w:tcPr>
            <w:tcW w:w="183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Emerging growth company</w:t>
            </w:r>
          </w:p>
        </w:tc>
        <w:tc>
          <w:tcPr>
            <w:tcW w:w="245" w:type="dxa"/>
            <w:tcBorders/>
            <w:vAlign w:val="center"/>
          </w:tcPr>
          <w:p>
            <w:pPr>
              <w:pStyle w:val="TableContents"/>
              <w:bidi w:val="0"/>
              <w:spacing w:before="0" w:after="283"/>
              <w:jc w:val="left"/>
              <w:rPr>
                <w:caps w:val="false"/>
                <w:smallCaps w:val="false"/>
                <w:color w:val="000000"/>
              </w:rPr>
            </w:pPr>
            <w:bookmarkStart w:id="31" w:name="xdx_903_edei--EntityEmergingGrowthCompan"/>
            <w:bookmarkEnd w:id="31"/>
            <w:r>
              <w:rPr>
                <w:caps w:val="false"/>
                <w:smallCaps w:val="false"/>
                <w:color w:val="000000"/>
              </w:rPr>
              <w:t>☐</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Indicate by a check mark whether the registrant is a shell company (as defined in Rule 12b-2 of the Exchange Act). Yes ☐ </w:t>
      </w:r>
      <w:bookmarkStart w:id="32" w:name="xdx_909_edei--EntityShellCompany_c202301"/>
      <w:bookmarkEnd w:id="32"/>
      <w:r>
        <w:rPr>
          <w:rFonts w:ascii="Times New Roman;Times;Serif" w:hAnsi="Times New Roman;Times;Serif"/>
          <w:b w:val="false"/>
          <w:i w:val="false"/>
          <w:caps w:val="false"/>
          <w:smallCaps w:val="false"/>
          <w:color w:val="000000"/>
          <w:sz w:val="20"/>
        </w:rPr>
        <w:t>No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November 13, 2023, there were </w:t>
      </w:r>
      <w:bookmarkStart w:id="33" w:name="xdx_904_edei--EntityCommonStockSharesOut"/>
      <w:bookmarkEnd w:id="33"/>
      <w:r>
        <w:rPr>
          <w:rFonts w:ascii="Times New Roman;Times;Serif" w:hAnsi="Times New Roman;Times;Serif"/>
          <w:b w:val="false"/>
          <w:i w:val="false"/>
          <w:caps w:val="false"/>
          <w:smallCaps w:val="false"/>
          <w:color w:val="000000"/>
          <w:sz w:val="20"/>
        </w:rPr>
        <w:t>35,117,746 shares of the registrant’s common stock, $0.001 par value, outstanding.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ind w:left="0" w:right="0" w:hanging="0"/>
        <w:jc w:val="left"/>
        <w:rPr>
          <w:color w:val="000000"/>
          <w:bdr w:val="single" w:sz="12" w:space="1" w:color="000000"/>
        </w:rPr>
      </w:pPr>
      <w:r>
        <w:rPr>
          <w:color w:val="000000"/>
          <w:bdr w:val="single" w:sz="12" w:space="1" w:color="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Table of Contents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Page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Part I</w:t>
            </w:r>
          </w:p>
        </w:tc>
        <w:tc>
          <w:tcPr>
            <w:tcW w:w="72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color w:val="0000FF"/>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color w:val="0000FF"/>
                  <w:sz w:val="20"/>
                </w:rPr>
                <w:t>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2.</w:t>
            </w:r>
          </w:p>
        </w:tc>
        <w:tc>
          <w:tcPr>
            <w:tcW w:w="72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color w:val="0000F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3.</w:t>
            </w:r>
          </w:p>
        </w:tc>
        <w:tc>
          <w:tcPr>
            <w:tcW w:w="728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color w:val="0000FF"/>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4.</w:t>
            </w:r>
          </w:p>
        </w:tc>
        <w:tc>
          <w:tcPr>
            <w:tcW w:w="72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color w:val="0000FF"/>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Part II</w:t>
            </w:r>
          </w:p>
        </w:tc>
        <w:tc>
          <w:tcPr>
            <w:tcW w:w="728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color w:val="0000FF"/>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1.</w:t>
            </w:r>
          </w:p>
        </w:tc>
        <w:tc>
          <w:tcPr>
            <w:tcW w:w="72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color w:val="0000FF"/>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1A.</w:t>
            </w:r>
          </w:p>
        </w:tc>
        <w:tc>
          <w:tcPr>
            <w:tcW w:w="728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color w:val="0000FF"/>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2.</w:t>
            </w:r>
          </w:p>
        </w:tc>
        <w:tc>
          <w:tcPr>
            <w:tcW w:w="72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color w:val="0000FF"/>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3.</w:t>
            </w:r>
          </w:p>
        </w:tc>
        <w:tc>
          <w:tcPr>
            <w:tcW w:w="728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color w:val="0000FF"/>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4.</w:t>
            </w:r>
          </w:p>
        </w:tc>
        <w:tc>
          <w:tcPr>
            <w:tcW w:w="728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color w:val="0000FF"/>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5.</w:t>
            </w:r>
          </w:p>
        </w:tc>
        <w:tc>
          <w:tcPr>
            <w:tcW w:w="72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color w:val="0000FF"/>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Item 6.</w:t>
            </w:r>
          </w:p>
        </w:tc>
        <w:tc>
          <w:tcPr>
            <w:tcW w:w="728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color w:val="0000FF"/>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tc>
      </w:tr>
      <w:tr>
        <w:trPr/>
        <w:tc>
          <w:tcPr>
            <w:tcW w:w="72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7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8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color w:val="0000FF"/>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34" w:name="a_001"/>
      <w:bookmarkEnd w:id="34"/>
      <w:r>
        <w:rPr>
          <w:rFonts w:ascii="Times New Roman;Times;Serif" w:hAnsi="Times New Roman;Times;Serif"/>
          <w:b/>
          <w:i w:val="false"/>
          <w:caps w:val="false"/>
          <w:smallCaps w:val="false"/>
          <w:color w:val="000000"/>
          <w:sz w:val="20"/>
        </w:rPr>
        <w:t>PART I</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FINANCIAL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35" w:name="a_002"/>
      <w:bookmarkEnd w:id="35"/>
      <w:r>
        <w:rPr>
          <w:rFonts w:ascii="Times New Roman;Times;Serif" w:hAnsi="Times New Roman;Times;Serif"/>
          <w:b/>
          <w:i w:val="false"/>
          <w:caps w:val="false"/>
          <w:smallCaps w:val="false"/>
          <w:color w:val="000000"/>
          <w:sz w:val="20"/>
        </w:rPr>
        <w:t>Item 1. Financial Statements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CONDENSED CONSOLIDATED BALANCE SHEETS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6" w:name="xdx_302_111_z53cXgpUMUse"/>
      <w:bookmarkStart w:id="37" w:name="xdx_302_111_z53cXgpUMUse"/>
      <w:bookmarkEnd w:id="37"/>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38" w:name="xdx_490_20230930_z7DSdcOD561d"/>
            <w:bookmarkEnd w:id="38"/>
          </w:p>
        </w:tc>
        <w:tc>
          <w:tcPr>
            <w:tcW w:w="1435" w:type="dxa"/>
            <w:gridSpan w:val="2"/>
            <w:tcBorders/>
            <w:vAlign w:val="center"/>
          </w:tcPr>
          <w:p>
            <w:pPr>
              <w:pStyle w:val="TableContents"/>
              <w:bidi w:val="0"/>
              <w:spacing w:before="0" w:after="283"/>
              <w:jc w:val="center"/>
              <w:rPr>
                <w:color w:val="000000"/>
              </w:rPr>
            </w:pPr>
            <w:r>
              <w:rPr>
                <w:color w:val="000000"/>
              </w:rPr>
              <w:t>September 30,</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39" w:name="xdx_491_20221231_zRnZsKihvwg1"/>
            <w:bookmarkEnd w:id="39"/>
          </w:p>
        </w:tc>
        <w:tc>
          <w:tcPr>
            <w:tcW w:w="1435" w:type="dxa"/>
            <w:gridSpan w:val="2"/>
            <w:tcBorders/>
            <w:vAlign w:val="center"/>
          </w:tcPr>
          <w:p>
            <w:pPr>
              <w:pStyle w:val="TableContents"/>
              <w:bidi w:val="0"/>
              <w:spacing w:before="0" w:after="283"/>
              <w:jc w:val="center"/>
              <w:rPr>
                <w:color w:val="000000"/>
              </w:rPr>
            </w:pPr>
            <w:r>
              <w:rPr>
                <w:color w:val="000000"/>
              </w:rPr>
              <w:t>December 31,</w:t>
            </w:r>
          </w:p>
        </w:tc>
        <w:tc>
          <w:tcPr>
            <w:tcW w:w="110" w:type="dxa"/>
            <w:tcBorders/>
            <w:vAlign w:val="center"/>
          </w:tcPr>
          <w:p>
            <w:pPr>
              <w:pStyle w:val="TableContents"/>
              <w:bidi w:val="0"/>
              <w:spacing w:before="0" w:after="283"/>
              <w:jc w:val="left"/>
              <w:rPr>
                <w:color w:val="000000"/>
              </w:rPr>
            </w:pPr>
            <w:r>
              <w:rPr>
                <w:color w:val="000000"/>
              </w:rPr>
              <w:t> </w:t>
            </w:r>
          </w:p>
        </w:tc>
      </w:tr>
      <w:tr>
        <w:trPr/>
        <w:tc>
          <w:tcPr>
            <w:tcW w:w="701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701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vAlign w:val="center"/>
          </w:tcPr>
          <w:p>
            <w:pPr>
              <w:pStyle w:val="TableContents"/>
              <w:bidi w:val="0"/>
              <w:spacing w:before="0" w:after="283"/>
              <w:jc w:val="center"/>
              <w:rPr>
                <w:color w:val="000000"/>
              </w:rPr>
            </w:pPr>
            <w:r>
              <w:rPr>
                <w:color w:val="000000"/>
              </w:rPr>
              <w:t>(Unaudited)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vAlign w:val="center"/>
          </w:tcPr>
          <w:p>
            <w:pPr>
              <w:pStyle w:val="TableContents"/>
              <w:bidi w:val="0"/>
              <w:spacing w:before="0" w:after="283"/>
              <w:jc w:val="lef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bookmarkStart w:id="40" w:name="xdx_40B_eus-gaap--AssetsAbstract_iB_zJFs"/>
            <w:bookmarkEnd w:id="40"/>
          </w:p>
        </w:tc>
      </w:tr>
      <w:tr>
        <w:trPr/>
        <w:tc>
          <w:tcPr>
            <w:tcW w:w="7010" w:type="dxa"/>
            <w:tcBorders/>
            <w:shd w:fill="CCEEFF" w:val="clear"/>
            <w:vAlign w:val="center"/>
          </w:tcPr>
          <w:p>
            <w:pPr>
              <w:pStyle w:val="TableContents"/>
              <w:bidi w:val="0"/>
              <w:spacing w:before="0" w:after="283"/>
              <w:jc w:val="center"/>
              <w:rPr>
                <w:color w:val="000000"/>
              </w:rPr>
            </w:pPr>
            <w:r>
              <w:rPr>
                <w:color w:val="000000"/>
              </w:rPr>
              <w:t>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1" w:name="xdx_40C_eus-gaap--AssetsCurrentAbstract_"/>
            <w:bookmarkEnd w:id="41"/>
          </w:p>
        </w:tc>
      </w:tr>
      <w:tr>
        <w:trPr/>
        <w:tc>
          <w:tcPr>
            <w:tcW w:w="7010" w:type="dxa"/>
            <w:tcBorders/>
            <w:shd w:fill="FFFFFF" w:val="clear"/>
            <w:vAlign w:val="center"/>
          </w:tcPr>
          <w:p>
            <w:pPr>
              <w:pStyle w:val="TableContents"/>
              <w:bidi w:val="0"/>
              <w:spacing w:before="0" w:after="283"/>
              <w:jc w:val="left"/>
              <w:rPr>
                <w:color w:val="000000"/>
              </w:rPr>
            </w:pPr>
            <w:r>
              <w:rPr>
                <w:color w:val="000000"/>
              </w:rPr>
              <w:t>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2" w:name="xdx_40D_eus-gaap--CashAndCashEquivalents"/>
            <w:bookmarkEnd w:id="42"/>
          </w:p>
        </w:tc>
      </w:tr>
      <w:tr>
        <w:trPr/>
        <w:tc>
          <w:tcPr>
            <w:tcW w:w="7010" w:type="dxa"/>
            <w:tcBorders/>
            <w:shd w:fill="CCEEFF" w:val="clear"/>
            <w:vAlign w:val="center"/>
          </w:tcPr>
          <w:p>
            <w:pPr>
              <w:pStyle w:val="TableContents"/>
              <w:bidi w:val="0"/>
              <w:spacing w:before="0" w:after="283"/>
              <w:jc w:val="left"/>
              <w:rPr>
                <w:color w:val="000000"/>
              </w:rPr>
            </w:pPr>
            <w:r>
              <w:rPr>
                <w:color w:val="000000"/>
              </w:rPr>
              <w:t>Cash and cash equivalents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95" w:type="dxa"/>
            <w:tcBorders/>
            <w:shd w:fill="CCEEFF" w:val="clear"/>
            <w:vAlign w:val="center"/>
          </w:tcPr>
          <w:p>
            <w:pPr>
              <w:pStyle w:val="TableContents"/>
              <w:bidi w:val="0"/>
              <w:spacing w:before="0" w:after="283"/>
              <w:jc w:val="right"/>
              <w:rPr>
                <w:color w:val="000000"/>
              </w:rPr>
            </w:pPr>
            <w:r>
              <w:rPr>
                <w:color w:val="000000"/>
              </w:rPr>
              <w:t>65,610,000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95" w:type="dxa"/>
            <w:tcBorders/>
            <w:shd w:fill="CCEEFF" w:val="clear"/>
            <w:vAlign w:val="center"/>
          </w:tcPr>
          <w:p>
            <w:pPr>
              <w:pStyle w:val="TableContents"/>
              <w:bidi w:val="0"/>
              <w:spacing w:before="0" w:after="283"/>
              <w:jc w:val="right"/>
              <w:rPr>
                <w:color w:val="000000"/>
              </w:rPr>
            </w:pPr>
            <w:r>
              <w:rPr>
                <w:color w:val="000000"/>
              </w:rPr>
              <w:t>96,270,000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3" w:name="xdx_40E_eus-gaap--ShortTermInvestments_i"/>
            <w:bookmarkEnd w:id="43"/>
          </w:p>
        </w:tc>
      </w:tr>
      <w:tr>
        <w:trPr/>
        <w:tc>
          <w:tcPr>
            <w:tcW w:w="7010" w:type="dxa"/>
            <w:tcBorders/>
            <w:shd w:fill="FFFFFF" w:val="clear"/>
            <w:vAlign w:val="center"/>
          </w:tcPr>
          <w:p>
            <w:pPr>
              <w:pStyle w:val="TableContents"/>
              <w:bidi w:val="0"/>
              <w:spacing w:before="0" w:after="283"/>
              <w:jc w:val="left"/>
              <w:rPr>
                <w:color w:val="000000"/>
              </w:rPr>
            </w:pPr>
            <w:r>
              <w:rPr>
                <w:color w:val="000000"/>
              </w:rPr>
              <w:t>Investment in Eton Pharmaceuticals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8,265,000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5,589,000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4" w:name="xdx_407_eus-gaap--AccountsReceivableNetC"/>
            <w:bookmarkEnd w:id="44"/>
          </w:p>
        </w:tc>
      </w:tr>
      <w:tr>
        <w:trPr/>
        <w:tc>
          <w:tcPr>
            <w:tcW w:w="7010" w:type="dxa"/>
            <w:tcBorders/>
            <w:shd w:fill="CCEEFF" w:val="clear"/>
            <w:vAlign w:val="center"/>
          </w:tcPr>
          <w:p>
            <w:pPr>
              <w:pStyle w:val="TableContents"/>
              <w:bidi w:val="0"/>
              <w:spacing w:before="0" w:after="283"/>
              <w:jc w:val="left"/>
              <w:rPr>
                <w:color w:val="000000"/>
              </w:rPr>
            </w:pPr>
            <w:r>
              <w:rPr>
                <w:color w:val="000000"/>
              </w:rPr>
              <w:t>Accounts receivable,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18,468,000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6,249,000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5" w:name="xdx_407_eus-gaap--InventoryNet_i02I_maCz"/>
            <w:bookmarkEnd w:id="45"/>
          </w:p>
        </w:tc>
      </w:tr>
      <w:tr>
        <w:trPr/>
        <w:tc>
          <w:tcPr>
            <w:tcW w:w="7010" w:type="dxa"/>
            <w:tcBorders/>
            <w:shd w:fill="FFFFFF" w:val="clear"/>
            <w:vAlign w:val="center"/>
          </w:tcPr>
          <w:p>
            <w:pPr>
              <w:pStyle w:val="TableContents"/>
              <w:bidi w:val="0"/>
              <w:spacing w:before="0" w:after="283"/>
              <w:jc w:val="left"/>
              <w:rPr>
                <w:color w:val="000000"/>
              </w:rPr>
            </w:pPr>
            <w:r>
              <w:rPr>
                <w:color w:val="000000"/>
              </w:rPr>
              <w:t>Inventories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8,924,000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6,541,000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6" w:name="xdx_405_eus-gaap--PrepaidExpenseAndOther"/>
            <w:bookmarkEnd w:id="46"/>
          </w:p>
        </w:tc>
      </w:tr>
      <w:tr>
        <w:trPr/>
        <w:tc>
          <w:tcPr>
            <w:tcW w:w="7010" w:type="dxa"/>
            <w:tcBorders/>
            <w:shd w:fill="CCEEFF" w:val="clear"/>
            <w:vAlign w:val="center"/>
          </w:tcPr>
          <w:p>
            <w:pPr>
              <w:pStyle w:val="TableContents"/>
              <w:bidi w:val="0"/>
              <w:spacing w:before="0" w:after="283"/>
              <w:jc w:val="left"/>
              <w:rPr>
                <w:color w:val="000000"/>
              </w:rPr>
            </w:pPr>
            <w:r>
              <w:rPr>
                <w:color w:val="000000"/>
              </w:rPr>
              <w:t>Prepaid expenses and other 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9,011,000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3,611,000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7" w:name="xdx_40E_eus-gaap--AssetsCurrent_i02TI_mt"/>
            <w:bookmarkEnd w:id="47"/>
          </w:p>
        </w:tc>
      </w:tr>
      <w:tr>
        <w:trPr/>
        <w:tc>
          <w:tcPr>
            <w:tcW w:w="7010" w:type="dxa"/>
            <w:tcBorders/>
            <w:shd w:fill="FFFFFF" w:val="clear"/>
            <w:vAlign w:val="center"/>
          </w:tcPr>
          <w:p>
            <w:pPr>
              <w:pStyle w:val="TableContents"/>
              <w:bidi w:val="0"/>
              <w:spacing w:before="0" w:after="283"/>
              <w:jc w:val="left"/>
              <w:rPr>
                <w:color w:val="000000"/>
              </w:rPr>
            </w:pPr>
            <w:r>
              <w:rPr>
                <w:color w:val="000000"/>
              </w:rPr>
              <w:t>Total 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110,278,000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118,260,000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8" w:name="xdx_402_eus-gaap--PropertyPlantAndEquipm"/>
            <w:bookmarkEnd w:id="48"/>
          </w:p>
        </w:tc>
      </w:tr>
      <w:tr>
        <w:trPr/>
        <w:tc>
          <w:tcPr>
            <w:tcW w:w="7010" w:type="dxa"/>
            <w:tcBorders/>
            <w:shd w:fill="CCEEFF" w:val="clear"/>
            <w:vAlign w:val="center"/>
          </w:tcPr>
          <w:p>
            <w:pPr>
              <w:pStyle w:val="TableContents"/>
              <w:bidi w:val="0"/>
              <w:spacing w:before="0" w:after="283"/>
              <w:jc w:val="left"/>
              <w:rPr>
                <w:color w:val="000000"/>
              </w:rPr>
            </w:pPr>
            <w:r>
              <w:rPr>
                <w:color w:val="000000"/>
              </w:rPr>
              <w:t>Property, plant and equipment,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3,629,000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3,486,000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9" w:name="xdx_402_eus-gaap--CapitalizedComputerSof"/>
            <w:bookmarkEnd w:id="49"/>
          </w:p>
        </w:tc>
      </w:tr>
      <w:tr>
        <w:trPr/>
        <w:tc>
          <w:tcPr>
            <w:tcW w:w="7010" w:type="dxa"/>
            <w:tcBorders/>
            <w:shd w:fill="FFFFFF" w:val="clear"/>
            <w:vAlign w:val="center"/>
          </w:tcPr>
          <w:p>
            <w:pPr>
              <w:pStyle w:val="TableContents"/>
              <w:bidi w:val="0"/>
              <w:spacing w:before="0" w:after="283"/>
              <w:jc w:val="left"/>
              <w:rPr>
                <w:color w:val="000000"/>
              </w:rPr>
            </w:pPr>
            <w:r>
              <w:rPr>
                <w:color w:val="000000"/>
              </w:rPr>
              <w:t>Capitalized software costs,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2,151,000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2,112,000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0" w:name="xdx_408_eus-gaap--DeferredCosts_i01I_maC"/>
            <w:bookmarkEnd w:id="50"/>
          </w:p>
        </w:tc>
      </w:tr>
      <w:tr>
        <w:trPr/>
        <w:tc>
          <w:tcPr>
            <w:tcW w:w="7010" w:type="dxa"/>
            <w:tcBorders/>
            <w:shd w:fill="CCEEFF" w:val="clear"/>
            <w:vAlign w:val="center"/>
          </w:tcPr>
          <w:p>
            <w:pPr>
              <w:pStyle w:val="TableContents"/>
              <w:bidi w:val="0"/>
              <w:spacing w:before="0" w:after="283"/>
              <w:jc w:val="left"/>
              <w:rPr>
                <w:color w:val="000000"/>
              </w:rPr>
            </w:pPr>
            <w:r>
              <w:rPr>
                <w:color w:val="000000"/>
              </w:rPr>
              <w:t>Deferred financing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1,950,000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1" w:name="xdx_403_eus-gaap--OperatingLeaseRightOfU"/>
            <w:bookmarkEnd w:id="51"/>
          </w:p>
        </w:tc>
      </w:tr>
      <w:tr>
        <w:trPr/>
        <w:tc>
          <w:tcPr>
            <w:tcW w:w="7010" w:type="dxa"/>
            <w:tcBorders/>
            <w:shd w:fill="FFFFFF" w:val="clear"/>
            <w:vAlign w:val="center"/>
          </w:tcPr>
          <w:p>
            <w:pPr>
              <w:pStyle w:val="TableContents"/>
              <w:bidi w:val="0"/>
              <w:spacing w:before="0" w:after="283"/>
              <w:jc w:val="left"/>
              <w:rPr>
                <w:color w:val="000000"/>
              </w:rPr>
            </w:pPr>
            <w:r>
              <w:rPr>
                <w:color w:val="000000"/>
              </w:rPr>
              <w:t>Operating lease right-of-use assets,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6,972,000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7,513,000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2" w:name="xdx_406_eus-gaap--IntangibleAssetsNetExc"/>
            <w:bookmarkEnd w:id="52"/>
          </w:p>
        </w:tc>
      </w:tr>
      <w:tr>
        <w:trPr/>
        <w:tc>
          <w:tcPr>
            <w:tcW w:w="7010" w:type="dxa"/>
            <w:tcBorders/>
            <w:shd w:fill="CCEEFF" w:val="clear"/>
            <w:vAlign w:val="center"/>
          </w:tcPr>
          <w:p>
            <w:pPr>
              <w:pStyle w:val="TableContents"/>
              <w:bidi w:val="0"/>
              <w:spacing w:before="0" w:after="283"/>
              <w:jc w:val="left"/>
              <w:rPr>
                <w:color w:val="000000"/>
              </w:rPr>
            </w:pPr>
            <w:r>
              <w:rPr>
                <w:color w:val="000000"/>
              </w:rPr>
              <w:t>Intangible assets,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162,703,000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23,725,000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3" w:name="xdx_405_eus-gaap--Goodwill_i01I_maCzJuM_"/>
            <w:bookmarkEnd w:id="53"/>
          </w:p>
        </w:tc>
      </w:tr>
      <w:tr>
        <w:trPr/>
        <w:tc>
          <w:tcPr>
            <w:tcW w:w="7010" w:type="dxa"/>
            <w:tcBorders/>
            <w:shd w:fill="FFFFFF" w:val="clear"/>
            <w:vAlign w:val="center"/>
          </w:tcPr>
          <w:p>
            <w:pPr>
              <w:pStyle w:val="TableContents"/>
              <w:bidi w:val="0"/>
              <w:spacing w:before="0" w:after="283"/>
              <w:jc w:val="left"/>
              <w:rPr>
                <w:color w:val="000000"/>
              </w:rPr>
            </w:pPr>
            <w:r>
              <w:rPr>
                <w:color w:val="000000"/>
              </w:rPr>
              <w:t>Goodwill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332,000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332,000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4" w:name="xdx_406_eus-gaap--Assets_i01TI_mtCzJuM_z"/>
            <w:bookmarkEnd w:id="54"/>
          </w:p>
        </w:tc>
      </w:tr>
      <w:tr>
        <w:trPr/>
        <w:tc>
          <w:tcPr>
            <w:tcW w:w="7010" w:type="dxa"/>
            <w:tcBorders/>
            <w:shd w:fill="CCEEFF" w:val="clear"/>
            <w:vAlign w:val="center"/>
          </w:tcPr>
          <w:p>
            <w:pPr>
              <w:pStyle w:val="TableContents"/>
              <w:bidi w:val="0"/>
              <w:spacing w:before="0" w:after="283"/>
              <w:jc w:val="left"/>
              <w:rPr>
                <w:color w:val="000000"/>
              </w:rPr>
            </w:pPr>
            <w:r>
              <w:rPr>
                <w:color w:val="000000"/>
              </w:rPr>
              <w:t>TOTAL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286,065,000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157,378,000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5" w:name="xdx_404_eus-gaap--LiabilitiesAndStockhol"/>
            <w:bookmarkEnd w:id="55"/>
          </w:p>
        </w:tc>
      </w:tr>
      <w:tr>
        <w:trPr/>
        <w:tc>
          <w:tcPr>
            <w:tcW w:w="7010" w:type="dxa"/>
            <w:tcBorders/>
            <w:shd w:fill="FFFFFF" w:val="clear"/>
            <w:vAlign w:val="center"/>
          </w:tcPr>
          <w:p>
            <w:pPr>
              <w:pStyle w:val="TableContents"/>
              <w:bidi w:val="0"/>
              <w:spacing w:before="0" w:after="283"/>
              <w:jc w:val="center"/>
              <w:rPr>
                <w:color w:val="000000"/>
              </w:rPr>
            </w:pPr>
            <w:r>
              <w:rPr>
                <w:color w:val="000000"/>
              </w:rPr>
              <w:t>LIABILITIES AND STOCKHOLDERS’ 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6" w:name="xdx_40F_eus-gaap--LiabilitiesCurrentAbst"/>
            <w:bookmarkEnd w:id="56"/>
          </w:p>
        </w:tc>
      </w:tr>
      <w:tr>
        <w:trPr/>
        <w:tc>
          <w:tcPr>
            <w:tcW w:w="7010" w:type="dxa"/>
            <w:tcBorders/>
            <w:shd w:fill="CCEEFF" w:val="clear"/>
            <w:vAlign w:val="center"/>
          </w:tcPr>
          <w:p>
            <w:pPr>
              <w:pStyle w:val="TableContents"/>
              <w:bidi w:val="0"/>
              <w:spacing w:before="0" w:after="283"/>
              <w:jc w:val="left"/>
              <w:rPr>
                <w:color w:val="000000"/>
              </w:rPr>
            </w:pPr>
            <w:r>
              <w:rPr>
                <w:color w:val="000000"/>
              </w:rPr>
              <w:t>Current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7" w:name="xdx_40B_eus-gaap--AccountsPayableAndAccr"/>
            <w:bookmarkEnd w:id="57"/>
          </w:p>
        </w:tc>
      </w:tr>
      <w:tr>
        <w:trPr/>
        <w:tc>
          <w:tcPr>
            <w:tcW w:w="7010" w:type="dxa"/>
            <w:tcBorders/>
            <w:shd w:fill="FFFFFF" w:val="clear"/>
            <w:vAlign w:val="center"/>
          </w:tcPr>
          <w:p>
            <w:pPr>
              <w:pStyle w:val="TableContents"/>
              <w:bidi w:val="0"/>
              <w:spacing w:before="0" w:after="283"/>
              <w:jc w:val="left"/>
              <w:rPr>
                <w:color w:val="000000"/>
              </w:rPr>
            </w:pPr>
            <w:r>
              <w:rPr>
                <w:color w:val="000000"/>
              </w:rPr>
              <w:t>Accounts payable and accrued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95" w:type="dxa"/>
            <w:tcBorders/>
            <w:shd w:fill="FFFFFF" w:val="clear"/>
            <w:vAlign w:val="center"/>
          </w:tcPr>
          <w:p>
            <w:pPr>
              <w:pStyle w:val="TableContents"/>
              <w:bidi w:val="0"/>
              <w:spacing w:before="0" w:after="283"/>
              <w:jc w:val="right"/>
              <w:rPr>
                <w:color w:val="000000"/>
              </w:rPr>
            </w:pPr>
            <w:r>
              <w:rPr>
                <w:color w:val="000000"/>
              </w:rPr>
              <w:t>12,772,000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95" w:type="dxa"/>
            <w:tcBorders/>
            <w:shd w:fill="FFFFFF" w:val="clear"/>
            <w:vAlign w:val="center"/>
          </w:tcPr>
          <w:p>
            <w:pPr>
              <w:pStyle w:val="TableContents"/>
              <w:bidi w:val="0"/>
              <w:spacing w:before="0" w:after="283"/>
              <w:jc w:val="right"/>
              <w:rPr>
                <w:color w:val="000000"/>
              </w:rPr>
            </w:pPr>
            <w:r>
              <w:rPr>
                <w:color w:val="000000"/>
              </w:rPr>
              <w:t>13,771,000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8" w:name="xdx_40A_eus-gaap--EmployeeRelatedLiabili"/>
            <w:bookmarkEnd w:id="58"/>
          </w:p>
        </w:tc>
      </w:tr>
      <w:tr>
        <w:trPr/>
        <w:tc>
          <w:tcPr>
            <w:tcW w:w="7010" w:type="dxa"/>
            <w:tcBorders/>
            <w:shd w:fill="CCEEFF" w:val="clear"/>
            <w:vAlign w:val="center"/>
          </w:tcPr>
          <w:p>
            <w:pPr>
              <w:pStyle w:val="TableContents"/>
              <w:bidi w:val="0"/>
              <w:spacing w:before="0" w:after="283"/>
              <w:jc w:val="left"/>
              <w:rPr>
                <w:color w:val="000000"/>
              </w:rPr>
            </w:pPr>
            <w:r>
              <w:rPr>
                <w:color w:val="000000"/>
              </w:rPr>
              <w:t>Accrued payroll and related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5,319,000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4,025,000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9" w:name="xdx_403_eus-gaap--ContractWithCustomerLi"/>
            <w:bookmarkEnd w:id="59"/>
          </w:p>
        </w:tc>
      </w:tr>
      <w:tr>
        <w:trPr/>
        <w:tc>
          <w:tcPr>
            <w:tcW w:w="7010" w:type="dxa"/>
            <w:tcBorders/>
            <w:shd w:fill="FFFFFF" w:val="clear"/>
            <w:vAlign w:val="center"/>
          </w:tcPr>
          <w:p>
            <w:pPr>
              <w:pStyle w:val="TableContents"/>
              <w:bidi w:val="0"/>
              <w:spacing w:before="0" w:after="283"/>
              <w:jc w:val="left"/>
              <w:rPr>
                <w:color w:val="000000"/>
              </w:rPr>
            </w:pPr>
            <w:r>
              <w:rPr>
                <w:color w:val="000000"/>
              </w:rPr>
              <w:t>Deferred revenue and customer deposits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153,000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113,000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0" w:name="xdx_40A_eus-gaap--OperatingLeaseLiabilit"/>
            <w:bookmarkEnd w:id="60"/>
          </w:p>
        </w:tc>
      </w:tr>
      <w:tr>
        <w:trPr/>
        <w:tc>
          <w:tcPr>
            <w:tcW w:w="7010" w:type="dxa"/>
            <w:tcBorders/>
            <w:shd w:fill="CCEEFF" w:val="clear"/>
            <w:vAlign w:val="center"/>
          </w:tcPr>
          <w:p>
            <w:pPr>
              <w:pStyle w:val="TableContents"/>
              <w:bidi w:val="0"/>
              <w:spacing w:before="0" w:after="283"/>
              <w:jc w:val="left"/>
              <w:rPr>
                <w:color w:val="000000"/>
              </w:rPr>
            </w:pPr>
            <w:r>
              <w:rPr>
                <w:color w:val="000000"/>
              </w:rPr>
              <w:t>Current portion of operating lease obligations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785,000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723,000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1" w:name="xdx_407_eus-gaap--LiabilitiesCurrent_i02"/>
            <w:bookmarkEnd w:id="61"/>
          </w:p>
        </w:tc>
      </w:tr>
      <w:tr>
        <w:trPr/>
        <w:tc>
          <w:tcPr>
            <w:tcW w:w="7010" w:type="dxa"/>
            <w:tcBorders/>
            <w:shd w:fill="FFFFFF" w:val="clear"/>
            <w:vAlign w:val="center"/>
          </w:tcPr>
          <w:p>
            <w:pPr>
              <w:pStyle w:val="TableContents"/>
              <w:bidi w:val="0"/>
              <w:spacing w:before="0" w:after="283"/>
              <w:jc w:val="left"/>
              <w:rPr>
                <w:color w:val="000000"/>
              </w:rPr>
            </w:pPr>
            <w:r>
              <w:rPr>
                <w:color w:val="000000"/>
              </w:rPr>
              <w:t>Total current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19,029,000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18,632,000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2" w:name="xdx_407_eus-gaap--OperatingLeaseLiabilit"/>
            <w:bookmarkEnd w:id="62"/>
          </w:p>
        </w:tc>
      </w:tr>
      <w:tr>
        <w:trPr/>
        <w:tc>
          <w:tcPr>
            <w:tcW w:w="7010" w:type="dxa"/>
            <w:tcBorders/>
            <w:shd w:fill="CCEEFF" w:val="clear"/>
            <w:vAlign w:val="center"/>
          </w:tcPr>
          <w:p>
            <w:pPr>
              <w:pStyle w:val="TableContents"/>
              <w:bidi w:val="0"/>
              <w:spacing w:before="0" w:after="283"/>
              <w:jc w:val="left"/>
              <w:rPr>
                <w:color w:val="000000"/>
              </w:rPr>
            </w:pPr>
            <w:r>
              <w:rPr>
                <w:color w:val="000000"/>
              </w:rPr>
              <w:t>Operating lease obligations, net of current portion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6,735,000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7,332,000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3" w:name="xdx_400_eus-gaap--AccountsPayableAndAccr"/>
            <w:bookmarkEnd w:id="63"/>
          </w:p>
        </w:tc>
      </w:tr>
      <w:tr>
        <w:trPr/>
        <w:tc>
          <w:tcPr>
            <w:tcW w:w="7010" w:type="dxa"/>
            <w:tcBorders/>
            <w:shd w:fill="FFFFFF" w:val="clear"/>
            <w:vAlign w:val="center"/>
          </w:tcPr>
          <w:p>
            <w:pPr>
              <w:pStyle w:val="TableContents"/>
              <w:bidi w:val="0"/>
              <w:spacing w:before="0" w:after="283"/>
              <w:jc w:val="left"/>
              <w:rPr>
                <w:color w:val="000000"/>
              </w:rPr>
            </w:pPr>
            <w:r>
              <w:rPr>
                <w:color w:val="000000"/>
              </w:rPr>
              <w:t>Accrued expenses, net of current portion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2,713,000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4" w:name="xdx_40A_eus-gaap--LongTermNotesPayable_i"/>
            <w:bookmarkEnd w:id="64"/>
          </w:p>
        </w:tc>
      </w:tr>
      <w:tr>
        <w:trPr/>
        <w:tc>
          <w:tcPr>
            <w:tcW w:w="7010" w:type="dxa"/>
            <w:tcBorders/>
            <w:shd w:fill="CCEEFF" w:val="clear"/>
            <w:vAlign w:val="center"/>
          </w:tcPr>
          <w:p>
            <w:pPr>
              <w:pStyle w:val="TableContents"/>
              <w:bidi w:val="0"/>
              <w:spacing w:before="0" w:after="283"/>
              <w:jc w:val="left"/>
              <w:rPr>
                <w:color w:val="000000"/>
              </w:rPr>
            </w:pPr>
            <w:r>
              <w:rPr>
                <w:color w:val="000000"/>
              </w:rPr>
              <w:t>Notes payable, net of unamortized debt discount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182,186,000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104,174,000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5" w:name="xdx_40E_eus-gaap--Liabilities_i01TI_mtCz"/>
            <w:bookmarkEnd w:id="65"/>
          </w:p>
        </w:tc>
      </w:tr>
      <w:tr>
        <w:trPr/>
        <w:tc>
          <w:tcPr>
            <w:tcW w:w="7010" w:type="dxa"/>
            <w:tcBorders/>
            <w:shd w:fill="FFFFFF" w:val="clear"/>
            <w:vAlign w:val="center"/>
          </w:tcPr>
          <w:p>
            <w:pPr>
              <w:pStyle w:val="TableContents"/>
              <w:bidi w:val="0"/>
              <w:spacing w:before="0" w:after="283"/>
              <w:jc w:val="left"/>
              <w:rPr>
                <w:color w:val="000000"/>
              </w:rPr>
            </w:pPr>
            <w:r>
              <w:rPr>
                <w:color w:val="000000"/>
              </w:rPr>
              <w:t>TOTAL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210,663,000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130,138,000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6" w:name="xdx_401_eus-gaap--CommitmentsAndContinge"/>
            <w:bookmarkEnd w:id="66"/>
          </w:p>
        </w:tc>
      </w:tr>
      <w:tr>
        <w:trPr/>
        <w:tc>
          <w:tcPr>
            <w:tcW w:w="7010" w:type="dxa"/>
            <w:tcBorders/>
            <w:shd w:fill="CCEEFF" w:val="clear"/>
            <w:vAlign w:val="center"/>
          </w:tcPr>
          <w:p>
            <w:pPr>
              <w:pStyle w:val="TableContents"/>
              <w:bidi w:val="0"/>
              <w:spacing w:before="0" w:after="283"/>
              <w:jc w:val="left"/>
              <w:rPr>
                <w:color w:val="000000"/>
              </w:rPr>
            </w:pPr>
            <w:r>
              <w:rPr>
                <w:color w:val="000000"/>
              </w:rPr>
              <w:t>Commitments and contingencies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7" w:name="xdx_402_eus-gaap--StockholdersEquityAbst"/>
            <w:bookmarkEnd w:id="67"/>
          </w:p>
        </w:tc>
      </w:tr>
      <w:tr>
        <w:trPr/>
        <w:tc>
          <w:tcPr>
            <w:tcW w:w="7010" w:type="dxa"/>
            <w:tcBorders/>
            <w:shd w:fill="FFFFFF" w:val="clear"/>
            <w:vAlign w:val="center"/>
          </w:tcPr>
          <w:p>
            <w:pPr>
              <w:pStyle w:val="TableContents"/>
              <w:bidi w:val="0"/>
              <w:spacing w:before="0" w:after="283"/>
              <w:jc w:val="left"/>
              <w:rPr>
                <w:color w:val="000000"/>
              </w:rPr>
            </w:pPr>
            <w:r>
              <w:rPr>
                <w:color w:val="000000"/>
              </w:rPr>
              <w:t>STOCKHOLDERS’ 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8" w:name="xdx_401_eus-gaap--CommonStockValue_i02I_"/>
            <w:bookmarkEnd w:id="68"/>
          </w:p>
        </w:tc>
      </w:tr>
      <w:tr>
        <w:trPr/>
        <w:tc>
          <w:tcPr>
            <w:tcW w:w="7010" w:type="dxa"/>
            <w:tcBorders/>
            <w:shd w:fill="CCEEFF" w:val="clear"/>
            <w:vAlign w:val="center"/>
          </w:tcPr>
          <w:p>
            <w:pPr>
              <w:pStyle w:val="TableContents"/>
              <w:bidi w:val="0"/>
              <w:spacing w:before="0" w:after="283"/>
              <w:jc w:val="both"/>
              <w:rPr>
                <w:color w:val="000000"/>
              </w:rPr>
            </w:pPr>
            <w:r>
              <w:rPr>
                <w:color w:val="000000"/>
              </w:rPr>
              <w:t>Common stock, $</w:t>
            </w:r>
            <w:bookmarkStart w:id="69" w:name="xdx_901_eus-gaap--CommonStockParOrStated"/>
            <w:bookmarkStart w:id="70" w:name="xdx_90D_eus-gaap--CommonStockParOrStated"/>
            <w:bookmarkEnd w:id="69"/>
            <w:bookmarkEnd w:id="70"/>
            <w:r>
              <w:rPr>
                <w:color w:val="000000"/>
              </w:rPr>
              <w:t xml:space="preserve">0.001 par value, </w:t>
            </w:r>
            <w:bookmarkStart w:id="71" w:name="xdx_909_eus-gaap--CommonStockSharesAutho"/>
            <w:bookmarkStart w:id="72" w:name="xdx_90B_eus-gaap--CommonStockSharesAutho"/>
            <w:bookmarkEnd w:id="71"/>
            <w:bookmarkEnd w:id="72"/>
            <w:r>
              <w:rPr>
                <w:color w:val="000000"/>
              </w:rPr>
              <w:t xml:space="preserve">50,000,000 shares authorized, </w:t>
            </w:r>
            <w:bookmarkStart w:id="73" w:name="xdx_90A_eus-gaap--CommonStockSharesOutst"/>
            <w:bookmarkStart w:id="74" w:name="xdx_90E_eus-gaap--CommonStockSharesIssue"/>
            <w:bookmarkEnd w:id="73"/>
            <w:bookmarkEnd w:id="74"/>
            <w:r>
              <w:rPr>
                <w:color w:val="000000"/>
              </w:rPr>
              <w:t xml:space="preserve">35,117,621 and </w:t>
            </w:r>
            <w:bookmarkStart w:id="75" w:name="xdx_901_eus-gaap--CommonStockSharesOutst"/>
            <w:bookmarkStart w:id="76" w:name="xdx_907_eus-gaap--CommonStockSharesIssue"/>
            <w:bookmarkEnd w:id="75"/>
            <w:bookmarkEnd w:id="76"/>
            <w:r>
              <w:rPr>
                <w:color w:val="000000"/>
              </w:rPr>
              <w:t>29,901,530 shares issued and outstanding at September 30, 2023 and December 31, 2022, respectively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35,000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30,000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7" w:name="xdx_40F_eus-gaap--AdditionalPaidInCapita"/>
            <w:bookmarkEnd w:id="77"/>
          </w:p>
        </w:tc>
      </w:tr>
      <w:tr>
        <w:trPr/>
        <w:tc>
          <w:tcPr>
            <w:tcW w:w="7010" w:type="dxa"/>
            <w:tcBorders/>
            <w:shd w:fill="FFFFFF" w:val="clear"/>
            <w:vAlign w:val="center"/>
          </w:tcPr>
          <w:p>
            <w:pPr>
              <w:pStyle w:val="TableContents"/>
              <w:bidi w:val="0"/>
              <w:spacing w:before="0" w:after="283"/>
              <w:jc w:val="left"/>
              <w:rPr>
                <w:color w:val="000000"/>
              </w:rPr>
            </w:pPr>
            <w:r>
              <w:rPr>
                <w:color w:val="000000"/>
              </w:rPr>
              <w:t>Additional paid-in capital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200,478,000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137,058,000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8" w:name="xdx_40A_eus-gaap--RetainedEarningsAccumu"/>
            <w:bookmarkEnd w:id="78"/>
          </w:p>
        </w:tc>
      </w:tr>
      <w:tr>
        <w:trPr/>
        <w:tc>
          <w:tcPr>
            <w:tcW w:w="7010" w:type="dxa"/>
            <w:tcBorders/>
            <w:shd w:fill="CCEEFF" w:val="clear"/>
            <w:vAlign w:val="center"/>
          </w:tcPr>
          <w:p>
            <w:pPr>
              <w:pStyle w:val="TableContents"/>
              <w:bidi w:val="0"/>
              <w:spacing w:before="0" w:after="283"/>
              <w:jc w:val="left"/>
              <w:rPr>
                <w:color w:val="000000"/>
              </w:rPr>
            </w:pPr>
            <w:r>
              <w:rPr>
                <w:color w:val="000000"/>
              </w:rPr>
              <w:t>Accumulated deficit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(124,756,000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(109,493,000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79" w:name="xdx_405_eus-gaap--StockholdersEquity_i02"/>
            <w:bookmarkEnd w:id="79"/>
          </w:p>
        </w:tc>
      </w:tr>
      <w:tr>
        <w:trPr/>
        <w:tc>
          <w:tcPr>
            <w:tcW w:w="7010" w:type="dxa"/>
            <w:tcBorders/>
            <w:shd w:fill="FFFFFF" w:val="clear"/>
            <w:vAlign w:val="center"/>
          </w:tcPr>
          <w:p>
            <w:pPr>
              <w:pStyle w:val="TableContents"/>
              <w:bidi w:val="0"/>
              <w:spacing w:before="0" w:after="283"/>
              <w:jc w:val="left"/>
              <w:rPr>
                <w:color w:val="000000"/>
              </w:rPr>
            </w:pPr>
            <w:r>
              <w:rPr>
                <w:color w:val="000000"/>
              </w:rPr>
              <w:t>TOTAL HARROW, INC. STOCKHOLDERS’ 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75,757,000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27,595,000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80" w:name="xdx_40E_eus-gaap--MinorityInterest_i02I_"/>
            <w:bookmarkEnd w:id="80"/>
          </w:p>
        </w:tc>
      </w:tr>
      <w:tr>
        <w:trPr/>
        <w:tc>
          <w:tcPr>
            <w:tcW w:w="7010" w:type="dxa"/>
            <w:tcBorders/>
            <w:shd w:fill="CCEEFF" w:val="clear"/>
            <w:vAlign w:val="center"/>
          </w:tcPr>
          <w:p>
            <w:pPr>
              <w:pStyle w:val="TableContents"/>
              <w:bidi w:val="0"/>
              <w:spacing w:before="0" w:after="283"/>
              <w:jc w:val="left"/>
              <w:rPr>
                <w:color w:val="000000"/>
              </w:rPr>
            </w:pPr>
            <w:r>
              <w:rPr>
                <w:color w:val="000000"/>
              </w:rPr>
              <w:t>Noncontrolling interests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(355,000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(355,000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81" w:name="xdx_40A_eus-gaap--StockholdersEquityIncl"/>
            <w:bookmarkEnd w:id="81"/>
          </w:p>
        </w:tc>
      </w:tr>
      <w:tr>
        <w:trPr/>
        <w:tc>
          <w:tcPr>
            <w:tcW w:w="7010" w:type="dxa"/>
            <w:tcBorders/>
            <w:shd w:fill="FFFFFF" w:val="clear"/>
            <w:vAlign w:val="center"/>
          </w:tcPr>
          <w:p>
            <w:pPr>
              <w:pStyle w:val="TableContents"/>
              <w:bidi w:val="0"/>
              <w:spacing w:before="0" w:after="283"/>
              <w:jc w:val="left"/>
              <w:rPr>
                <w:color w:val="000000"/>
              </w:rPr>
            </w:pPr>
            <w:r>
              <w:rPr>
                <w:color w:val="000000"/>
              </w:rPr>
              <w:t>TOTAL STOCKHOLDERS’ 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75,402,000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27,240,000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82" w:name="xdx_40C_eus-gaap--LiabilitiesAndStockhol"/>
            <w:bookmarkEnd w:id="82"/>
          </w:p>
        </w:tc>
      </w:tr>
      <w:tr>
        <w:trPr/>
        <w:tc>
          <w:tcPr>
            <w:tcW w:w="7010" w:type="dxa"/>
            <w:tcBorders/>
            <w:shd w:fill="CCEEFF" w:val="clear"/>
            <w:vAlign w:val="center"/>
          </w:tcPr>
          <w:p>
            <w:pPr>
              <w:pStyle w:val="TableContents"/>
              <w:bidi w:val="0"/>
              <w:spacing w:before="0" w:after="283"/>
              <w:jc w:val="left"/>
              <w:rPr>
                <w:color w:val="000000"/>
              </w:rPr>
            </w:pPr>
            <w:r>
              <w:rPr>
                <w:color w:val="000000"/>
              </w:rPr>
              <w:t>TOTAL LIABILITIES AND STOCKHOLDERS’ EQUITY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286,065,000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157,378,000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UNAUDITED CONDENSED CONSOLIDATED STATEMENTS OF OPERATIONS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83" w:name="xdx_302_113_zM8lipWVAzt2"/>
      <w:bookmarkStart w:id="84" w:name="xdx_302_113_zM8lipWVAzt2"/>
      <w:bookmarkEnd w:id="84"/>
    </w:p>
    <w:tbl>
      <w:tblPr>
        <w:tblW w:w="10205" w:type="dxa"/>
        <w:jc w:val="left"/>
        <w:tblInd w:w="0" w:type="dxa"/>
        <w:tblLayout w:type="fixed"/>
        <w:tblCellMar>
          <w:top w:w="0" w:type="dxa"/>
          <w:left w:w="0" w:type="dxa"/>
          <w:bottom w:w="0" w:type="dxa"/>
          <w:right w:w="0" w:type="dxa"/>
        </w:tblCellMar>
      </w:tblPr>
      <w:tblGrid>
        <w:gridCol w:w="4362"/>
        <w:gridCol w:w="60"/>
        <w:gridCol w:w="140"/>
        <w:gridCol w:w="1185"/>
        <w:gridCol w:w="95"/>
        <w:gridCol w:w="60"/>
        <w:gridCol w:w="140"/>
        <w:gridCol w:w="1109"/>
        <w:gridCol w:w="95"/>
        <w:gridCol w:w="60"/>
        <w:gridCol w:w="140"/>
        <w:gridCol w:w="1175"/>
        <w:gridCol w:w="95"/>
        <w:gridCol w:w="60"/>
        <w:gridCol w:w="140"/>
        <w:gridCol w:w="1175"/>
        <w:gridCol w:w="114"/>
      </w:tblGrid>
      <w:tr>
        <w:trPr/>
        <w:tc>
          <w:tcPr>
            <w:tcW w:w="436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85" w:name="xdx_499_20230701__20230930_zQk6UHvEK7Na"/>
            <w:bookmarkEnd w:id="85"/>
          </w:p>
        </w:tc>
        <w:tc>
          <w:tcPr>
            <w:tcW w:w="132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86" w:name="xdx_49E_20220701__20220930_zh17Rp6oiJLf"/>
            <w:bookmarkEnd w:id="86"/>
          </w:p>
        </w:tc>
        <w:tc>
          <w:tcPr>
            <w:tcW w:w="124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87" w:name="xdx_49F_20230101__20230930_z1nEQ3jCzT9k"/>
            <w:bookmarkEnd w:id="87"/>
          </w:p>
        </w:tc>
        <w:tc>
          <w:tcPr>
            <w:tcW w:w="131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88" w:name="xdx_49B_20220101__20220930_zVRJVhKu0ile"/>
            <w:bookmarkEnd w:id="88"/>
          </w:p>
        </w:tc>
        <w:tc>
          <w:tcPr>
            <w:tcW w:w="131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4" w:type="dxa"/>
            <w:tcBorders/>
            <w:vAlign w:val="center"/>
          </w:tcPr>
          <w:p>
            <w:pPr>
              <w:pStyle w:val="TableContents"/>
              <w:bidi w:val="0"/>
              <w:spacing w:before="0" w:after="283"/>
              <w:jc w:val="left"/>
              <w:rPr>
                <w:color w:val="000000"/>
              </w:rPr>
            </w:pPr>
            <w:r>
              <w:rPr>
                <w:color w:val="000000"/>
              </w:rPr>
              <w:t> </w:t>
            </w:r>
          </w:p>
        </w:tc>
      </w:tr>
      <w:tr>
        <w:trPr/>
        <w:tc>
          <w:tcPr>
            <w:tcW w:w="436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29" w:type="dxa"/>
            <w:gridSpan w:val="6"/>
            <w:tcBorders/>
            <w:vAlign w:val="center"/>
          </w:tcPr>
          <w:p>
            <w:pPr>
              <w:pStyle w:val="TableContents"/>
              <w:bidi w:val="0"/>
              <w:spacing w:before="0" w:after="283"/>
              <w:jc w:val="center"/>
              <w:rPr>
                <w:color w:val="000000"/>
              </w:rPr>
            </w:pPr>
            <w:r>
              <w:rPr>
                <w:color w:val="000000"/>
              </w:rPr>
              <w:t>For the Three Months Ended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85" w:type="dxa"/>
            <w:gridSpan w:val="6"/>
            <w:tcBorders/>
            <w:vAlign w:val="center"/>
          </w:tcPr>
          <w:p>
            <w:pPr>
              <w:pStyle w:val="TableContents"/>
              <w:bidi w:val="0"/>
              <w:spacing w:before="0" w:after="283"/>
              <w:jc w:val="center"/>
              <w:rPr>
                <w:color w:val="000000"/>
              </w:rPr>
            </w:pPr>
            <w:r>
              <w:rPr>
                <w:color w:val="000000"/>
              </w:rPr>
              <w:t>For the Nine Months Ended</w:t>
            </w:r>
          </w:p>
        </w:tc>
        <w:tc>
          <w:tcPr>
            <w:tcW w:w="114" w:type="dxa"/>
            <w:tcBorders/>
            <w:vAlign w:val="center"/>
          </w:tcPr>
          <w:p>
            <w:pPr>
              <w:pStyle w:val="TableContents"/>
              <w:bidi w:val="0"/>
              <w:spacing w:before="0" w:after="283"/>
              <w:jc w:val="left"/>
              <w:rPr>
                <w:color w:val="000000"/>
              </w:rPr>
            </w:pPr>
            <w:r>
              <w:rPr>
                <w:color w:val="000000"/>
              </w:rPr>
              <w:t> </w:t>
            </w:r>
          </w:p>
        </w:tc>
      </w:tr>
      <w:tr>
        <w:trPr/>
        <w:tc>
          <w:tcPr>
            <w:tcW w:w="436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29"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September 30,</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September 30,</w:t>
            </w:r>
          </w:p>
        </w:tc>
        <w:tc>
          <w:tcPr>
            <w:tcW w:w="114" w:type="dxa"/>
            <w:tcBorders/>
            <w:vAlign w:val="center"/>
          </w:tcPr>
          <w:p>
            <w:pPr>
              <w:pStyle w:val="TableContents"/>
              <w:bidi w:val="0"/>
              <w:spacing w:before="0" w:after="283"/>
              <w:jc w:val="left"/>
              <w:rPr>
                <w:color w:val="000000"/>
              </w:rPr>
            </w:pPr>
            <w:r>
              <w:rPr>
                <w:color w:val="000000"/>
              </w:rPr>
              <w:t> </w:t>
            </w:r>
          </w:p>
        </w:tc>
      </w:tr>
      <w:tr>
        <w:trPr/>
        <w:tc>
          <w:tcPr>
            <w:tcW w:w="436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4" w:type="dxa"/>
            <w:tcBorders/>
            <w:vAlign w:val="center"/>
          </w:tcPr>
          <w:p>
            <w:pPr>
              <w:pStyle w:val="TableContents"/>
              <w:bidi w:val="0"/>
              <w:spacing w:before="0" w:after="283"/>
              <w:jc w:val="left"/>
              <w:rPr>
                <w:color w:val="000000"/>
              </w:rPr>
            </w:pPr>
            <w:r>
              <w:rPr>
                <w:color w:val="000000"/>
              </w:rPr>
              <w:t> </w:t>
            </w:r>
            <w:bookmarkStart w:id="89" w:name="xdx_400_eus-gaap--RevenuesAbstract_iB_zW"/>
            <w:bookmarkEnd w:id="89"/>
          </w:p>
        </w:tc>
      </w:tr>
      <w:tr>
        <w:trPr/>
        <w:tc>
          <w:tcPr>
            <w:tcW w:w="4362" w:type="dxa"/>
            <w:tcBorders/>
            <w:shd w:fill="CCEEFF" w:val="clear"/>
            <w:vAlign w:val="center"/>
          </w:tcPr>
          <w:p>
            <w:pPr>
              <w:pStyle w:val="TableContents"/>
              <w:bidi w:val="0"/>
              <w:spacing w:before="0" w:after="283"/>
              <w:jc w:val="left"/>
              <w:rPr>
                <w:color w:val="000000"/>
              </w:rPr>
            </w:pPr>
            <w:r>
              <w:rPr>
                <w:color w:val="000000"/>
              </w:rPr>
              <w:t>Revenues: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25" w:type="dxa"/>
            <w:gridSpan w:val="2"/>
            <w:tcBorders/>
            <w:shd w:fill="CCEEFF" w:val="clear"/>
            <w:vAlign w:val="center"/>
          </w:tcPr>
          <w:p>
            <w:pPr>
              <w:pStyle w:val="TableContents"/>
              <w:bidi w:val="0"/>
              <w:spacing w:before="0" w:after="283"/>
              <w:jc w:val="lef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249" w:type="dxa"/>
            <w:gridSpan w:val="2"/>
            <w:tcBorders/>
            <w:shd w:fill="CCEEFF" w:val="clear"/>
            <w:vAlign w:val="center"/>
          </w:tcPr>
          <w:p>
            <w:pPr>
              <w:pStyle w:val="TableContents"/>
              <w:bidi w:val="0"/>
              <w:spacing w:before="0" w:after="283"/>
              <w:jc w:val="lef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15" w:type="dxa"/>
            <w:gridSpan w:val="2"/>
            <w:tcBorders/>
            <w:shd w:fill="CCEEFF" w:val="clear"/>
            <w:vAlign w:val="center"/>
          </w:tcPr>
          <w:p>
            <w:pPr>
              <w:pStyle w:val="TableContents"/>
              <w:bidi w:val="0"/>
              <w:spacing w:before="0" w:after="283"/>
              <w:jc w:val="lef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15" w:type="dxa"/>
            <w:gridSpan w:val="2"/>
            <w:tcBorders/>
            <w:shd w:fill="CCEEFF" w:val="clear"/>
            <w:vAlign w:val="center"/>
          </w:tcPr>
          <w:p>
            <w:pPr>
              <w:pStyle w:val="TableContents"/>
              <w:bidi w:val="0"/>
              <w:spacing w:before="0" w:after="283"/>
              <w:jc w:val="lef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bookmarkStart w:id="90" w:name="xdx_405_eus-gaap--RevenueFromContractWit"/>
            <w:bookmarkEnd w:id="90"/>
          </w:p>
        </w:tc>
      </w:tr>
      <w:tr>
        <w:trPr/>
        <w:tc>
          <w:tcPr>
            <w:tcW w:w="4362" w:type="dxa"/>
            <w:tcBorders/>
            <w:shd w:fill="FFFFFF" w:val="clear"/>
            <w:vAlign w:val="center"/>
          </w:tcPr>
          <w:p>
            <w:pPr>
              <w:pStyle w:val="TableContents"/>
              <w:bidi w:val="0"/>
              <w:spacing w:before="0" w:after="283"/>
              <w:jc w:val="left"/>
              <w:rPr>
                <w:color w:val="000000"/>
              </w:rPr>
            </w:pPr>
            <w:r>
              <w:rPr>
                <w:color w:val="000000"/>
              </w:rPr>
              <w:t>Product sales,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85" w:type="dxa"/>
            <w:tcBorders/>
            <w:shd w:fill="FFFFFF" w:val="clear"/>
            <w:vAlign w:val="center"/>
          </w:tcPr>
          <w:p>
            <w:pPr>
              <w:pStyle w:val="TableContents"/>
              <w:bidi w:val="0"/>
              <w:spacing w:before="0" w:after="283"/>
              <w:jc w:val="right"/>
              <w:rPr>
                <w:color w:val="000000"/>
              </w:rPr>
            </w:pPr>
            <w:r>
              <w:rPr>
                <w:color w:val="000000"/>
              </w:rPr>
              <w:t>31,809,000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09" w:type="dxa"/>
            <w:tcBorders/>
            <w:shd w:fill="FFFFFF" w:val="clear"/>
            <w:vAlign w:val="center"/>
          </w:tcPr>
          <w:p>
            <w:pPr>
              <w:pStyle w:val="TableContents"/>
              <w:bidi w:val="0"/>
              <w:spacing w:before="0" w:after="283"/>
              <w:jc w:val="right"/>
              <w:rPr>
                <w:color w:val="000000"/>
              </w:rPr>
            </w:pPr>
            <w:r>
              <w:rPr>
                <w:color w:val="000000"/>
              </w:rPr>
              <w:t>21,575,000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75" w:type="dxa"/>
            <w:tcBorders/>
            <w:shd w:fill="FFFFFF" w:val="clear"/>
            <w:vAlign w:val="center"/>
          </w:tcPr>
          <w:p>
            <w:pPr>
              <w:pStyle w:val="TableContents"/>
              <w:bidi w:val="0"/>
              <w:spacing w:before="0" w:after="283"/>
              <w:jc w:val="right"/>
              <w:rPr>
                <w:color w:val="000000"/>
              </w:rPr>
            </w:pPr>
            <w:r>
              <w:rPr>
                <w:color w:val="000000"/>
              </w:rPr>
              <w:t>81,804,000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75" w:type="dxa"/>
            <w:tcBorders/>
            <w:shd w:fill="FFFFFF" w:val="clear"/>
            <w:vAlign w:val="center"/>
          </w:tcPr>
          <w:p>
            <w:pPr>
              <w:pStyle w:val="TableContents"/>
              <w:bidi w:val="0"/>
              <w:spacing w:before="0" w:after="283"/>
              <w:jc w:val="right"/>
              <w:rPr>
                <w:color w:val="000000"/>
              </w:rPr>
            </w:pPr>
            <w:r>
              <w:rPr>
                <w:color w:val="000000"/>
              </w:rPr>
              <w:t>63,433,000</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91" w:name="xdx_40C_eus-gaap--RevenueFromContractWit"/>
            <w:bookmarkEnd w:id="91"/>
          </w:p>
        </w:tc>
      </w:tr>
      <w:tr>
        <w:trPr/>
        <w:tc>
          <w:tcPr>
            <w:tcW w:w="4362" w:type="dxa"/>
            <w:tcBorders/>
            <w:shd w:fill="CCEEFF" w:val="clear"/>
            <w:vAlign w:val="center"/>
          </w:tcPr>
          <w:p>
            <w:pPr>
              <w:pStyle w:val="TableContents"/>
              <w:bidi w:val="0"/>
              <w:spacing w:before="0" w:after="283"/>
              <w:jc w:val="left"/>
              <w:rPr>
                <w:color w:val="000000"/>
              </w:rPr>
            </w:pPr>
            <w:r>
              <w:rPr>
                <w:color w:val="000000"/>
              </w:rPr>
              <w:t>Other revenues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2,456,000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1,248,000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12,034,000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4,833,000</w:t>
            </w:r>
          </w:p>
        </w:tc>
        <w:tc>
          <w:tcPr>
            <w:tcW w:w="114" w:type="dxa"/>
            <w:tcBorders/>
            <w:shd w:fill="CCEEFF" w:val="clear"/>
            <w:vAlign w:val="center"/>
          </w:tcPr>
          <w:p>
            <w:pPr>
              <w:pStyle w:val="TableContents"/>
              <w:bidi w:val="0"/>
              <w:spacing w:before="0" w:after="283"/>
              <w:jc w:val="left"/>
              <w:rPr>
                <w:color w:val="000000"/>
              </w:rPr>
            </w:pPr>
            <w:r>
              <w:rPr>
                <w:color w:val="000000"/>
              </w:rPr>
              <w:t> </w:t>
            </w:r>
            <w:bookmarkStart w:id="92" w:name="xdx_401_eus-gaap--RevenueFromContractWit"/>
            <w:bookmarkEnd w:id="92"/>
          </w:p>
        </w:tc>
      </w:tr>
      <w:tr>
        <w:trPr/>
        <w:tc>
          <w:tcPr>
            <w:tcW w:w="4362" w:type="dxa"/>
            <w:tcBorders/>
            <w:shd w:fill="FFFFFF" w:val="clear"/>
            <w:vAlign w:val="center"/>
          </w:tcPr>
          <w:p>
            <w:pPr>
              <w:pStyle w:val="TableContents"/>
              <w:bidi w:val="0"/>
              <w:spacing w:before="0" w:after="283"/>
              <w:jc w:val="left"/>
              <w:rPr>
                <w:color w:val="000000"/>
              </w:rPr>
            </w:pPr>
            <w:r>
              <w:rPr>
                <w:color w:val="000000"/>
              </w:rPr>
              <w:t>Total revenues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85" w:type="dxa"/>
            <w:tcBorders/>
            <w:shd w:fill="FFFFFF" w:val="clear"/>
            <w:vAlign w:val="center"/>
          </w:tcPr>
          <w:p>
            <w:pPr>
              <w:pStyle w:val="TableContents"/>
              <w:bidi w:val="0"/>
              <w:spacing w:before="0" w:after="283"/>
              <w:jc w:val="right"/>
              <w:rPr>
                <w:color w:val="000000"/>
              </w:rPr>
            </w:pPr>
            <w:r>
              <w:rPr>
                <w:color w:val="000000"/>
              </w:rPr>
              <w:t>34,265,000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9" w:type="dxa"/>
            <w:tcBorders/>
            <w:shd w:fill="FFFFFF" w:val="clear"/>
            <w:vAlign w:val="center"/>
          </w:tcPr>
          <w:p>
            <w:pPr>
              <w:pStyle w:val="TableContents"/>
              <w:bidi w:val="0"/>
              <w:spacing w:before="0" w:after="283"/>
              <w:jc w:val="right"/>
              <w:rPr>
                <w:color w:val="000000"/>
              </w:rPr>
            </w:pPr>
            <w:r>
              <w:rPr>
                <w:color w:val="000000"/>
              </w:rPr>
              <w:t>22,823,000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93,838,000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68,266,000</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93" w:name="xdx_40C_eus-gaap--CostOfGoodsAndServices"/>
            <w:bookmarkEnd w:id="93"/>
          </w:p>
        </w:tc>
      </w:tr>
      <w:tr>
        <w:trPr/>
        <w:tc>
          <w:tcPr>
            <w:tcW w:w="4362" w:type="dxa"/>
            <w:tcBorders/>
            <w:shd w:fill="CCEEFF" w:val="clear"/>
            <w:vAlign w:val="center"/>
          </w:tcPr>
          <w:p>
            <w:pPr>
              <w:pStyle w:val="TableContents"/>
              <w:bidi w:val="0"/>
              <w:spacing w:before="0" w:after="283"/>
              <w:jc w:val="left"/>
              <w:rPr>
                <w:color w:val="000000"/>
              </w:rPr>
            </w:pPr>
            <w:r>
              <w:rPr>
                <w:color w:val="000000"/>
              </w:rPr>
              <w:t>Cost of sales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(10,067,000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(6,721,000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(28,338,000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(19,218,000</w:t>
            </w:r>
          </w:p>
        </w:tc>
        <w:tc>
          <w:tcPr>
            <w:tcW w:w="114" w:type="dxa"/>
            <w:tcBorders/>
            <w:shd w:fill="CCEEFF" w:val="clear"/>
            <w:vAlign w:val="center"/>
          </w:tcPr>
          <w:p>
            <w:pPr>
              <w:pStyle w:val="TableContents"/>
              <w:bidi w:val="0"/>
              <w:spacing w:before="0" w:after="283"/>
              <w:jc w:val="left"/>
              <w:rPr>
                <w:color w:val="000000"/>
              </w:rPr>
            </w:pPr>
            <w:r>
              <w:rPr>
                <w:color w:val="000000"/>
              </w:rPr>
              <w:t>)</w:t>
            </w:r>
            <w:bookmarkStart w:id="94" w:name="xdx_40A_eus-gaap--GrossProfit_iT_mtCzS1o"/>
            <w:bookmarkEnd w:id="94"/>
          </w:p>
        </w:tc>
      </w:tr>
      <w:tr>
        <w:trPr/>
        <w:tc>
          <w:tcPr>
            <w:tcW w:w="4362" w:type="dxa"/>
            <w:tcBorders/>
            <w:shd w:fill="FFFFFF" w:val="clear"/>
            <w:vAlign w:val="center"/>
          </w:tcPr>
          <w:p>
            <w:pPr>
              <w:pStyle w:val="TableContents"/>
              <w:bidi w:val="0"/>
              <w:spacing w:before="0" w:after="283"/>
              <w:jc w:val="left"/>
              <w:rPr>
                <w:color w:val="000000"/>
              </w:rPr>
            </w:pPr>
            <w:r>
              <w:rPr>
                <w:color w:val="000000"/>
              </w:rPr>
              <w:t>Gross profit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24,198,000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16,102,000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65,500,000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49,048,000</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95" w:name="xdx_400_eus-gaap--OperatingExpensesAbstr"/>
            <w:bookmarkEnd w:id="95"/>
          </w:p>
        </w:tc>
      </w:tr>
      <w:tr>
        <w:trPr/>
        <w:tc>
          <w:tcPr>
            <w:tcW w:w="4362" w:type="dxa"/>
            <w:tcBorders/>
            <w:shd w:fill="CCEEFF" w:val="clear"/>
            <w:vAlign w:val="center"/>
          </w:tcPr>
          <w:p>
            <w:pPr>
              <w:pStyle w:val="TableContents"/>
              <w:bidi w:val="0"/>
              <w:spacing w:before="0" w:after="283"/>
              <w:jc w:val="left"/>
              <w:rPr>
                <w:color w:val="000000"/>
              </w:rPr>
            </w:pPr>
            <w:r>
              <w:rPr>
                <w:color w:val="000000"/>
              </w:rPr>
              <w:t>Operating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8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bookmarkStart w:id="96" w:name="xdx_40D_eus-gaap--SellingGeneralAndAdmin"/>
            <w:bookmarkEnd w:id="96"/>
          </w:p>
        </w:tc>
      </w:tr>
      <w:tr>
        <w:trPr/>
        <w:tc>
          <w:tcPr>
            <w:tcW w:w="4362" w:type="dxa"/>
            <w:tcBorders/>
            <w:shd w:fill="FFFFFF" w:val="clear"/>
            <w:vAlign w:val="center"/>
          </w:tcPr>
          <w:p>
            <w:pPr>
              <w:pStyle w:val="TableContents"/>
              <w:bidi w:val="0"/>
              <w:spacing w:before="0" w:after="283"/>
              <w:jc w:val="left"/>
              <w:rPr>
                <w:color w:val="000000"/>
              </w:rPr>
            </w:pPr>
            <w:r>
              <w:rPr>
                <w:color w:val="000000"/>
              </w:rPr>
              <w:t>Selling, general and administrative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85" w:type="dxa"/>
            <w:tcBorders/>
            <w:shd w:fill="FFFFFF" w:val="clear"/>
            <w:vAlign w:val="center"/>
          </w:tcPr>
          <w:p>
            <w:pPr>
              <w:pStyle w:val="TableContents"/>
              <w:bidi w:val="0"/>
              <w:spacing w:before="0" w:after="283"/>
              <w:jc w:val="right"/>
              <w:rPr>
                <w:color w:val="000000"/>
              </w:rPr>
            </w:pPr>
            <w:r>
              <w:rPr>
                <w:color w:val="000000"/>
              </w:rPr>
              <w:t>21,033,000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9" w:type="dxa"/>
            <w:tcBorders/>
            <w:shd w:fill="FFFFFF" w:val="clear"/>
            <w:vAlign w:val="center"/>
          </w:tcPr>
          <w:p>
            <w:pPr>
              <w:pStyle w:val="TableContents"/>
              <w:bidi w:val="0"/>
              <w:spacing w:before="0" w:after="283"/>
              <w:jc w:val="right"/>
              <w:rPr>
                <w:color w:val="000000"/>
              </w:rPr>
            </w:pPr>
            <w:r>
              <w:rPr>
                <w:color w:val="000000"/>
              </w:rPr>
              <w:t>15,421,000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56,878,000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43,004,000</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97" w:name="xdx_405_eus-gaap--ResearchAndDevelopment"/>
            <w:bookmarkEnd w:id="97"/>
          </w:p>
        </w:tc>
      </w:tr>
      <w:tr>
        <w:trPr/>
        <w:tc>
          <w:tcPr>
            <w:tcW w:w="4362" w:type="dxa"/>
            <w:tcBorders/>
            <w:shd w:fill="CCEEFF" w:val="clear"/>
            <w:vAlign w:val="center"/>
          </w:tcPr>
          <w:p>
            <w:pPr>
              <w:pStyle w:val="TableContents"/>
              <w:bidi w:val="0"/>
              <w:spacing w:before="0" w:after="283"/>
              <w:jc w:val="left"/>
              <w:rPr>
                <w:color w:val="000000"/>
              </w:rPr>
            </w:pPr>
            <w:r>
              <w:rPr>
                <w:color w:val="000000"/>
              </w:rPr>
              <w:t>Research and development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1,421,000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775,000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3,316,000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2,347,000</w:t>
            </w:r>
          </w:p>
        </w:tc>
        <w:tc>
          <w:tcPr>
            <w:tcW w:w="114" w:type="dxa"/>
            <w:tcBorders/>
            <w:shd w:fill="CCEEFF" w:val="clear"/>
            <w:vAlign w:val="center"/>
          </w:tcPr>
          <w:p>
            <w:pPr>
              <w:pStyle w:val="TableContents"/>
              <w:bidi w:val="0"/>
              <w:spacing w:before="0" w:after="283"/>
              <w:jc w:val="left"/>
              <w:rPr>
                <w:color w:val="000000"/>
              </w:rPr>
            </w:pPr>
            <w:r>
              <w:rPr>
                <w:color w:val="000000"/>
              </w:rPr>
              <w:t> </w:t>
            </w:r>
            <w:bookmarkStart w:id="98" w:name="xdx_40B_eus-gaap--OperatingExpenses_i01T"/>
            <w:bookmarkEnd w:id="98"/>
          </w:p>
        </w:tc>
      </w:tr>
      <w:tr>
        <w:trPr/>
        <w:tc>
          <w:tcPr>
            <w:tcW w:w="4362" w:type="dxa"/>
            <w:tcBorders/>
            <w:shd w:fill="FFFFFF" w:val="clear"/>
            <w:vAlign w:val="center"/>
          </w:tcPr>
          <w:p>
            <w:pPr>
              <w:pStyle w:val="TableContents"/>
              <w:bidi w:val="0"/>
              <w:spacing w:before="0" w:after="283"/>
              <w:jc w:val="left"/>
              <w:rPr>
                <w:color w:val="000000"/>
              </w:rPr>
            </w:pPr>
            <w:r>
              <w:rPr>
                <w:color w:val="000000"/>
              </w:rPr>
              <w:t>Total operating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22,454,000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16,196,000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60,194,000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45,351,000</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99" w:name="xdx_409_eus-gaap--OperatingIncomeLoss_iT"/>
            <w:bookmarkEnd w:id="99"/>
          </w:p>
        </w:tc>
      </w:tr>
      <w:tr>
        <w:trPr/>
        <w:tc>
          <w:tcPr>
            <w:tcW w:w="4362" w:type="dxa"/>
            <w:tcBorders/>
            <w:shd w:fill="CCEEFF" w:val="clear"/>
            <w:vAlign w:val="center"/>
          </w:tcPr>
          <w:p>
            <w:pPr>
              <w:pStyle w:val="TableContents"/>
              <w:bidi w:val="0"/>
              <w:spacing w:before="0" w:after="283"/>
              <w:jc w:val="left"/>
              <w:rPr>
                <w:color w:val="000000"/>
              </w:rPr>
            </w:pPr>
            <w:r>
              <w:rPr>
                <w:color w:val="000000"/>
              </w:rPr>
              <w:t>Income (loss) from operations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1,744,000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(94,000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5,306,000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3,697,000</w:t>
            </w:r>
          </w:p>
        </w:tc>
        <w:tc>
          <w:tcPr>
            <w:tcW w:w="114" w:type="dxa"/>
            <w:tcBorders/>
            <w:shd w:fill="CCEEFF" w:val="clear"/>
            <w:vAlign w:val="center"/>
          </w:tcPr>
          <w:p>
            <w:pPr>
              <w:pStyle w:val="TableContents"/>
              <w:bidi w:val="0"/>
              <w:spacing w:before="0" w:after="283"/>
              <w:jc w:val="left"/>
              <w:rPr>
                <w:color w:val="000000"/>
              </w:rPr>
            </w:pPr>
            <w:r>
              <w:rPr>
                <w:color w:val="000000"/>
              </w:rPr>
              <w:t> </w:t>
            </w:r>
            <w:bookmarkStart w:id="100" w:name="xdx_404_eus-gaap--NonoperatingIncomeExpe"/>
            <w:bookmarkEnd w:id="100"/>
          </w:p>
        </w:tc>
      </w:tr>
      <w:tr>
        <w:trPr/>
        <w:tc>
          <w:tcPr>
            <w:tcW w:w="4362" w:type="dxa"/>
            <w:tcBorders/>
            <w:shd w:fill="FFFFFF" w:val="clear"/>
            <w:vAlign w:val="center"/>
          </w:tcPr>
          <w:p>
            <w:pPr>
              <w:pStyle w:val="TableContents"/>
              <w:bidi w:val="0"/>
              <w:spacing w:before="0" w:after="283"/>
              <w:jc w:val="left"/>
              <w:rPr>
                <w:color w:val="000000"/>
              </w:rPr>
            </w:pPr>
            <w:r>
              <w:rPr>
                <w:color w:val="000000"/>
              </w:rPr>
              <w:t>Other (expense) income: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8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101" w:name="xdx_406_eus-gaap--InterestExpense_i01N_d"/>
            <w:bookmarkEnd w:id="101"/>
          </w:p>
        </w:tc>
      </w:tr>
      <w:tr>
        <w:trPr/>
        <w:tc>
          <w:tcPr>
            <w:tcW w:w="4362" w:type="dxa"/>
            <w:tcBorders/>
            <w:shd w:fill="CCEEFF" w:val="clear"/>
            <w:vAlign w:val="center"/>
          </w:tcPr>
          <w:p>
            <w:pPr>
              <w:pStyle w:val="TableContents"/>
              <w:bidi w:val="0"/>
              <w:spacing w:before="0" w:after="283"/>
              <w:jc w:val="left"/>
              <w:rPr>
                <w:color w:val="000000"/>
              </w:rPr>
            </w:pPr>
            <w:r>
              <w:rPr>
                <w:color w:val="000000"/>
              </w:rPr>
              <w:t>Interest expense,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85" w:type="dxa"/>
            <w:tcBorders/>
            <w:shd w:fill="CCEEFF" w:val="clear"/>
            <w:vAlign w:val="center"/>
          </w:tcPr>
          <w:p>
            <w:pPr>
              <w:pStyle w:val="TableContents"/>
              <w:bidi w:val="0"/>
              <w:spacing w:before="0" w:after="283"/>
              <w:jc w:val="right"/>
              <w:rPr>
                <w:color w:val="000000"/>
              </w:rPr>
            </w:pPr>
            <w:r>
              <w:rPr>
                <w:color w:val="000000"/>
              </w:rPr>
              <w:t>(5,749,000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9" w:type="dxa"/>
            <w:tcBorders/>
            <w:shd w:fill="CCEEFF" w:val="clear"/>
            <w:vAlign w:val="center"/>
          </w:tcPr>
          <w:p>
            <w:pPr>
              <w:pStyle w:val="TableContents"/>
              <w:bidi w:val="0"/>
              <w:spacing w:before="0" w:after="283"/>
              <w:jc w:val="right"/>
              <w:rPr>
                <w:color w:val="000000"/>
              </w:rPr>
            </w:pPr>
            <w:r>
              <w:rPr>
                <w:color w:val="000000"/>
              </w:rPr>
              <w:t>(1,800,000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(16,200,000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(5,386,000</w:t>
            </w:r>
          </w:p>
        </w:tc>
        <w:tc>
          <w:tcPr>
            <w:tcW w:w="114" w:type="dxa"/>
            <w:tcBorders/>
            <w:shd w:fill="CCEEFF" w:val="clear"/>
            <w:vAlign w:val="center"/>
          </w:tcPr>
          <w:p>
            <w:pPr>
              <w:pStyle w:val="TableContents"/>
              <w:bidi w:val="0"/>
              <w:spacing w:before="0" w:after="283"/>
              <w:jc w:val="left"/>
              <w:rPr>
                <w:color w:val="000000"/>
              </w:rPr>
            </w:pPr>
            <w:r>
              <w:rPr>
                <w:color w:val="000000"/>
              </w:rPr>
              <w:t>)</w:t>
            </w:r>
            <w:bookmarkStart w:id="102" w:name="xdx_40B_ecustom--EquityInLossesOfUnconso"/>
            <w:bookmarkEnd w:id="102"/>
          </w:p>
        </w:tc>
      </w:tr>
      <w:tr>
        <w:trPr/>
        <w:tc>
          <w:tcPr>
            <w:tcW w:w="4362" w:type="dxa"/>
            <w:tcBorders/>
            <w:shd w:fill="FFFFFF" w:val="clear"/>
            <w:vAlign w:val="center"/>
          </w:tcPr>
          <w:p>
            <w:pPr>
              <w:pStyle w:val="TableContents"/>
              <w:bidi w:val="0"/>
              <w:spacing w:before="0" w:after="283"/>
              <w:jc w:val="left"/>
              <w:rPr>
                <w:color w:val="000000"/>
              </w:rPr>
            </w:pPr>
            <w:r>
              <w:rPr>
                <w:color w:val="000000"/>
              </w:rPr>
              <w:t>Equity in losses of unconsolidated entities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8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9" w:type="dxa"/>
            <w:tcBorders/>
            <w:shd w:fill="FFFFFF" w:val="clear"/>
            <w:vAlign w:val="center"/>
          </w:tcPr>
          <w:p>
            <w:pPr>
              <w:pStyle w:val="TableContents"/>
              <w:bidi w:val="0"/>
              <w:spacing w:before="0" w:after="283"/>
              <w:jc w:val="right"/>
              <w:rPr>
                <w:color w:val="000000"/>
              </w:rPr>
            </w:pPr>
            <w:r>
              <w:rPr>
                <w:color w:val="000000"/>
              </w:rPr>
              <w:t>(3,504,000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(9,036,000</w:t>
            </w:r>
          </w:p>
        </w:tc>
        <w:tc>
          <w:tcPr>
            <w:tcW w:w="114" w:type="dxa"/>
            <w:tcBorders/>
            <w:shd w:fill="FFFFFF" w:val="clear"/>
            <w:vAlign w:val="center"/>
          </w:tcPr>
          <w:p>
            <w:pPr>
              <w:pStyle w:val="TableContents"/>
              <w:bidi w:val="0"/>
              <w:spacing w:before="0" w:after="283"/>
              <w:jc w:val="left"/>
              <w:rPr>
                <w:color w:val="000000"/>
              </w:rPr>
            </w:pPr>
            <w:r>
              <w:rPr>
                <w:color w:val="000000"/>
              </w:rPr>
              <w:t>)</w:t>
            </w:r>
            <w:bookmarkStart w:id="103" w:name="xdx_405_eus-gaap--GainLossOnInvestments_"/>
            <w:bookmarkEnd w:id="103"/>
          </w:p>
        </w:tc>
      </w:tr>
      <w:tr>
        <w:trPr/>
        <w:tc>
          <w:tcPr>
            <w:tcW w:w="4362" w:type="dxa"/>
            <w:tcBorders/>
            <w:shd w:fill="CCEEFF" w:val="clear"/>
            <w:vAlign w:val="center"/>
          </w:tcPr>
          <w:p>
            <w:pPr>
              <w:pStyle w:val="TableContents"/>
              <w:bidi w:val="0"/>
              <w:spacing w:before="0" w:after="283"/>
              <w:jc w:val="left"/>
              <w:rPr>
                <w:color w:val="000000"/>
              </w:rPr>
            </w:pPr>
            <w:r>
              <w:rPr>
                <w:color w:val="000000"/>
              </w:rPr>
              <w:t>Investment gain (loss) from Eton Pharmaceuticals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85" w:type="dxa"/>
            <w:tcBorders/>
            <w:shd w:fill="CCEEFF" w:val="clear"/>
            <w:vAlign w:val="center"/>
          </w:tcPr>
          <w:p>
            <w:pPr>
              <w:pStyle w:val="TableContents"/>
              <w:bidi w:val="0"/>
              <w:spacing w:before="0" w:after="283"/>
              <w:jc w:val="right"/>
              <w:rPr>
                <w:color w:val="000000"/>
              </w:rPr>
            </w:pPr>
            <w:r>
              <w:rPr>
                <w:color w:val="000000"/>
              </w:rPr>
              <w:t>1,348,000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9" w:type="dxa"/>
            <w:tcBorders/>
            <w:shd w:fill="CCEEFF" w:val="clear"/>
            <w:vAlign w:val="center"/>
          </w:tcPr>
          <w:p>
            <w:pPr>
              <w:pStyle w:val="TableContents"/>
              <w:bidi w:val="0"/>
              <w:spacing w:before="0" w:after="283"/>
              <w:jc w:val="right"/>
              <w:rPr>
                <w:color w:val="000000"/>
              </w:rPr>
            </w:pPr>
            <w:r>
              <w:rPr>
                <w:color w:val="000000"/>
              </w:rPr>
              <w:t>(1,031,000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2,676,000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(4,341,000</w:t>
            </w:r>
          </w:p>
        </w:tc>
        <w:tc>
          <w:tcPr>
            <w:tcW w:w="114" w:type="dxa"/>
            <w:tcBorders/>
            <w:shd w:fill="CCEEFF" w:val="clear"/>
            <w:vAlign w:val="center"/>
          </w:tcPr>
          <w:p>
            <w:pPr>
              <w:pStyle w:val="TableContents"/>
              <w:bidi w:val="0"/>
              <w:spacing w:before="0" w:after="283"/>
              <w:jc w:val="left"/>
              <w:rPr>
                <w:color w:val="000000"/>
              </w:rPr>
            </w:pPr>
            <w:r>
              <w:rPr>
                <w:color w:val="000000"/>
              </w:rPr>
              <w:t>)</w:t>
            </w:r>
            <w:bookmarkStart w:id="104" w:name="xdx_40B_eus-gaap--ExtinguishmentOfDebtGa"/>
            <w:bookmarkEnd w:id="104"/>
          </w:p>
        </w:tc>
      </w:tr>
      <w:tr>
        <w:trPr/>
        <w:tc>
          <w:tcPr>
            <w:tcW w:w="4362" w:type="dxa"/>
            <w:tcBorders/>
            <w:shd w:fill="FFFFFF" w:val="clear"/>
            <w:vAlign w:val="center"/>
          </w:tcPr>
          <w:p>
            <w:pPr>
              <w:pStyle w:val="TableContents"/>
              <w:bidi w:val="0"/>
              <w:spacing w:before="0" w:after="283"/>
              <w:jc w:val="left"/>
              <w:rPr>
                <w:color w:val="000000"/>
              </w:rPr>
            </w:pPr>
            <w:r>
              <w:rPr>
                <w:color w:val="000000"/>
              </w:rPr>
              <w:t>Loss on extinguishment of debt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8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(5,465,000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114" w:type="dxa"/>
            <w:tcBorders/>
            <w:shd w:fill="FFFFFF" w:val="clear"/>
            <w:vAlign w:val="center"/>
          </w:tcPr>
          <w:p>
            <w:pPr>
              <w:pStyle w:val="TableContents"/>
              <w:bidi w:val="0"/>
              <w:spacing w:before="0" w:after="283"/>
              <w:jc w:val="left"/>
              <w:rPr>
                <w:color w:val="000000"/>
              </w:rPr>
            </w:pPr>
            <w:r>
              <w:rPr>
                <w:color w:val="000000"/>
              </w:rPr>
              <w:t> </w:t>
            </w:r>
            <w:bookmarkStart w:id="105" w:name="xdx_401_eus-gaap--OtherNonoperatingIncom"/>
            <w:bookmarkEnd w:id="105"/>
          </w:p>
        </w:tc>
      </w:tr>
      <w:tr>
        <w:trPr/>
        <w:tc>
          <w:tcPr>
            <w:tcW w:w="4362" w:type="dxa"/>
            <w:tcBorders/>
            <w:shd w:fill="CCEEFF" w:val="clear"/>
            <w:vAlign w:val="center"/>
          </w:tcPr>
          <w:p>
            <w:pPr>
              <w:pStyle w:val="TableContents"/>
              <w:bidi w:val="0"/>
              <w:spacing w:before="0" w:after="283"/>
              <w:jc w:val="left"/>
              <w:rPr>
                <w:color w:val="000000"/>
              </w:rPr>
            </w:pPr>
            <w:r>
              <w:rPr>
                <w:color w:val="000000"/>
              </w:rPr>
              <w:t>Other expense,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(195,000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(344,000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114" w:type="dxa"/>
            <w:tcBorders/>
            <w:shd w:fill="CCEEFF" w:val="clear"/>
            <w:vAlign w:val="center"/>
          </w:tcPr>
          <w:p>
            <w:pPr>
              <w:pStyle w:val="TableContents"/>
              <w:bidi w:val="0"/>
              <w:spacing w:before="0" w:after="283"/>
              <w:jc w:val="left"/>
              <w:rPr>
                <w:color w:val="000000"/>
              </w:rPr>
            </w:pPr>
            <w:r>
              <w:rPr>
                <w:color w:val="000000"/>
              </w:rPr>
              <w:t> </w:t>
            </w:r>
            <w:bookmarkStart w:id="106" w:name="xdx_404_eus-gaap--NonoperatingIncomeExpe"/>
            <w:bookmarkEnd w:id="106"/>
          </w:p>
        </w:tc>
      </w:tr>
      <w:tr>
        <w:trPr/>
        <w:tc>
          <w:tcPr>
            <w:tcW w:w="4362" w:type="dxa"/>
            <w:tcBorders/>
            <w:shd w:fill="FFFFFF" w:val="clear"/>
            <w:vAlign w:val="center"/>
          </w:tcPr>
          <w:p>
            <w:pPr>
              <w:pStyle w:val="TableContents"/>
              <w:bidi w:val="0"/>
              <w:spacing w:before="0" w:after="283"/>
              <w:jc w:val="left"/>
              <w:rPr>
                <w:color w:val="000000"/>
              </w:rPr>
            </w:pPr>
            <w:r>
              <w:rPr>
                <w:color w:val="000000"/>
              </w:rPr>
              <w:t>Total other expense,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(4,596,000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(6,335,000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(19,333,000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(18,763,000</w:t>
            </w:r>
          </w:p>
        </w:tc>
        <w:tc>
          <w:tcPr>
            <w:tcW w:w="114" w:type="dxa"/>
            <w:tcBorders/>
            <w:shd w:fill="FFFFFF" w:val="clear"/>
            <w:vAlign w:val="center"/>
          </w:tcPr>
          <w:p>
            <w:pPr>
              <w:pStyle w:val="TableContents"/>
              <w:bidi w:val="0"/>
              <w:spacing w:before="0" w:after="283"/>
              <w:jc w:val="left"/>
              <w:rPr>
                <w:color w:val="000000"/>
              </w:rPr>
            </w:pPr>
            <w:r>
              <w:rPr>
                <w:color w:val="000000"/>
              </w:rPr>
              <w:t>)</w:t>
            </w:r>
            <w:bookmarkStart w:id="107" w:name="xdx_40F_eus-gaap--IncomeLossFromContinui"/>
            <w:bookmarkEnd w:id="107"/>
          </w:p>
        </w:tc>
      </w:tr>
      <w:tr>
        <w:trPr/>
        <w:tc>
          <w:tcPr>
            <w:tcW w:w="4362" w:type="dxa"/>
            <w:tcBorders/>
            <w:shd w:fill="CCEEFF" w:val="clear"/>
            <w:vAlign w:val="center"/>
          </w:tcPr>
          <w:p>
            <w:pPr>
              <w:pStyle w:val="TableContents"/>
              <w:bidi w:val="0"/>
              <w:spacing w:before="0" w:after="283"/>
              <w:jc w:val="left"/>
              <w:rPr>
                <w:color w:val="000000"/>
              </w:rPr>
            </w:pPr>
            <w:r>
              <w:rPr>
                <w:color w:val="000000"/>
              </w:rPr>
              <w:t>Loss before income taxes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85" w:type="dxa"/>
            <w:tcBorders/>
            <w:shd w:fill="CCEEFF" w:val="clear"/>
            <w:vAlign w:val="center"/>
          </w:tcPr>
          <w:p>
            <w:pPr>
              <w:pStyle w:val="TableContents"/>
              <w:bidi w:val="0"/>
              <w:spacing w:before="0" w:after="283"/>
              <w:jc w:val="right"/>
              <w:rPr>
                <w:color w:val="000000"/>
              </w:rPr>
            </w:pPr>
            <w:r>
              <w:rPr>
                <w:color w:val="000000"/>
              </w:rPr>
              <w:t>(2,852,000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9" w:type="dxa"/>
            <w:tcBorders/>
            <w:shd w:fill="CCEEFF" w:val="clear"/>
            <w:vAlign w:val="center"/>
          </w:tcPr>
          <w:p>
            <w:pPr>
              <w:pStyle w:val="TableContents"/>
              <w:bidi w:val="0"/>
              <w:spacing w:before="0" w:after="283"/>
              <w:jc w:val="right"/>
              <w:rPr>
                <w:color w:val="000000"/>
              </w:rPr>
            </w:pPr>
            <w:r>
              <w:rPr>
                <w:color w:val="000000"/>
              </w:rPr>
              <w:t>(6,429,000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(14,027,000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(15,066,000</w:t>
            </w:r>
          </w:p>
        </w:tc>
        <w:tc>
          <w:tcPr>
            <w:tcW w:w="114" w:type="dxa"/>
            <w:tcBorders/>
            <w:shd w:fill="CCEEFF" w:val="clear"/>
            <w:vAlign w:val="center"/>
          </w:tcPr>
          <w:p>
            <w:pPr>
              <w:pStyle w:val="TableContents"/>
              <w:bidi w:val="0"/>
              <w:spacing w:before="0" w:after="283"/>
              <w:jc w:val="left"/>
              <w:rPr>
                <w:color w:val="000000"/>
              </w:rPr>
            </w:pPr>
            <w:r>
              <w:rPr>
                <w:color w:val="000000"/>
              </w:rPr>
              <w:t>)</w:t>
            </w:r>
            <w:bookmarkStart w:id="108" w:name="xdx_403_eus-gaap--IncomeTaxExpenseBenefi"/>
            <w:bookmarkEnd w:id="108"/>
          </w:p>
        </w:tc>
      </w:tr>
      <w:tr>
        <w:trPr/>
        <w:tc>
          <w:tcPr>
            <w:tcW w:w="4362" w:type="dxa"/>
            <w:tcBorders/>
            <w:shd w:fill="FFFFFF" w:val="clear"/>
            <w:vAlign w:val="center"/>
          </w:tcPr>
          <w:p>
            <w:pPr>
              <w:pStyle w:val="TableContents"/>
              <w:bidi w:val="0"/>
              <w:spacing w:before="0" w:after="283"/>
              <w:jc w:val="left"/>
              <w:rPr>
                <w:color w:val="000000"/>
              </w:rPr>
            </w:pPr>
            <w:r>
              <w:rPr>
                <w:color w:val="000000"/>
              </w:rPr>
              <w:t>Income tax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(1,539,000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(1,236,000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(75,000</w:t>
            </w:r>
          </w:p>
        </w:tc>
        <w:tc>
          <w:tcPr>
            <w:tcW w:w="114" w:type="dxa"/>
            <w:tcBorders/>
            <w:shd w:fill="FFFFFF" w:val="clear"/>
            <w:vAlign w:val="center"/>
          </w:tcPr>
          <w:p>
            <w:pPr>
              <w:pStyle w:val="TableContents"/>
              <w:bidi w:val="0"/>
              <w:spacing w:before="0" w:after="283"/>
              <w:jc w:val="left"/>
              <w:rPr>
                <w:color w:val="000000"/>
              </w:rPr>
            </w:pPr>
            <w:r>
              <w:rPr>
                <w:color w:val="000000"/>
              </w:rPr>
              <w:t>)</w:t>
            </w:r>
            <w:bookmarkStart w:id="109" w:name="xdx_40D_eus-gaap--NetIncomeLoss_iT_maCzp"/>
            <w:bookmarkEnd w:id="109"/>
          </w:p>
        </w:tc>
      </w:tr>
      <w:tr>
        <w:trPr/>
        <w:tc>
          <w:tcPr>
            <w:tcW w:w="4362" w:type="dxa"/>
            <w:tcBorders/>
            <w:shd w:fill="CCEEFF" w:val="clear"/>
            <w:vAlign w:val="center"/>
          </w:tcPr>
          <w:p>
            <w:pPr>
              <w:pStyle w:val="TableContents"/>
              <w:bidi w:val="0"/>
              <w:spacing w:before="0" w:after="283"/>
              <w:jc w:val="left"/>
              <w:rPr>
                <w:color w:val="000000"/>
              </w:rPr>
            </w:pPr>
            <w:r>
              <w:rPr>
                <w:color w:val="000000"/>
              </w:rPr>
              <w:t>Net loss attributable to Harrow, Inc.</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(4,391,000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(6,464,000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(15,263,000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(15,141,000</w:t>
            </w:r>
          </w:p>
        </w:tc>
        <w:tc>
          <w:tcPr>
            <w:tcW w:w="114" w:type="dxa"/>
            <w:tcBorders/>
            <w:shd w:fill="CCEEFF" w:val="clear"/>
            <w:vAlign w:val="center"/>
          </w:tcPr>
          <w:p>
            <w:pPr>
              <w:pStyle w:val="TableContents"/>
              <w:bidi w:val="0"/>
              <w:spacing w:before="0" w:after="283"/>
              <w:jc w:val="left"/>
              <w:rPr>
                <w:color w:val="000000"/>
              </w:rPr>
            </w:pPr>
            <w:r>
              <w:rPr>
                <w:color w:val="000000"/>
              </w:rPr>
              <w:t>)</w:t>
            </w:r>
          </w:p>
        </w:tc>
      </w:tr>
      <w:tr>
        <w:trPr/>
        <w:tc>
          <w:tcPr>
            <w:tcW w:w="4362" w:type="dxa"/>
            <w:tcBorders/>
            <w:shd w:fill="FFFFFF" w:val="clear"/>
            <w:vAlign w:val="center"/>
          </w:tcPr>
          <w:p>
            <w:pPr>
              <w:pStyle w:val="TableContents"/>
              <w:bidi w:val="0"/>
              <w:spacing w:before="0" w:after="283"/>
              <w:jc w:val="left"/>
              <w:rPr>
                <w:color w:val="000000"/>
              </w:rPr>
            </w:pPr>
            <w:r>
              <w:rPr>
                <w:color w:val="000000"/>
              </w:rPr>
              <w:t>Basic and diluted net loss per share of common stock</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bookmarkStart w:id="110" w:name="xdx_903_eus-gaap--EarningsPerShareDilute"/>
            <w:bookmarkStart w:id="111" w:name="xdx_908_eus-gaap--EarningsPerShareBasic_"/>
            <w:bookmarkEnd w:id="110"/>
            <w:bookmarkEnd w:id="111"/>
            <w:r>
              <w:rPr>
                <w:color w:val="000000"/>
              </w:rPr>
              <w:t>(0.13</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bookmarkStart w:id="112" w:name="xdx_904_eus-gaap--EarningsPerShareDilute"/>
            <w:bookmarkStart w:id="113" w:name="xdx_90E_eus-gaap--EarningsPerShareBasic_"/>
            <w:bookmarkEnd w:id="112"/>
            <w:bookmarkEnd w:id="113"/>
            <w:r>
              <w:rPr>
                <w:color w:val="000000"/>
              </w:rPr>
              <w:t>(0.24</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bookmarkStart w:id="114" w:name="xdx_90B_eus-gaap--EarningsPerShareDilute"/>
            <w:bookmarkStart w:id="115" w:name="xdx_909_eus-gaap--EarningsPerShareBasic_"/>
            <w:bookmarkEnd w:id="114"/>
            <w:bookmarkEnd w:id="115"/>
            <w:r>
              <w:rPr>
                <w:color w:val="000000"/>
              </w:rPr>
              <w:t>(0.48</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bookmarkStart w:id="116" w:name="xdx_905_eus-gaap--EarningsPerShareDilute"/>
            <w:bookmarkStart w:id="117" w:name="xdx_900_eus-gaap--EarningsPerShareBasic_"/>
            <w:bookmarkEnd w:id="116"/>
            <w:bookmarkEnd w:id="117"/>
            <w:r>
              <w:rPr>
                <w:color w:val="000000"/>
              </w:rPr>
              <w:t>(0.55</w:t>
            </w:r>
          </w:p>
        </w:tc>
        <w:tc>
          <w:tcPr>
            <w:tcW w:w="114" w:type="dxa"/>
            <w:tcBorders/>
            <w:shd w:fill="FFFFFF" w:val="clear"/>
            <w:vAlign w:val="center"/>
          </w:tcPr>
          <w:p>
            <w:pPr>
              <w:pStyle w:val="TableContents"/>
              <w:bidi w:val="0"/>
              <w:spacing w:before="0" w:after="283"/>
              <w:jc w:val="left"/>
              <w:rPr>
                <w:color w:val="000000"/>
              </w:rPr>
            </w:pPr>
            <w:r>
              <w:rPr>
                <w:color w:val="000000"/>
              </w:rPr>
              <w:t>)</w:t>
            </w:r>
          </w:p>
        </w:tc>
      </w:tr>
      <w:tr>
        <w:trPr/>
        <w:tc>
          <w:tcPr>
            <w:tcW w:w="4362" w:type="dxa"/>
            <w:tcBorders/>
            <w:shd w:fill="CCEEFF" w:val="clear"/>
            <w:vAlign w:val="center"/>
          </w:tcPr>
          <w:p>
            <w:pPr>
              <w:pStyle w:val="TableContents"/>
              <w:bidi w:val="0"/>
              <w:spacing w:before="0" w:after="283"/>
              <w:jc w:val="left"/>
              <w:rPr>
                <w:color w:val="000000"/>
              </w:rPr>
            </w:pPr>
            <w:r>
              <w:rPr>
                <w:color w:val="000000"/>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118" w:name="xdx_908_eus-gaap--WeightedAverageNumberO"/>
            <w:bookmarkStart w:id="119" w:name="xdx_909_eus-gaap--WeightedAverageNumberO"/>
            <w:bookmarkEnd w:id="118"/>
            <w:bookmarkEnd w:id="119"/>
            <w:r>
              <w:rPr>
                <w:color w:val="000000"/>
              </w:rPr>
              <w:t>34,255,197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120" w:name="xdx_90D_eus-gaap--WeightedAverageNumberO"/>
            <w:bookmarkStart w:id="121" w:name="xdx_901_eus-gaap--WeightedAverageNumberO"/>
            <w:bookmarkEnd w:id="120"/>
            <w:bookmarkEnd w:id="121"/>
            <w:r>
              <w:rPr>
                <w:color w:val="000000"/>
              </w:rPr>
              <w:t>27,349,642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122" w:name="xdx_90B_eus-gaap--WeightedAverageNumberO"/>
            <w:bookmarkStart w:id="123" w:name="xdx_906_eus-gaap--WeightedAverageNumberO"/>
            <w:bookmarkEnd w:id="122"/>
            <w:bookmarkEnd w:id="123"/>
            <w:r>
              <w:rPr>
                <w:color w:val="000000"/>
              </w:rPr>
              <w:t>31,689,947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124" w:name="xdx_90C_eus-gaap--WeightedAverageNumberO"/>
            <w:bookmarkStart w:id="125" w:name="xdx_90A_eus-gaap--WeightedAverageNumberO"/>
            <w:bookmarkEnd w:id="124"/>
            <w:bookmarkEnd w:id="125"/>
            <w:r>
              <w:rPr>
                <w:color w:val="000000"/>
              </w:rPr>
              <w:t>27,293,756</w:t>
            </w:r>
          </w:p>
        </w:tc>
        <w:tc>
          <w:tcPr>
            <w:tcW w:w="114"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HARROW, INC.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UNAUDITED 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periods ended September 30, 2023 and 2022</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126" w:name="xdx_305_114_zLOPaWfzsPme"/>
      <w:bookmarkStart w:id="127" w:name="xdx_305_114_zLOPaWfzsPme"/>
      <w:bookmarkEnd w:id="127"/>
    </w:p>
    <w:tbl>
      <w:tblPr>
        <w:tblW w:w="1169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340"/>
        <w:gridCol w:w="95"/>
        <w:gridCol w:w="60"/>
        <w:gridCol w:w="201"/>
        <w:gridCol w:w="1259"/>
        <w:gridCol w:w="95"/>
        <w:gridCol w:w="60"/>
        <w:gridCol w:w="140"/>
        <w:gridCol w:w="1400"/>
        <w:gridCol w:w="110"/>
      </w:tblGrid>
      <w:tr>
        <w:trPr/>
        <w:tc>
          <w:tcPr>
            <w:tcW w:w="13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28" w:name="xdx_4B7_us-gaap--StatementEquityComponen"/>
            <w:bookmarkEnd w:id="128"/>
          </w:p>
        </w:tc>
        <w:tc>
          <w:tcPr>
            <w:tcW w:w="82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29" w:name="xdx_4B5_us-gaap--StatementEquityComponen"/>
            <w:bookmarkEnd w:id="129"/>
          </w:p>
        </w:tc>
        <w:tc>
          <w:tcPr>
            <w:tcW w:w="136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30" w:name="xdx_4BE_us-gaap--StatementEquityComponen"/>
            <w:bookmarkEnd w:id="130"/>
          </w:p>
        </w:tc>
        <w:tc>
          <w:tcPr>
            <w:tcW w:w="1435"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31" w:name="xdx_4B5_us-gaap--StatementEquityComponen"/>
            <w:bookmarkEnd w:id="131"/>
          </w:p>
        </w:tc>
        <w:tc>
          <w:tcPr>
            <w:tcW w:w="1480" w:type="dxa"/>
            <w:gridSpan w:val="2"/>
            <w:tcBorders/>
            <w:vAlign w:val="center"/>
          </w:tcPr>
          <w:p>
            <w:pPr>
              <w:pStyle w:val="TableContents"/>
              <w:bidi w:val="0"/>
              <w:spacing w:before="0" w:after="283"/>
              <w:jc w:val="center"/>
              <w:rPr>
                <w:color w:val="000000"/>
              </w:rPr>
            </w:pPr>
            <w:r>
              <w:rPr>
                <w:color w:val="000000"/>
              </w:rPr>
              <w:t>Total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32" w:name="xdx_4B2_us-gaap--StatementEquityComponen"/>
            <w:bookmarkEnd w:id="132"/>
          </w:p>
        </w:tc>
        <w:tc>
          <w:tcPr>
            <w:tcW w:w="1460" w:type="dxa"/>
            <w:gridSpan w:val="2"/>
            <w:tcBorders/>
            <w:vAlign w:val="center"/>
          </w:tcPr>
          <w:p>
            <w:pPr>
              <w:pStyle w:val="TableContents"/>
              <w:bidi w:val="0"/>
              <w:spacing w:before="0" w:after="283"/>
              <w:jc w:val="center"/>
              <w:rPr>
                <w:color w:val="000000"/>
              </w:rPr>
            </w:pPr>
            <w:r>
              <w:rPr>
                <w:color w:val="000000"/>
              </w:rPr>
              <w:t>Total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33" w:name="xdx_4B9_zRkI8rCFy0N1"/>
            <w:bookmarkEnd w:id="133"/>
          </w:p>
        </w:tc>
        <w:tc>
          <w:tcPr>
            <w:tcW w:w="1540" w:type="dxa"/>
            <w:gridSpan w:val="2"/>
            <w:tcBorders/>
            <w:vAlign w:val="center"/>
          </w:tcPr>
          <w:p>
            <w:pPr>
              <w:pStyle w:val="TableContents"/>
              <w:bidi w:val="0"/>
              <w:spacing w:before="0" w:after="283"/>
              <w:jc w:val="lef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p>
        </w:tc>
      </w:tr>
      <w:tr>
        <w:trPr/>
        <w:tc>
          <w:tcPr>
            <w:tcW w:w="13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Common Stock</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vAlign w:val="center"/>
          </w:tcPr>
          <w:p>
            <w:pPr>
              <w:pStyle w:val="TableContents"/>
              <w:bidi w:val="0"/>
              <w:spacing w:before="0" w:after="283"/>
              <w:jc w:val="center"/>
              <w:rPr>
                <w:color w:val="000000"/>
              </w:rPr>
            </w:pPr>
            <w:r>
              <w:rPr>
                <w:color w:val="000000"/>
              </w:rPr>
              <w:t>Additional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0" w:type="dxa"/>
            <w:gridSpan w:val="2"/>
            <w:tcBorders/>
            <w:vAlign w:val="center"/>
          </w:tcPr>
          <w:p>
            <w:pPr>
              <w:pStyle w:val="TableContents"/>
              <w:bidi w:val="0"/>
              <w:spacing w:before="0" w:after="283"/>
              <w:jc w:val="center"/>
              <w:rPr>
                <w:color w:val="000000"/>
              </w:rPr>
            </w:pPr>
            <w:r>
              <w:rPr>
                <w:color w:val="000000"/>
              </w:rPr>
              <w:t>Harrow, Inc.</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60" w:type="dxa"/>
            <w:gridSpan w:val="2"/>
            <w:tcBorders/>
            <w:vAlign w:val="center"/>
          </w:tcPr>
          <w:p>
            <w:pPr>
              <w:pStyle w:val="TableContents"/>
              <w:bidi w:val="0"/>
              <w:spacing w:before="0" w:after="283"/>
              <w:jc w:val="center"/>
              <w:rPr>
                <w:color w:val="000000"/>
              </w:rPr>
            </w:pPr>
            <w:r>
              <w:rPr>
                <w:color w:val="000000"/>
              </w:rPr>
              <w:t>Noncontrolling</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40" w:type="dxa"/>
            <w:gridSpan w:val="2"/>
            <w:tcBorders/>
            <w:vAlign w:val="center"/>
          </w:tcPr>
          <w:p>
            <w:pPr>
              <w:pStyle w:val="TableContents"/>
              <w:bidi w:val="0"/>
              <w:spacing w:before="0" w:after="283"/>
              <w:jc w:val="center"/>
              <w:rPr>
                <w:color w:val="000000"/>
              </w:rPr>
            </w:pPr>
            <w:r>
              <w:rPr>
                <w:color w:val="000000"/>
              </w:rPr>
              <w:t>Total</w:t>
            </w:r>
          </w:p>
        </w:tc>
        <w:tc>
          <w:tcPr>
            <w:tcW w:w="110" w:type="dxa"/>
            <w:tcBorders/>
            <w:vAlign w:val="center"/>
          </w:tcPr>
          <w:p>
            <w:pPr>
              <w:pStyle w:val="TableContents"/>
              <w:bidi w:val="0"/>
              <w:spacing w:before="0" w:after="283"/>
              <w:jc w:val="left"/>
              <w:rPr>
                <w:color w:val="000000"/>
              </w:rPr>
            </w:pPr>
            <w:r>
              <w:rPr>
                <w:color w:val="000000"/>
              </w:rPr>
              <w:t> </w:t>
            </w:r>
          </w:p>
        </w:tc>
      </w:tr>
      <w:tr>
        <w:trPr/>
        <w:tc>
          <w:tcPr>
            <w:tcW w:w="13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20" w:type="dxa"/>
            <w:gridSpan w:val="2"/>
            <w:tcBorders/>
            <w:vAlign w:val="center"/>
          </w:tcPr>
          <w:p>
            <w:pPr>
              <w:pStyle w:val="TableContents"/>
              <w:bidi w:val="0"/>
              <w:spacing w:before="0" w:after="283"/>
              <w:jc w:val="center"/>
              <w:rPr>
                <w:color w:val="000000"/>
              </w:rPr>
            </w:pPr>
            <w:r>
              <w:rPr>
                <w:color w:val="000000"/>
              </w:rPr>
              <w:t>Par</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vAlign w:val="center"/>
          </w:tcPr>
          <w:p>
            <w:pPr>
              <w:pStyle w:val="TableContents"/>
              <w:bidi w:val="0"/>
              <w:spacing w:before="0" w:after="283"/>
              <w:jc w:val="center"/>
              <w:rPr>
                <w:color w:val="000000"/>
              </w:rPr>
            </w:pPr>
            <w:r>
              <w:rPr>
                <w:color w:val="000000"/>
              </w:rPr>
              <w:t>Paid-in</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vAlign w:val="center"/>
          </w:tcPr>
          <w:p>
            <w:pPr>
              <w:pStyle w:val="TableContents"/>
              <w:bidi w:val="0"/>
              <w:spacing w:before="0" w:after="283"/>
              <w:jc w:val="center"/>
              <w:rPr>
                <w:color w:val="000000"/>
              </w:rPr>
            </w:pPr>
            <w:r>
              <w:rPr>
                <w:color w:val="000000"/>
              </w:rPr>
              <w:t>Accumulated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0" w:type="dxa"/>
            <w:gridSpan w:val="2"/>
            <w:tcBorders/>
            <w:vAlign w:val="center"/>
          </w:tcPr>
          <w:p>
            <w:pPr>
              <w:pStyle w:val="TableContents"/>
              <w:bidi w:val="0"/>
              <w:spacing w:before="0" w:after="283"/>
              <w:jc w:val="center"/>
              <w:rPr>
                <w:color w:val="000000"/>
              </w:rPr>
            </w:pPr>
            <w:r>
              <w:rPr>
                <w:color w:val="000000"/>
              </w:rPr>
              <w:t>Stockholders’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60" w:type="dxa"/>
            <w:gridSpan w:val="2"/>
            <w:tcBorders/>
            <w:vAlign w:val="center"/>
          </w:tcPr>
          <w:p>
            <w:pPr>
              <w:pStyle w:val="TableContents"/>
              <w:bidi w:val="0"/>
              <w:spacing w:before="0" w:after="283"/>
              <w:jc w:val="center"/>
              <w:rPr>
                <w:color w:val="000000"/>
              </w:rPr>
            </w:pPr>
            <w:r>
              <w:rPr>
                <w:color w:val="000000"/>
              </w:rPr>
              <w:t>Interest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40" w:type="dxa"/>
            <w:gridSpan w:val="2"/>
            <w:tcBorders/>
            <w:vAlign w:val="center"/>
          </w:tcPr>
          <w:p>
            <w:pPr>
              <w:pStyle w:val="TableContents"/>
              <w:bidi w:val="0"/>
              <w:spacing w:before="0" w:after="283"/>
              <w:jc w:val="center"/>
              <w:rPr>
                <w:color w:val="000000"/>
              </w:rPr>
            </w:pPr>
            <w:r>
              <w:rPr>
                <w:color w:val="000000"/>
              </w:rPr>
              <w:t>Stockholders’</w:t>
            </w:r>
          </w:p>
        </w:tc>
        <w:tc>
          <w:tcPr>
            <w:tcW w:w="110" w:type="dxa"/>
            <w:tcBorders/>
            <w:vAlign w:val="center"/>
          </w:tcPr>
          <w:p>
            <w:pPr>
              <w:pStyle w:val="TableContents"/>
              <w:bidi w:val="0"/>
              <w:spacing w:before="0" w:after="283"/>
              <w:jc w:val="left"/>
              <w:rPr>
                <w:color w:val="000000"/>
              </w:rPr>
            </w:pPr>
            <w:r>
              <w:rPr>
                <w:color w:val="000000"/>
              </w:rPr>
              <w:t> </w:t>
            </w:r>
          </w:p>
        </w:tc>
      </w:tr>
      <w:tr>
        <w:trPr/>
        <w:tc>
          <w:tcPr>
            <w:tcW w:w="13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Value</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Equity</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Equity</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Equity</w:t>
            </w:r>
          </w:p>
        </w:tc>
        <w:tc>
          <w:tcPr>
            <w:tcW w:w="110" w:type="dxa"/>
            <w:tcBorders/>
            <w:vAlign w:val="center"/>
          </w:tcPr>
          <w:p>
            <w:pPr>
              <w:pStyle w:val="TableContents"/>
              <w:bidi w:val="0"/>
              <w:spacing w:before="0" w:after="283"/>
              <w:jc w:val="left"/>
              <w:rPr>
                <w:color w:val="000000"/>
              </w:rPr>
            </w:pPr>
            <w:r>
              <w:rPr>
                <w:color w:val="000000"/>
              </w:rPr>
              <w:t> </w:t>
            </w:r>
            <w:bookmarkStart w:id="134" w:name="xdx_43D_c20220101__20220930_eus-gaap--St"/>
            <w:bookmarkEnd w:id="134"/>
          </w:p>
        </w:tc>
      </w:tr>
      <w:tr>
        <w:trPr/>
        <w:tc>
          <w:tcPr>
            <w:tcW w:w="1340" w:type="dxa"/>
            <w:tcBorders/>
            <w:shd w:fill="CCEEFF" w:val="clear"/>
            <w:vAlign w:val="center"/>
          </w:tcPr>
          <w:p>
            <w:pPr>
              <w:pStyle w:val="TableContents"/>
              <w:bidi w:val="0"/>
              <w:spacing w:before="0" w:after="283"/>
              <w:jc w:val="left"/>
              <w:rPr>
                <w:color w:val="000000"/>
              </w:rPr>
            </w:pPr>
            <w:r>
              <w:rPr>
                <w:color w:val="000000"/>
              </w:rPr>
              <w:t>Balance at December 31, 2021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35" w:name="xdx_98F_eus-gaap--SharesOutstanding_iS_p"/>
            <w:bookmarkEnd w:id="135"/>
          </w:p>
        </w:tc>
        <w:tc>
          <w:tcPr>
            <w:tcW w:w="1100" w:type="dxa"/>
            <w:tcBorders/>
            <w:shd w:fill="CCEEFF" w:val="clear"/>
            <w:vAlign w:val="center"/>
          </w:tcPr>
          <w:p>
            <w:pPr>
              <w:pStyle w:val="TableContents"/>
              <w:bidi w:val="0"/>
              <w:spacing w:before="0" w:after="283"/>
              <w:jc w:val="right"/>
              <w:rPr>
                <w:color w:val="000000"/>
              </w:rPr>
            </w:pPr>
            <w:r>
              <w:rPr>
                <w:color w:val="000000"/>
              </w:rPr>
              <w:t>26,902,763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680" w:type="dxa"/>
            <w:tcBorders/>
            <w:shd w:fill="CCEEFF" w:val="clear"/>
            <w:vAlign w:val="center"/>
          </w:tcPr>
          <w:p>
            <w:pPr>
              <w:pStyle w:val="TableContents"/>
              <w:bidi w:val="0"/>
              <w:spacing w:before="0" w:after="283"/>
              <w:jc w:val="right"/>
              <w:rPr>
                <w:color w:val="000000"/>
              </w:rPr>
            </w:pPr>
            <w:r>
              <w:rPr>
                <w:color w:val="000000"/>
              </w:rPr>
              <w:t>27,000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20" w:type="dxa"/>
            <w:tcBorders/>
            <w:shd w:fill="CCEEFF" w:val="clear"/>
            <w:vAlign w:val="center"/>
          </w:tcPr>
          <w:p>
            <w:pPr>
              <w:pStyle w:val="TableContents"/>
              <w:bidi w:val="0"/>
              <w:spacing w:before="0" w:after="283"/>
              <w:jc w:val="right"/>
              <w:rPr>
                <w:color w:val="000000"/>
              </w:rPr>
            </w:pPr>
            <w:r>
              <w:rPr>
                <w:color w:val="000000"/>
              </w:rPr>
              <w:t>106,666,000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95" w:type="dxa"/>
            <w:tcBorders/>
            <w:shd w:fill="CCEEFF" w:val="clear"/>
            <w:vAlign w:val="center"/>
          </w:tcPr>
          <w:p>
            <w:pPr>
              <w:pStyle w:val="TableContents"/>
              <w:bidi w:val="0"/>
              <w:spacing w:before="0" w:after="283"/>
              <w:jc w:val="right"/>
              <w:rPr>
                <w:color w:val="000000"/>
              </w:rPr>
            </w:pPr>
            <w:r>
              <w:rPr>
                <w:color w:val="000000"/>
              </w:rPr>
              <w:t>(95,407,000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340" w:type="dxa"/>
            <w:tcBorders/>
            <w:shd w:fill="CCEEFF" w:val="clear"/>
            <w:vAlign w:val="center"/>
          </w:tcPr>
          <w:p>
            <w:pPr>
              <w:pStyle w:val="TableContents"/>
              <w:bidi w:val="0"/>
              <w:spacing w:before="0" w:after="283"/>
              <w:jc w:val="right"/>
              <w:rPr>
                <w:color w:val="000000"/>
              </w:rPr>
            </w:pPr>
            <w:r>
              <w:rPr>
                <w:color w:val="000000"/>
              </w:rPr>
              <w:t>    </w:t>
            </w:r>
            <w:r>
              <w:rPr>
                <w:color w:val="000000"/>
              </w:rPr>
              <w:t>11,286,000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w:t>
            </w:r>
          </w:p>
        </w:tc>
        <w:tc>
          <w:tcPr>
            <w:tcW w:w="1259" w:type="dxa"/>
            <w:tcBorders/>
            <w:shd w:fill="CCEEFF" w:val="clear"/>
            <w:vAlign w:val="center"/>
          </w:tcPr>
          <w:p>
            <w:pPr>
              <w:pStyle w:val="TableContents"/>
              <w:bidi w:val="0"/>
              <w:spacing w:before="0" w:after="283"/>
              <w:jc w:val="right"/>
              <w:rPr>
                <w:color w:val="000000"/>
              </w:rPr>
            </w:pPr>
            <w:r>
              <w:rPr>
                <w:color w:val="000000"/>
              </w:rPr>
              <w:t>(355,000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400" w:type="dxa"/>
            <w:tcBorders/>
            <w:shd w:fill="CCEEFF" w:val="clear"/>
            <w:vAlign w:val="center"/>
          </w:tcPr>
          <w:p>
            <w:pPr>
              <w:pStyle w:val="TableContents"/>
              <w:bidi w:val="0"/>
              <w:spacing w:before="0" w:after="283"/>
              <w:jc w:val="right"/>
              <w:rPr>
                <w:color w:val="000000"/>
              </w:rPr>
            </w:pPr>
            <w:r>
              <w:rPr>
                <w:color w:val="000000"/>
              </w:rPr>
              <w:t>     </w:t>
            </w:r>
            <w:r>
              <w:rPr>
                <w:color w:val="000000"/>
              </w:rPr>
              <w:t>10,931,000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134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Issuance of common stock in connection with: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36" w:name="xdx_40B_ecustom--StockIssuedDuringPeriod"/>
            <w:bookmarkEnd w:id="136"/>
          </w:p>
        </w:tc>
      </w:tr>
      <w:tr>
        <w:trPr/>
        <w:tc>
          <w:tcPr>
            <w:tcW w:w="1340" w:type="dxa"/>
            <w:tcBorders/>
            <w:shd w:fill="FFFFFF" w:val="clear"/>
            <w:vAlign w:val="center"/>
          </w:tcPr>
          <w:p>
            <w:pPr>
              <w:pStyle w:val="TableContents"/>
              <w:bidi w:val="0"/>
              <w:spacing w:before="0" w:after="283"/>
              <w:jc w:val="left"/>
              <w:rPr>
                <w:color w:val="000000"/>
              </w:rPr>
            </w:pPr>
            <w:r>
              <w:rPr>
                <w:color w:val="000000"/>
              </w:rPr>
              <w:t>Exercise of consultant stock-based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37" w:name="xdx_982_ecustom--StockIssuedDuringPeriod"/>
            <w:bookmarkEnd w:id="137"/>
          </w:p>
        </w:tc>
        <w:tc>
          <w:tcPr>
            <w:tcW w:w="1100" w:type="dxa"/>
            <w:tcBorders/>
            <w:shd w:fill="FFFFFF" w:val="clear"/>
            <w:vAlign w:val="center"/>
          </w:tcPr>
          <w:p>
            <w:pPr>
              <w:pStyle w:val="TableContents"/>
              <w:bidi w:val="0"/>
              <w:spacing w:before="0" w:after="283"/>
              <w:jc w:val="right"/>
              <w:rPr>
                <w:color w:val="000000"/>
              </w:rPr>
            </w:pPr>
            <w:r>
              <w:rPr>
                <w:color w:val="000000"/>
              </w:rPr>
              <w:t>4,054</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38" w:name="xdx_407_eus-gaap--StockIssuedDuringPerio"/>
            <w:bookmarkEnd w:id="138"/>
          </w:p>
        </w:tc>
      </w:tr>
      <w:tr>
        <w:trPr/>
        <w:tc>
          <w:tcPr>
            <w:tcW w:w="1340" w:type="dxa"/>
            <w:tcBorders/>
            <w:shd w:fill="CCEEFF" w:val="clear"/>
            <w:vAlign w:val="center"/>
          </w:tcPr>
          <w:p>
            <w:pPr>
              <w:pStyle w:val="TableContents"/>
              <w:bidi w:val="0"/>
              <w:spacing w:before="0" w:after="283"/>
              <w:jc w:val="left"/>
              <w:rPr>
                <w:color w:val="000000"/>
              </w:rPr>
            </w:pPr>
            <w:r>
              <w:rPr>
                <w:color w:val="000000"/>
              </w:rPr>
              <w:t>Exercise of employee stock-based 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39" w:name="xdx_98D_eus-gaap--StockIssuedDuringPerio"/>
            <w:bookmarkEnd w:id="139"/>
          </w:p>
        </w:tc>
        <w:tc>
          <w:tcPr>
            <w:tcW w:w="1100" w:type="dxa"/>
            <w:tcBorders/>
            <w:shd w:fill="CCEEFF" w:val="clear"/>
            <w:vAlign w:val="center"/>
          </w:tcPr>
          <w:p>
            <w:pPr>
              <w:pStyle w:val="TableContents"/>
              <w:bidi w:val="0"/>
              <w:spacing w:before="0" w:after="283"/>
              <w:jc w:val="right"/>
              <w:rPr>
                <w:color w:val="000000"/>
              </w:rPr>
            </w:pPr>
            <w:r>
              <w:rPr>
                <w:color w:val="000000"/>
              </w:rPr>
              <w:t>92,261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7,000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7,000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7,000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40" w:name="xdx_40E_eus-gaap--StockIssuedDuringPerio"/>
            <w:bookmarkEnd w:id="140"/>
          </w:p>
        </w:tc>
      </w:tr>
      <w:tr>
        <w:trPr/>
        <w:tc>
          <w:tcPr>
            <w:tcW w:w="1340" w:type="dxa"/>
            <w:tcBorders/>
            <w:shd w:fill="FFFFFF" w:val="clear"/>
            <w:vAlign w:val="center"/>
          </w:tcPr>
          <w:p>
            <w:pPr>
              <w:pStyle w:val="TableContents"/>
              <w:bidi w:val="0"/>
              <w:spacing w:before="0" w:after="283"/>
              <w:jc w:val="left"/>
              <w:rPr>
                <w:color w:val="000000"/>
              </w:rPr>
            </w:pPr>
            <w:r>
              <w:rPr>
                <w:color w:val="000000"/>
              </w:rPr>
              <w:t>Vesting of RSUs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41" w:name="xdx_98E_eus-gaap--StockIssuedDuringPerio"/>
            <w:bookmarkEnd w:id="141"/>
          </w:p>
        </w:tc>
        <w:tc>
          <w:tcPr>
            <w:tcW w:w="1100" w:type="dxa"/>
            <w:tcBorders/>
            <w:shd w:fill="FFFFFF" w:val="clear"/>
            <w:vAlign w:val="center"/>
          </w:tcPr>
          <w:p>
            <w:pPr>
              <w:pStyle w:val="TableContents"/>
              <w:bidi w:val="0"/>
              <w:spacing w:before="0" w:after="283"/>
              <w:jc w:val="right"/>
              <w:rPr>
                <w:color w:val="000000"/>
              </w:rPr>
            </w:pPr>
            <w:r>
              <w:rPr>
                <w:color w:val="000000"/>
              </w:rPr>
              <w:t>185,000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42" w:name="xdx_402_eus-gaap--StockIssuedDuringPerio"/>
            <w:bookmarkEnd w:id="142"/>
          </w:p>
        </w:tc>
      </w:tr>
      <w:tr>
        <w:trPr/>
        <w:tc>
          <w:tcPr>
            <w:tcW w:w="1340" w:type="dxa"/>
            <w:tcBorders/>
            <w:shd w:fill="CCEEFF" w:val="clear"/>
            <w:vAlign w:val="center"/>
          </w:tcPr>
          <w:p>
            <w:pPr>
              <w:pStyle w:val="TableContents"/>
              <w:bidi w:val="0"/>
              <w:spacing w:before="0" w:after="283"/>
              <w:jc w:val="left"/>
              <w:rPr>
                <w:color w:val="000000"/>
              </w:rPr>
            </w:pPr>
            <w:r>
              <w:rPr>
                <w:color w:val="000000"/>
              </w:rPr>
              <w:t>Shares withheld related to net share settlement of equity awards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43" w:name="xdx_98C_eus-gaap--StockIssuedDuringPerio"/>
            <w:bookmarkEnd w:id="143"/>
          </w:p>
        </w:tc>
        <w:tc>
          <w:tcPr>
            <w:tcW w:w="1100" w:type="dxa"/>
            <w:tcBorders/>
            <w:shd w:fill="CCEEFF" w:val="clear"/>
            <w:vAlign w:val="center"/>
          </w:tcPr>
          <w:p>
            <w:pPr>
              <w:pStyle w:val="TableContents"/>
              <w:bidi w:val="0"/>
              <w:spacing w:before="0" w:after="283"/>
              <w:jc w:val="right"/>
              <w:rPr>
                <w:color w:val="000000"/>
              </w:rPr>
            </w:pPr>
            <w:r>
              <w:rPr>
                <w:color w:val="000000"/>
              </w:rPr>
              <w:t>(109,771</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(875,000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(876,000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(876,000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144" w:name="xdx_40E_eus-gaap--AdjustmentsToAdditiona"/>
            <w:bookmarkEnd w:id="144"/>
          </w:p>
        </w:tc>
      </w:tr>
      <w:tr>
        <w:trPr/>
        <w:tc>
          <w:tcPr>
            <w:tcW w:w="1340" w:type="dxa"/>
            <w:tcBorders/>
            <w:shd w:fill="FFFFFF" w:val="clear"/>
            <w:vAlign w:val="center"/>
          </w:tcPr>
          <w:p>
            <w:pPr>
              <w:pStyle w:val="TableContents"/>
              <w:bidi w:val="0"/>
              <w:spacing w:before="0" w:after="283"/>
              <w:jc w:val="left"/>
              <w:rPr>
                <w:color w:val="000000"/>
              </w:rPr>
            </w:pPr>
            <w:r>
              <w:rPr>
                <w:color w:val="000000"/>
              </w:rPr>
              <w:t>Stock-based compensation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5,941,000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5,941,000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5,941,000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45" w:name="xdx_407_eus-gaap--NetIncomeLoss_zLrtxkRj"/>
            <w:bookmarkEnd w:id="145"/>
          </w:p>
        </w:tc>
      </w:tr>
      <w:tr>
        <w:trPr/>
        <w:tc>
          <w:tcPr>
            <w:tcW w:w="1340" w:type="dxa"/>
            <w:tcBorders/>
            <w:shd w:fill="CCEEFF" w:val="clear"/>
            <w:vAlign w:val="center"/>
          </w:tcPr>
          <w:p>
            <w:pPr>
              <w:pStyle w:val="TableContents"/>
              <w:bidi w:val="0"/>
              <w:spacing w:before="0" w:after="283"/>
              <w:jc w:val="left"/>
              <w:rPr>
                <w:color w:val="000000"/>
              </w:rPr>
            </w:pPr>
            <w:r>
              <w:rPr>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(15,141,000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(15,141,000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5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(15,141,000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146" w:name="xdx_43B_c20220101__20220930_eus-gaap--St"/>
            <w:bookmarkEnd w:id="146"/>
          </w:p>
        </w:tc>
      </w:tr>
      <w:tr>
        <w:trPr/>
        <w:tc>
          <w:tcPr>
            <w:tcW w:w="1340" w:type="dxa"/>
            <w:tcBorders/>
            <w:shd w:fill="FFFFFF" w:val="clear"/>
            <w:vAlign w:val="center"/>
          </w:tcPr>
          <w:p>
            <w:pPr>
              <w:pStyle w:val="TableContents"/>
              <w:bidi w:val="0"/>
              <w:spacing w:before="0" w:after="283"/>
              <w:jc w:val="left"/>
              <w:rPr>
                <w:color w:val="000000"/>
              </w:rPr>
            </w:pPr>
            <w:r>
              <w:rPr>
                <w:color w:val="000000"/>
              </w:rPr>
              <w:t>Balance at September 30, 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47" w:name="xdx_980_eus-gaap--SharesOutstanding_iE_p"/>
            <w:bookmarkEnd w:id="14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27,074,307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111,738,000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(110,548,000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1,217,000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(355,000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862,000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48" w:name="xdx_439_c20230101__20230930_eus-gaap--St"/>
            <w:bookmarkEnd w:id="148"/>
          </w:p>
        </w:tc>
      </w:tr>
      <w:tr>
        <w:trPr/>
        <w:tc>
          <w:tcPr>
            <w:tcW w:w="1340" w:type="dxa"/>
            <w:tcBorders/>
            <w:shd w:fill="FFFFFF" w:val="clear"/>
            <w:vAlign w:val="center"/>
          </w:tcPr>
          <w:p>
            <w:pPr>
              <w:pStyle w:val="TableContents"/>
              <w:bidi w:val="0"/>
              <w:spacing w:before="0" w:after="283"/>
              <w:jc w:val="left"/>
              <w:rPr>
                <w:color w:val="000000"/>
              </w:rPr>
            </w:pPr>
            <w:r>
              <w:rPr>
                <w:color w:val="000000"/>
              </w:rPr>
              <w:t>Balance at December 31, 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49" w:name="xdx_98C_eus-gaap--SharesOutstanding_iS_p"/>
            <w:bookmarkEnd w:id="149"/>
          </w:p>
        </w:tc>
        <w:tc>
          <w:tcPr>
            <w:tcW w:w="1100" w:type="dxa"/>
            <w:tcBorders/>
            <w:shd w:fill="FFFFFF" w:val="clear"/>
            <w:vAlign w:val="center"/>
          </w:tcPr>
          <w:p>
            <w:pPr>
              <w:pStyle w:val="TableContents"/>
              <w:bidi w:val="0"/>
              <w:spacing w:before="0" w:after="283"/>
              <w:jc w:val="right"/>
              <w:rPr>
                <w:color w:val="000000"/>
              </w:rPr>
            </w:pPr>
            <w:r>
              <w:rPr>
                <w:color w:val="000000"/>
              </w:rPr>
              <w:t>29,901,530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680" w:type="dxa"/>
            <w:tcBorders/>
            <w:shd w:fill="FFFFFF" w:val="clear"/>
            <w:vAlign w:val="center"/>
          </w:tcPr>
          <w:p>
            <w:pPr>
              <w:pStyle w:val="TableContents"/>
              <w:bidi w:val="0"/>
              <w:spacing w:before="0" w:after="283"/>
              <w:jc w:val="right"/>
              <w:rPr>
                <w:color w:val="000000"/>
              </w:rPr>
            </w:pPr>
            <w:r>
              <w:rPr>
                <w:color w:val="000000"/>
              </w:rPr>
              <w:t>30,000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20" w:type="dxa"/>
            <w:tcBorders/>
            <w:shd w:fill="FFFFFF" w:val="clear"/>
            <w:vAlign w:val="center"/>
          </w:tcPr>
          <w:p>
            <w:pPr>
              <w:pStyle w:val="TableContents"/>
              <w:bidi w:val="0"/>
              <w:spacing w:before="0" w:after="283"/>
              <w:jc w:val="right"/>
              <w:rPr>
                <w:color w:val="000000"/>
              </w:rPr>
            </w:pPr>
            <w:r>
              <w:rPr>
                <w:color w:val="000000"/>
              </w:rPr>
              <w:t>137,058,000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95" w:type="dxa"/>
            <w:tcBorders/>
            <w:shd w:fill="FFFFFF" w:val="clear"/>
            <w:vAlign w:val="center"/>
          </w:tcPr>
          <w:p>
            <w:pPr>
              <w:pStyle w:val="TableContents"/>
              <w:bidi w:val="0"/>
              <w:spacing w:before="0" w:after="283"/>
              <w:jc w:val="right"/>
              <w:rPr>
                <w:color w:val="000000"/>
              </w:rPr>
            </w:pPr>
            <w:r>
              <w:rPr>
                <w:color w:val="000000"/>
              </w:rPr>
              <w:t>(109,493,000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340" w:type="dxa"/>
            <w:tcBorders/>
            <w:shd w:fill="FFFFFF" w:val="clear"/>
            <w:vAlign w:val="center"/>
          </w:tcPr>
          <w:p>
            <w:pPr>
              <w:pStyle w:val="TableContents"/>
              <w:bidi w:val="0"/>
              <w:spacing w:before="0" w:after="283"/>
              <w:jc w:val="right"/>
              <w:rPr>
                <w:color w:val="000000"/>
              </w:rPr>
            </w:pPr>
            <w:r>
              <w:rPr>
                <w:color w:val="000000"/>
              </w:rPr>
              <w:t>27,595,000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w:t>
            </w:r>
          </w:p>
        </w:tc>
        <w:tc>
          <w:tcPr>
            <w:tcW w:w="1259" w:type="dxa"/>
            <w:tcBorders/>
            <w:shd w:fill="FFFFFF" w:val="clear"/>
            <w:vAlign w:val="center"/>
          </w:tcPr>
          <w:p>
            <w:pPr>
              <w:pStyle w:val="TableContents"/>
              <w:bidi w:val="0"/>
              <w:spacing w:before="0" w:after="283"/>
              <w:jc w:val="right"/>
              <w:rPr>
                <w:color w:val="000000"/>
              </w:rPr>
            </w:pPr>
            <w:r>
              <w:rPr>
                <w:color w:val="000000"/>
              </w:rPr>
              <w:t>(355,000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400" w:type="dxa"/>
            <w:tcBorders/>
            <w:shd w:fill="FFFFFF" w:val="clear"/>
            <w:vAlign w:val="center"/>
          </w:tcPr>
          <w:p>
            <w:pPr>
              <w:pStyle w:val="TableContents"/>
              <w:bidi w:val="0"/>
              <w:spacing w:before="0" w:after="283"/>
              <w:jc w:val="right"/>
              <w:rPr>
                <w:color w:val="000000"/>
              </w:rPr>
            </w:pPr>
            <w:r>
              <w:rPr>
                <w:color w:val="000000"/>
              </w:rPr>
              <w:t>27,240,000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1340" w:type="dxa"/>
            <w:tcBorders/>
            <w:shd w:fill="FFFFFF" w:val="clear"/>
            <w:vAlign w:val="center"/>
          </w:tcPr>
          <w:p>
            <w:pPr>
              <w:pStyle w:val="TableContents"/>
              <w:bidi w:val="0"/>
              <w:spacing w:before="0" w:after="283"/>
              <w:jc w:val="left"/>
              <w:rPr>
                <w:color w:val="000000"/>
              </w:rPr>
            </w:pPr>
            <w:r>
              <w:rPr>
                <w:color w:val="000000"/>
              </w:rPr>
              <w:t>Issuance of common stock in connection with:</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50" w:name="xdx_407_eus-gaap--StockIssuedDuringPerio"/>
            <w:bookmarkEnd w:id="150"/>
          </w:p>
        </w:tc>
      </w:tr>
      <w:tr>
        <w:trPr/>
        <w:tc>
          <w:tcPr>
            <w:tcW w:w="1340" w:type="dxa"/>
            <w:tcBorders/>
            <w:shd w:fill="CCEEFF" w:val="clear"/>
            <w:vAlign w:val="center"/>
          </w:tcPr>
          <w:p>
            <w:pPr>
              <w:pStyle w:val="TableContents"/>
              <w:bidi w:val="0"/>
              <w:spacing w:before="0" w:after="283"/>
              <w:jc w:val="left"/>
              <w:rPr>
                <w:color w:val="000000"/>
              </w:rPr>
            </w:pPr>
            <w:r>
              <w:rPr>
                <w:color w:val="000000"/>
              </w:rPr>
              <w:t>Public offering, net of offering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51" w:name="xdx_984_eus-gaap--StockIssuedDuringPerio"/>
            <w:bookmarkEnd w:id="151"/>
          </w:p>
        </w:tc>
        <w:tc>
          <w:tcPr>
            <w:tcW w:w="1100" w:type="dxa"/>
            <w:tcBorders/>
            <w:shd w:fill="CCEEFF" w:val="clear"/>
            <w:vAlign w:val="center"/>
          </w:tcPr>
          <w:p>
            <w:pPr>
              <w:pStyle w:val="TableContents"/>
              <w:bidi w:val="0"/>
              <w:spacing w:before="0" w:after="283"/>
              <w:jc w:val="right"/>
              <w:rPr>
                <w:color w:val="000000"/>
              </w:rPr>
            </w:pPr>
            <w:r>
              <w:rPr>
                <w:color w:val="000000"/>
              </w:rPr>
              <w:t>3,887,324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64,516,000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64,520,000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64,520,000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52" w:name="xdx_401_ecustom--StockIssuedDuringPeriod"/>
            <w:bookmarkEnd w:id="152"/>
          </w:p>
        </w:tc>
      </w:tr>
      <w:tr>
        <w:trPr/>
        <w:tc>
          <w:tcPr>
            <w:tcW w:w="1340" w:type="dxa"/>
            <w:tcBorders/>
            <w:shd w:fill="FFFFFF" w:val="clear"/>
            <w:vAlign w:val="center"/>
          </w:tcPr>
          <w:p>
            <w:pPr>
              <w:pStyle w:val="TableContents"/>
              <w:bidi w:val="0"/>
              <w:spacing w:before="0" w:after="283"/>
              <w:jc w:val="left"/>
              <w:rPr>
                <w:color w:val="000000"/>
              </w:rPr>
            </w:pPr>
            <w:r>
              <w:rPr>
                <w:color w:val="000000"/>
              </w:rPr>
              <w:t>Exercise of consultant stock-based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53" w:name="xdx_98D_ecustom--StockIssuedDuringPeriod"/>
            <w:bookmarkEnd w:id="153"/>
          </w:p>
        </w:tc>
        <w:tc>
          <w:tcPr>
            <w:tcW w:w="1100" w:type="dxa"/>
            <w:tcBorders/>
            <w:shd w:fill="FFFFFF" w:val="clear"/>
            <w:vAlign w:val="center"/>
          </w:tcPr>
          <w:p>
            <w:pPr>
              <w:pStyle w:val="TableContents"/>
              <w:bidi w:val="0"/>
              <w:spacing w:before="0" w:after="283"/>
              <w:jc w:val="right"/>
              <w:rPr>
                <w:color w:val="000000"/>
              </w:rPr>
            </w:pPr>
            <w:r>
              <w:rPr>
                <w:color w:val="000000"/>
              </w:rPr>
              <w:t>10,000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85,000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85,000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85,000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54" w:name="xdx_403_eus-gaap--StockIssuedDuringPerio"/>
            <w:bookmarkEnd w:id="154"/>
          </w:p>
        </w:tc>
      </w:tr>
      <w:tr>
        <w:trPr/>
        <w:tc>
          <w:tcPr>
            <w:tcW w:w="1340" w:type="dxa"/>
            <w:tcBorders/>
            <w:shd w:fill="CCEEFF" w:val="clear"/>
            <w:vAlign w:val="center"/>
          </w:tcPr>
          <w:p>
            <w:pPr>
              <w:pStyle w:val="TableContents"/>
              <w:bidi w:val="0"/>
              <w:spacing w:before="0" w:after="283"/>
              <w:jc w:val="left"/>
              <w:rPr>
                <w:color w:val="000000"/>
              </w:rPr>
            </w:pPr>
            <w:r>
              <w:rPr>
                <w:color w:val="000000"/>
              </w:rPr>
              <w:t>Exercise of employee stock-based 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55" w:name="xdx_988_eus-gaap--StockIssuedDuringPerio"/>
            <w:bookmarkEnd w:id="155"/>
          </w:p>
        </w:tc>
        <w:tc>
          <w:tcPr>
            <w:tcW w:w="1100" w:type="dxa"/>
            <w:tcBorders/>
            <w:shd w:fill="CCEEFF" w:val="clear"/>
            <w:vAlign w:val="center"/>
          </w:tcPr>
          <w:p>
            <w:pPr>
              <w:pStyle w:val="TableContents"/>
              <w:bidi w:val="0"/>
              <w:spacing w:before="0" w:after="283"/>
              <w:jc w:val="right"/>
              <w:rPr>
                <w:color w:val="000000"/>
              </w:rPr>
            </w:pPr>
            <w:r>
              <w:rPr>
                <w:color w:val="000000"/>
              </w:rPr>
              <w:t>219,246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270,000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270,000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270,000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56" w:name="xdx_407_ecustom--StockIssuedDuringPeriod"/>
            <w:bookmarkEnd w:id="156"/>
          </w:p>
        </w:tc>
      </w:tr>
      <w:tr>
        <w:trPr/>
        <w:tc>
          <w:tcPr>
            <w:tcW w:w="1340" w:type="dxa"/>
            <w:tcBorders/>
            <w:shd w:fill="FFFFFF" w:val="clear"/>
            <w:vAlign w:val="center"/>
          </w:tcPr>
          <w:p>
            <w:pPr>
              <w:pStyle w:val="TableContents"/>
              <w:bidi w:val="0"/>
              <w:spacing w:before="0" w:after="283"/>
              <w:jc w:val="left"/>
              <w:rPr>
                <w:color w:val="000000"/>
              </w:rPr>
            </w:pPr>
            <w:r>
              <w:rPr>
                <w:color w:val="000000"/>
              </w:rPr>
              <w:t>Vesting of RSUs and PSUs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57" w:name="xdx_98C_ecustom--StockIssuedDuringPeriod"/>
            <w:bookmarkEnd w:id="157"/>
          </w:p>
        </w:tc>
        <w:tc>
          <w:tcPr>
            <w:tcW w:w="1100" w:type="dxa"/>
            <w:tcBorders/>
            <w:shd w:fill="FFFFFF" w:val="clear"/>
            <w:vAlign w:val="center"/>
          </w:tcPr>
          <w:p>
            <w:pPr>
              <w:pStyle w:val="TableContents"/>
              <w:bidi w:val="0"/>
              <w:spacing w:before="0" w:after="283"/>
              <w:jc w:val="right"/>
              <w:rPr>
                <w:color w:val="000000"/>
              </w:rPr>
            </w:pPr>
            <w:r>
              <w:rPr>
                <w:color w:val="000000"/>
              </w:rPr>
              <w:t>1,810,673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(2,000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58" w:name="xdx_40E_eus-gaap--StockIssuedDuringPerio"/>
            <w:bookmarkEnd w:id="158"/>
          </w:p>
        </w:tc>
      </w:tr>
      <w:tr>
        <w:trPr/>
        <w:tc>
          <w:tcPr>
            <w:tcW w:w="1340" w:type="dxa"/>
            <w:tcBorders/>
            <w:shd w:fill="CCEEFF" w:val="clear"/>
            <w:vAlign w:val="center"/>
          </w:tcPr>
          <w:p>
            <w:pPr>
              <w:pStyle w:val="TableContents"/>
              <w:bidi w:val="0"/>
              <w:spacing w:before="0" w:after="283"/>
              <w:jc w:val="left"/>
              <w:rPr>
                <w:color w:val="000000"/>
              </w:rPr>
            </w:pPr>
            <w:r>
              <w:rPr>
                <w:color w:val="000000"/>
              </w:rPr>
              <w:t>Shares withheld related to net share settlement of equity awards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59" w:name="xdx_98D_eus-gaap--StockIssuedDuringPerio"/>
            <w:bookmarkEnd w:id="159"/>
          </w:p>
        </w:tc>
        <w:tc>
          <w:tcPr>
            <w:tcW w:w="1100" w:type="dxa"/>
            <w:tcBorders/>
            <w:shd w:fill="CCEEFF" w:val="clear"/>
            <w:vAlign w:val="center"/>
          </w:tcPr>
          <w:p>
            <w:pPr>
              <w:pStyle w:val="TableContents"/>
              <w:bidi w:val="0"/>
              <w:spacing w:before="0" w:after="283"/>
              <w:jc w:val="right"/>
              <w:rPr>
                <w:color w:val="000000"/>
              </w:rPr>
            </w:pPr>
            <w:r>
              <w:rPr>
                <w:color w:val="000000"/>
              </w:rPr>
              <w:t>(711,152</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(12,970,000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(12,971,000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(12,971,000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160" w:name="xdx_401_eus-gaap--AdjustmentsToAdditiona"/>
            <w:bookmarkEnd w:id="160"/>
          </w:p>
        </w:tc>
      </w:tr>
      <w:tr>
        <w:trPr/>
        <w:tc>
          <w:tcPr>
            <w:tcW w:w="1340" w:type="dxa"/>
            <w:tcBorders/>
            <w:shd w:fill="FFFFFF" w:val="clear"/>
            <w:vAlign w:val="center"/>
          </w:tcPr>
          <w:p>
            <w:pPr>
              <w:pStyle w:val="TableContents"/>
              <w:bidi w:val="0"/>
              <w:spacing w:before="0" w:after="283"/>
              <w:jc w:val="left"/>
              <w:rPr>
                <w:color w:val="000000"/>
              </w:rPr>
            </w:pPr>
            <w:r>
              <w:rPr>
                <w:color w:val="000000"/>
              </w:rPr>
              <w:t>Stock-based compensation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11,521,000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11,521,000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11,521,000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61" w:name="xdx_407_eus-gaap--NetIncomeLoss_zIWYTY4Z"/>
            <w:bookmarkEnd w:id="161"/>
          </w:p>
        </w:tc>
      </w:tr>
      <w:tr>
        <w:trPr/>
        <w:tc>
          <w:tcPr>
            <w:tcW w:w="1340" w:type="dxa"/>
            <w:tcBorders/>
            <w:shd w:fill="CCEEFF" w:val="clear"/>
            <w:vAlign w:val="center"/>
          </w:tcPr>
          <w:p>
            <w:pPr>
              <w:pStyle w:val="TableContents"/>
              <w:bidi w:val="0"/>
              <w:spacing w:before="0" w:after="283"/>
              <w:jc w:val="left"/>
              <w:rPr>
                <w:color w:val="000000"/>
              </w:rPr>
            </w:pPr>
            <w:r>
              <w:rPr>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(15,263,000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(15,263,000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5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(15,263,000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162" w:name="xdx_433_c20230101__20230930_eus-gaap--St"/>
            <w:bookmarkEnd w:id="162"/>
          </w:p>
        </w:tc>
      </w:tr>
      <w:tr>
        <w:trPr/>
        <w:tc>
          <w:tcPr>
            <w:tcW w:w="1340" w:type="dxa"/>
            <w:tcBorders/>
            <w:shd w:fill="FFFFFF" w:val="clear"/>
            <w:vAlign w:val="center"/>
          </w:tcPr>
          <w:p>
            <w:pPr>
              <w:pStyle w:val="TableContents"/>
              <w:bidi w:val="0"/>
              <w:spacing w:before="0" w:after="283"/>
              <w:jc w:val="left"/>
              <w:rPr>
                <w:color w:val="000000"/>
              </w:rPr>
            </w:pPr>
            <w:r>
              <w:rPr>
                <w:color w:val="000000"/>
              </w:rPr>
              <w:t>Balance at September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63" w:name="xdx_98E_eus-gaap--SharesOutstanding_iE_p"/>
            <w:bookmarkEnd w:id="16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35,117,621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200,478,000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(124,756,000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75,757,000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(355,000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75,402,000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283"/>
        <w:jc w:val="left"/>
        <w:rPr/>
      </w:pPr>
      <w:r>
        <w:rPr/>
        <w:t> </w:t>
      </w:r>
    </w:p>
    <w:tbl>
      <w:tblPr>
        <w:tblW w:w="1169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340"/>
        <w:gridCol w:w="95"/>
        <w:gridCol w:w="60"/>
        <w:gridCol w:w="201"/>
        <w:gridCol w:w="1259"/>
        <w:gridCol w:w="95"/>
        <w:gridCol w:w="60"/>
        <w:gridCol w:w="140"/>
        <w:gridCol w:w="1400"/>
        <w:gridCol w:w="110"/>
      </w:tblGrid>
      <w:tr>
        <w:trPr/>
        <w:tc>
          <w:tcPr>
            <w:tcW w:w="134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160" w:type="dxa"/>
            <w:gridSpan w:val="2"/>
            <w:tcBorders/>
            <w:vAlign w:val="center"/>
          </w:tcPr>
          <w:p>
            <w:pPr>
              <w:pStyle w:val="TableContents"/>
              <w:bidi w:val="0"/>
              <w:spacing w:before="0" w:after="283"/>
              <w:jc w:val="center"/>
              <w:rPr>
                <w:color w:val="000000"/>
              </w:rPr>
            </w:pPr>
            <w:r>
              <w:rPr>
                <w:color w:val="000000"/>
              </w:rPr>
              <w:t> </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20" w:type="dxa"/>
            <w:gridSpan w:val="2"/>
            <w:tcBorders/>
            <w:vAlign w:val="center"/>
          </w:tcPr>
          <w:p>
            <w:pPr>
              <w:pStyle w:val="TableContents"/>
              <w:bidi w:val="0"/>
              <w:spacing w:before="0" w:after="283"/>
              <w:jc w:val="center"/>
              <w:rPr>
                <w:color w:val="000000"/>
              </w:rPr>
            </w:pPr>
            <w:r>
              <w:rPr>
                <w:color w:val="000000"/>
              </w:rPr>
              <w:t> </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360" w:type="dxa"/>
            <w:gridSpan w:val="2"/>
            <w:tcBorders/>
            <w:vAlign w:val="center"/>
          </w:tcPr>
          <w:p>
            <w:pPr>
              <w:pStyle w:val="TableContents"/>
              <w:bidi w:val="0"/>
              <w:spacing w:before="0" w:after="283"/>
              <w:jc w:val="center"/>
              <w:rPr>
                <w:color w:val="000000"/>
              </w:rPr>
            </w:pPr>
            <w:r>
              <w:rPr>
                <w:color w:val="000000"/>
              </w:rPr>
              <w:t> </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35" w:type="dxa"/>
            <w:gridSpan w:val="2"/>
            <w:tcBorders/>
            <w:vAlign w:val="center"/>
          </w:tcPr>
          <w:p>
            <w:pPr>
              <w:pStyle w:val="TableContents"/>
              <w:bidi w:val="0"/>
              <w:spacing w:before="0" w:after="283"/>
              <w:jc w:val="center"/>
              <w:rPr>
                <w:color w:val="000000"/>
              </w:rPr>
            </w:pPr>
            <w:r>
              <w:rPr>
                <w:color w:val="000000"/>
              </w:rPr>
              <w:t> </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80" w:type="dxa"/>
            <w:gridSpan w:val="2"/>
            <w:tcBorders/>
            <w:vAlign w:val="center"/>
          </w:tcPr>
          <w:p>
            <w:pPr>
              <w:pStyle w:val="TableContents"/>
              <w:bidi w:val="0"/>
              <w:spacing w:before="0" w:after="283"/>
              <w:jc w:val="center"/>
              <w:rPr>
                <w:color w:val="000000"/>
              </w:rPr>
            </w:pPr>
            <w:r>
              <w:rPr>
                <w:color w:val="000000"/>
              </w:rPr>
              <w:t>Total</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60" w:type="dxa"/>
            <w:gridSpan w:val="2"/>
            <w:tcBorders/>
            <w:vAlign w:val="center"/>
          </w:tcPr>
          <w:p>
            <w:pPr>
              <w:pStyle w:val="TableContents"/>
              <w:bidi w:val="0"/>
              <w:spacing w:before="0" w:after="283"/>
              <w:jc w:val="center"/>
              <w:rPr>
                <w:color w:val="000000"/>
              </w:rPr>
            </w:pPr>
            <w:r>
              <w:rPr>
                <w:color w:val="000000"/>
              </w:rPr>
              <w:t>Total</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540" w:type="dxa"/>
            <w:gridSpan w:val="2"/>
            <w:tcBorders/>
            <w:vAlign w:val="center"/>
          </w:tcPr>
          <w:p>
            <w:pPr>
              <w:pStyle w:val="TableContents"/>
              <w:bidi w:val="0"/>
              <w:spacing w:before="0" w:after="283"/>
              <w:jc w:val="center"/>
              <w:rPr>
                <w:color w:val="000000"/>
              </w:rPr>
            </w:pPr>
            <w:r>
              <w:rPr>
                <w:color w:val="000000"/>
              </w:rPr>
              <w:t> </w:t>
            </w:r>
          </w:p>
        </w:tc>
        <w:tc>
          <w:tcPr>
            <w:tcW w:w="110" w:type="dxa"/>
            <w:tcBorders/>
            <w:vAlign w:val="center"/>
          </w:tcPr>
          <w:p>
            <w:pPr>
              <w:pStyle w:val="TableContents"/>
              <w:bidi w:val="0"/>
              <w:spacing w:before="0" w:after="283"/>
              <w:jc w:val="center"/>
              <w:rPr>
                <w:color w:val="000000"/>
              </w:rPr>
            </w:pPr>
            <w:r>
              <w:rPr>
                <w:color w:val="000000"/>
              </w:rPr>
              <w:t> </w:t>
            </w:r>
          </w:p>
        </w:tc>
      </w:tr>
      <w:tr>
        <w:trPr/>
        <w:tc>
          <w:tcPr>
            <w:tcW w:w="134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Common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olor w:val="000000"/>
              </w:rPr>
            </w:pPr>
            <w:r>
              <w:rPr>
                <w:color w:val="000000"/>
              </w:rPr>
              <w:t> </w:t>
            </w:r>
          </w:p>
        </w:tc>
        <w:tc>
          <w:tcPr>
            <w:tcW w:w="1360" w:type="dxa"/>
            <w:gridSpan w:val="2"/>
            <w:tcBorders/>
            <w:vAlign w:val="center"/>
          </w:tcPr>
          <w:p>
            <w:pPr>
              <w:pStyle w:val="TableContents"/>
              <w:bidi w:val="0"/>
              <w:spacing w:before="0" w:after="283"/>
              <w:jc w:val="center"/>
              <w:rPr>
                <w:color w:val="000000"/>
              </w:rPr>
            </w:pPr>
            <w:r>
              <w:rPr>
                <w:color w:val="000000"/>
              </w:rPr>
              <w:t>Additional</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35" w:type="dxa"/>
            <w:gridSpan w:val="2"/>
            <w:tcBorders/>
            <w:vAlign w:val="center"/>
          </w:tcPr>
          <w:p>
            <w:pPr>
              <w:pStyle w:val="TableContents"/>
              <w:bidi w:val="0"/>
              <w:spacing w:before="0" w:after="283"/>
              <w:jc w:val="center"/>
              <w:rPr>
                <w:color w:val="000000"/>
              </w:rPr>
            </w:pPr>
            <w:r>
              <w:rPr>
                <w:color w:val="000000"/>
              </w:rPr>
              <w:t> </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80" w:type="dxa"/>
            <w:gridSpan w:val="2"/>
            <w:tcBorders/>
            <w:vAlign w:val="center"/>
          </w:tcPr>
          <w:p>
            <w:pPr>
              <w:pStyle w:val="TableContents"/>
              <w:bidi w:val="0"/>
              <w:spacing w:before="0" w:after="283"/>
              <w:jc w:val="center"/>
              <w:rPr>
                <w:color w:val="000000"/>
              </w:rPr>
            </w:pPr>
            <w:r>
              <w:rPr>
                <w:color w:val="000000"/>
              </w:rPr>
              <w:t>Harrow, Inc.</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60" w:type="dxa"/>
            <w:gridSpan w:val="2"/>
            <w:tcBorders/>
            <w:vAlign w:val="center"/>
          </w:tcPr>
          <w:p>
            <w:pPr>
              <w:pStyle w:val="TableContents"/>
              <w:bidi w:val="0"/>
              <w:spacing w:before="0" w:after="283"/>
              <w:jc w:val="center"/>
              <w:rPr>
                <w:color w:val="000000"/>
              </w:rPr>
            </w:pPr>
            <w:r>
              <w:rPr>
                <w:color w:val="000000"/>
              </w:rPr>
              <w:t>Noncontrolling</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540" w:type="dxa"/>
            <w:gridSpan w:val="2"/>
            <w:tcBorders/>
            <w:vAlign w:val="center"/>
          </w:tcPr>
          <w:p>
            <w:pPr>
              <w:pStyle w:val="TableContents"/>
              <w:bidi w:val="0"/>
              <w:spacing w:before="0" w:after="283"/>
              <w:jc w:val="center"/>
              <w:rPr>
                <w:color w:val="000000"/>
              </w:rPr>
            </w:pPr>
            <w:r>
              <w:rPr>
                <w:color w:val="000000"/>
              </w:rPr>
              <w:t>Total</w:t>
            </w:r>
          </w:p>
        </w:tc>
        <w:tc>
          <w:tcPr>
            <w:tcW w:w="110" w:type="dxa"/>
            <w:tcBorders/>
            <w:vAlign w:val="center"/>
          </w:tcPr>
          <w:p>
            <w:pPr>
              <w:pStyle w:val="TableContents"/>
              <w:bidi w:val="0"/>
              <w:spacing w:before="0" w:after="283"/>
              <w:jc w:val="center"/>
              <w:rPr>
                <w:color w:val="000000"/>
              </w:rPr>
            </w:pPr>
            <w:r>
              <w:rPr>
                <w:color w:val="000000"/>
              </w:rPr>
              <w:t> </w:t>
            </w:r>
          </w:p>
        </w:tc>
      </w:tr>
      <w:tr>
        <w:trPr/>
        <w:tc>
          <w:tcPr>
            <w:tcW w:w="134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160" w:type="dxa"/>
            <w:gridSpan w:val="2"/>
            <w:tcBorders/>
            <w:vAlign w:val="center"/>
          </w:tcPr>
          <w:p>
            <w:pPr>
              <w:pStyle w:val="TableContents"/>
              <w:bidi w:val="0"/>
              <w:spacing w:before="0" w:after="283"/>
              <w:jc w:val="center"/>
              <w:rPr>
                <w:color w:val="000000"/>
              </w:rPr>
            </w:pPr>
            <w:r>
              <w:rPr>
                <w:color w:val="000000"/>
              </w:rPr>
              <w:t> </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20" w:type="dxa"/>
            <w:gridSpan w:val="2"/>
            <w:tcBorders/>
            <w:vAlign w:val="center"/>
          </w:tcPr>
          <w:p>
            <w:pPr>
              <w:pStyle w:val="TableContents"/>
              <w:bidi w:val="0"/>
              <w:spacing w:before="0" w:after="283"/>
              <w:jc w:val="center"/>
              <w:rPr>
                <w:color w:val="000000"/>
              </w:rPr>
            </w:pPr>
            <w:r>
              <w:rPr>
                <w:color w:val="000000"/>
              </w:rPr>
              <w:t>Par</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360" w:type="dxa"/>
            <w:gridSpan w:val="2"/>
            <w:tcBorders/>
            <w:vAlign w:val="center"/>
          </w:tcPr>
          <w:p>
            <w:pPr>
              <w:pStyle w:val="TableContents"/>
              <w:bidi w:val="0"/>
              <w:spacing w:before="0" w:after="283"/>
              <w:jc w:val="center"/>
              <w:rPr>
                <w:color w:val="000000"/>
              </w:rPr>
            </w:pPr>
            <w:r>
              <w:rPr>
                <w:color w:val="000000"/>
              </w:rPr>
              <w:t>Paid-in</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35" w:type="dxa"/>
            <w:gridSpan w:val="2"/>
            <w:tcBorders/>
            <w:vAlign w:val="center"/>
          </w:tcPr>
          <w:p>
            <w:pPr>
              <w:pStyle w:val="TableContents"/>
              <w:bidi w:val="0"/>
              <w:spacing w:before="0" w:after="283"/>
              <w:jc w:val="center"/>
              <w:rPr>
                <w:color w:val="000000"/>
              </w:rPr>
            </w:pPr>
            <w:r>
              <w:rPr>
                <w:color w:val="000000"/>
              </w:rPr>
              <w:t>Accumulated</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80" w:type="dxa"/>
            <w:gridSpan w:val="2"/>
            <w:tcBorders/>
            <w:vAlign w:val="center"/>
          </w:tcPr>
          <w:p>
            <w:pPr>
              <w:pStyle w:val="TableContents"/>
              <w:bidi w:val="0"/>
              <w:spacing w:before="0" w:after="283"/>
              <w:jc w:val="center"/>
              <w:rPr>
                <w:color w:val="000000"/>
              </w:rPr>
            </w:pPr>
            <w:r>
              <w:rPr>
                <w:color w:val="000000"/>
              </w:rPr>
              <w:t>Stockholders’</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60" w:type="dxa"/>
            <w:gridSpan w:val="2"/>
            <w:tcBorders/>
            <w:vAlign w:val="center"/>
          </w:tcPr>
          <w:p>
            <w:pPr>
              <w:pStyle w:val="TableContents"/>
              <w:bidi w:val="0"/>
              <w:spacing w:before="0" w:after="283"/>
              <w:jc w:val="center"/>
              <w:rPr>
                <w:color w:val="000000"/>
              </w:rPr>
            </w:pPr>
            <w:r>
              <w:rPr>
                <w:color w:val="000000"/>
              </w:rPr>
              <w:t>Interest</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540" w:type="dxa"/>
            <w:gridSpan w:val="2"/>
            <w:tcBorders/>
            <w:vAlign w:val="center"/>
          </w:tcPr>
          <w:p>
            <w:pPr>
              <w:pStyle w:val="TableContents"/>
              <w:bidi w:val="0"/>
              <w:spacing w:before="0" w:after="283"/>
              <w:jc w:val="center"/>
              <w:rPr>
                <w:color w:val="000000"/>
              </w:rPr>
            </w:pPr>
            <w:r>
              <w:rPr>
                <w:color w:val="000000"/>
              </w:rPr>
              <w:t>Stockholders’</w:t>
            </w:r>
          </w:p>
        </w:tc>
        <w:tc>
          <w:tcPr>
            <w:tcW w:w="110" w:type="dxa"/>
            <w:tcBorders/>
            <w:vAlign w:val="center"/>
          </w:tcPr>
          <w:p>
            <w:pPr>
              <w:pStyle w:val="TableContents"/>
              <w:bidi w:val="0"/>
              <w:spacing w:before="0" w:after="283"/>
              <w:jc w:val="center"/>
              <w:rPr>
                <w:color w:val="000000"/>
              </w:rPr>
            </w:pPr>
            <w:r>
              <w:rPr>
                <w:color w:val="000000"/>
              </w:rPr>
              <w:t> </w:t>
            </w:r>
          </w:p>
        </w:tc>
      </w:tr>
      <w:tr>
        <w:trPr/>
        <w:tc>
          <w:tcPr>
            <w:tcW w:w="134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Shares</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Value</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Capital</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Deficit</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Equity</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Equity</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Equity</w:t>
            </w:r>
          </w:p>
        </w:tc>
        <w:tc>
          <w:tcPr>
            <w:tcW w:w="110" w:type="dxa"/>
            <w:tcBorders/>
            <w:vAlign w:val="center"/>
          </w:tcPr>
          <w:p>
            <w:pPr>
              <w:pStyle w:val="TableContents"/>
              <w:bidi w:val="0"/>
              <w:spacing w:before="0" w:after="283"/>
              <w:jc w:val="center"/>
              <w:rPr>
                <w:color w:val="000000"/>
              </w:rPr>
            </w:pPr>
            <w:r>
              <w:rPr>
                <w:color w:val="000000"/>
              </w:rPr>
              <w:t> </w:t>
            </w:r>
            <w:bookmarkStart w:id="164" w:name="xdx_436_c20220701__20220930_eus-gaap--St"/>
            <w:bookmarkEnd w:id="164"/>
          </w:p>
        </w:tc>
      </w:tr>
      <w:tr>
        <w:trPr/>
        <w:tc>
          <w:tcPr>
            <w:tcW w:w="1340" w:type="dxa"/>
            <w:tcBorders/>
            <w:shd w:fill="CCEEFF" w:val="clear"/>
            <w:vAlign w:val="center"/>
          </w:tcPr>
          <w:p>
            <w:pPr>
              <w:pStyle w:val="TableContents"/>
              <w:bidi w:val="0"/>
              <w:spacing w:before="0" w:after="283"/>
              <w:jc w:val="left"/>
              <w:rPr>
                <w:color w:val="000000"/>
              </w:rPr>
            </w:pPr>
            <w:r>
              <w:rPr>
                <w:color w:val="000000"/>
              </w:rPr>
              <w:t>Balance at June 30,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65" w:name="xdx_98A_eus-gaap--SharesOutstanding_iS_p"/>
            <w:bookmarkEnd w:id="165"/>
          </w:p>
        </w:tc>
        <w:tc>
          <w:tcPr>
            <w:tcW w:w="1100" w:type="dxa"/>
            <w:tcBorders/>
            <w:shd w:fill="CCEEFF" w:val="clear"/>
            <w:vAlign w:val="center"/>
          </w:tcPr>
          <w:p>
            <w:pPr>
              <w:pStyle w:val="TableContents"/>
              <w:bidi w:val="0"/>
              <w:spacing w:before="0" w:after="283"/>
              <w:jc w:val="right"/>
              <w:rPr>
                <w:color w:val="000000"/>
              </w:rPr>
            </w:pPr>
            <w:r>
              <w:rPr>
                <w:color w:val="000000"/>
              </w:rPr>
              <w:t>27,069,978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680" w:type="dxa"/>
            <w:tcBorders/>
            <w:shd w:fill="CCEEFF" w:val="clear"/>
            <w:vAlign w:val="center"/>
          </w:tcPr>
          <w:p>
            <w:pPr>
              <w:pStyle w:val="TableContents"/>
              <w:bidi w:val="0"/>
              <w:spacing w:before="0" w:after="283"/>
              <w:jc w:val="right"/>
              <w:rPr>
                <w:color w:val="000000"/>
              </w:rPr>
            </w:pPr>
            <w:r>
              <w:rPr>
                <w:color w:val="000000"/>
              </w:rPr>
              <w:t>27,000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20" w:type="dxa"/>
            <w:tcBorders/>
            <w:shd w:fill="CCEEFF" w:val="clear"/>
            <w:vAlign w:val="center"/>
          </w:tcPr>
          <w:p>
            <w:pPr>
              <w:pStyle w:val="TableContents"/>
              <w:bidi w:val="0"/>
              <w:spacing w:before="0" w:after="283"/>
              <w:jc w:val="right"/>
              <w:rPr>
                <w:color w:val="000000"/>
              </w:rPr>
            </w:pPr>
            <w:r>
              <w:rPr>
                <w:color w:val="000000"/>
              </w:rPr>
              <w:t>109,806,000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95" w:type="dxa"/>
            <w:tcBorders/>
            <w:shd w:fill="CCEEFF" w:val="clear"/>
            <w:vAlign w:val="center"/>
          </w:tcPr>
          <w:p>
            <w:pPr>
              <w:pStyle w:val="TableContents"/>
              <w:bidi w:val="0"/>
              <w:spacing w:before="0" w:after="283"/>
              <w:jc w:val="right"/>
              <w:rPr>
                <w:color w:val="000000"/>
              </w:rPr>
            </w:pPr>
            <w:r>
              <w:rPr>
                <w:color w:val="000000"/>
              </w:rPr>
              <w:t>(104,084,000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340" w:type="dxa"/>
            <w:tcBorders/>
            <w:shd w:fill="CCEEFF" w:val="clear"/>
            <w:vAlign w:val="center"/>
          </w:tcPr>
          <w:p>
            <w:pPr>
              <w:pStyle w:val="TableContents"/>
              <w:bidi w:val="0"/>
              <w:spacing w:before="0" w:after="283"/>
              <w:jc w:val="right"/>
              <w:rPr>
                <w:color w:val="000000"/>
              </w:rPr>
            </w:pPr>
            <w:r>
              <w:rPr>
                <w:color w:val="000000"/>
              </w:rPr>
              <w:t>      </w:t>
            </w:r>
            <w:r>
              <w:rPr>
                <w:color w:val="000000"/>
              </w:rPr>
              <w:t>5,749,000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w:t>
            </w:r>
          </w:p>
        </w:tc>
        <w:tc>
          <w:tcPr>
            <w:tcW w:w="1259" w:type="dxa"/>
            <w:tcBorders/>
            <w:shd w:fill="CCEEFF" w:val="clear"/>
            <w:vAlign w:val="center"/>
          </w:tcPr>
          <w:p>
            <w:pPr>
              <w:pStyle w:val="TableContents"/>
              <w:bidi w:val="0"/>
              <w:spacing w:before="0" w:after="283"/>
              <w:jc w:val="right"/>
              <w:rPr>
                <w:color w:val="000000"/>
              </w:rPr>
            </w:pPr>
            <w:r>
              <w:rPr>
                <w:color w:val="000000"/>
              </w:rPr>
              <w:t>(355,000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400" w:type="dxa"/>
            <w:tcBorders/>
            <w:shd w:fill="CCEEFF" w:val="clear"/>
            <w:vAlign w:val="center"/>
          </w:tcPr>
          <w:p>
            <w:pPr>
              <w:pStyle w:val="TableContents"/>
              <w:bidi w:val="0"/>
              <w:spacing w:before="0" w:after="283"/>
              <w:jc w:val="right"/>
              <w:rPr>
                <w:color w:val="000000"/>
              </w:rPr>
            </w:pPr>
            <w:r>
              <w:rPr>
                <w:color w:val="000000"/>
              </w:rPr>
              <w:t>       </w:t>
            </w:r>
            <w:r>
              <w:rPr>
                <w:color w:val="000000"/>
              </w:rPr>
              <w:t>5,394,000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134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Issuance of common stock in connection with: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66" w:name="xdx_402_ecustom--StockIssuedDuringPeriod"/>
            <w:bookmarkEnd w:id="166"/>
          </w:p>
        </w:tc>
      </w:tr>
      <w:tr>
        <w:trPr/>
        <w:tc>
          <w:tcPr>
            <w:tcW w:w="1340" w:type="dxa"/>
            <w:tcBorders/>
            <w:shd w:fill="FFFFFF" w:val="clear"/>
            <w:vAlign w:val="center"/>
          </w:tcPr>
          <w:p>
            <w:pPr>
              <w:pStyle w:val="TableContents"/>
              <w:bidi w:val="0"/>
              <w:spacing w:before="0" w:after="283"/>
              <w:jc w:val="left"/>
              <w:rPr>
                <w:color w:val="000000"/>
              </w:rPr>
            </w:pPr>
            <w:r>
              <w:rPr>
                <w:color w:val="000000"/>
              </w:rPr>
              <w:t>Exercise of consultant stock-based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67" w:name="xdx_985_ecustom--StockIssuedDuringPeriod"/>
            <w:bookmarkEnd w:id="167"/>
          </w:p>
        </w:tc>
        <w:tc>
          <w:tcPr>
            <w:tcW w:w="1100" w:type="dxa"/>
            <w:tcBorders/>
            <w:shd w:fill="FFFFFF" w:val="clear"/>
            <w:vAlign w:val="center"/>
          </w:tcPr>
          <w:p>
            <w:pPr>
              <w:pStyle w:val="TableContents"/>
              <w:bidi w:val="0"/>
              <w:spacing w:before="0" w:after="283"/>
              <w:jc w:val="right"/>
              <w:rPr>
                <w:color w:val="000000"/>
              </w:rPr>
            </w:pPr>
            <w:r>
              <w:rPr>
                <w:color w:val="000000"/>
              </w:rPr>
              <w:t>4,054</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68" w:name="xdx_408_eus-gaap--StockIssuedDuringPerio"/>
            <w:bookmarkEnd w:id="168"/>
          </w:p>
        </w:tc>
      </w:tr>
      <w:tr>
        <w:trPr/>
        <w:tc>
          <w:tcPr>
            <w:tcW w:w="1340" w:type="dxa"/>
            <w:tcBorders/>
            <w:shd w:fill="CCEEFF" w:val="clear"/>
            <w:vAlign w:val="center"/>
          </w:tcPr>
          <w:p>
            <w:pPr>
              <w:pStyle w:val="TableContents"/>
              <w:bidi w:val="0"/>
              <w:spacing w:before="0" w:after="283"/>
              <w:jc w:val="left"/>
              <w:rPr>
                <w:color w:val="000000"/>
              </w:rPr>
            </w:pPr>
            <w:r>
              <w:rPr>
                <w:color w:val="000000"/>
              </w:rPr>
              <w:t>Exercise of employee stock-based 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69" w:name="xdx_980_eus-gaap--StockIssuedDuringPerio"/>
            <w:bookmarkEnd w:id="169"/>
          </w:p>
        </w:tc>
        <w:tc>
          <w:tcPr>
            <w:tcW w:w="1100" w:type="dxa"/>
            <w:tcBorders/>
            <w:shd w:fill="CCEEFF" w:val="clear"/>
            <w:vAlign w:val="center"/>
          </w:tcPr>
          <w:p>
            <w:pPr>
              <w:pStyle w:val="TableContents"/>
              <w:bidi w:val="0"/>
              <w:spacing w:before="0" w:after="283"/>
              <w:jc w:val="right"/>
              <w:rPr>
                <w:color w:val="000000"/>
              </w:rPr>
            </w:pPr>
            <w:r>
              <w:rPr>
                <w:color w:val="000000"/>
              </w:rPr>
              <w:t>275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70" w:name="xdx_405_eus-gaap--AdjustmentsToAdditiona"/>
            <w:bookmarkEnd w:id="170"/>
          </w:p>
        </w:tc>
      </w:tr>
      <w:tr>
        <w:trPr/>
        <w:tc>
          <w:tcPr>
            <w:tcW w:w="1340" w:type="dxa"/>
            <w:tcBorders/>
            <w:shd w:fill="FFFFFF" w:val="clear"/>
            <w:vAlign w:val="center"/>
          </w:tcPr>
          <w:p>
            <w:pPr>
              <w:pStyle w:val="TableContents"/>
              <w:bidi w:val="0"/>
              <w:spacing w:before="0" w:after="283"/>
              <w:jc w:val="left"/>
              <w:rPr>
                <w:color w:val="000000"/>
              </w:rPr>
            </w:pPr>
            <w:r>
              <w:rPr>
                <w:color w:val="000000"/>
              </w:rPr>
              <w:t>Stock-based compensation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1,932,000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1,932,000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1,932,000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71" w:name="xdx_40A_eus-gaap--NetIncomeLoss_z5sz2Csl"/>
            <w:bookmarkEnd w:id="171"/>
          </w:p>
        </w:tc>
      </w:tr>
      <w:tr>
        <w:trPr/>
        <w:tc>
          <w:tcPr>
            <w:tcW w:w="1340" w:type="dxa"/>
            <w:tcBorders/>
            <w:shd w:fill="CCEEFF" w:val="clear"/>
            <w:vAlign w:val="center"/>
          </w:tcPr>
          <w:p>
            <w:pPr>
              <w:pStyle w:val="TableContents"/>
              <w:bidi w:val="0"/>
              <w:spacing w:before="0" w:after="283"/>
              <w:jc w:val="left"/>
              <w:rPr>
                <w:color w:val="000000"/>
              </w:rPr>
            </w:pPr>
            <w:r>
              <w:rPr>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(6,464,000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(6,464,000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5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(6,464,000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172" w:name="xdx_435_c20220701__20220930_eus-gaap--St"/>
            <w:bookmarkEnd w:id="172"/>
          </w:p>
        </w:tc>
      </w:tr>
      <w:tr>
        <w:trPr/>
        <w:tc>
          <w:tcPr>
            <w:tcW w:w="1340" w:type="dxa"/>
            <w:tcBorders/>
            <w:shd w:fill="FFFFFF" w:val="clear"/>
            <w:vAlign w:val="center"/>
          </w:tcPr>
          <w:p>
            <w:pPr>
              <w:pStyle w:val="TableContents"/>
              <w:bidi w:val="0"/>
              <w:spacing w:before="0" w:after="283"/>
              <w:jc w:val="left"/>
              <w:rPr>
                <w:color w:val="000000"/>
              </w:rPr>
            </w:pPr>
            <w:r>
              <w:rPr>
                <w:color w:val="000000"/>
              </w:rPr>
              <w:t>Balance at September 30, 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73" w:name="xdx_98D_eus-gaap--SharesOutstanding_iE_p"/>
            <w:bookmarkEnd w:id="17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27,074,307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111,738,000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(110,548,000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1,217,000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(355,000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862,000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74" w:name="xdx_435_c20230701__20230930_eus-gaap--St"/>
            <w:bookmarkEnd w:id="174"/>
          </w:p>
        </w:tc>
      </w:tr>
      <w:tr>
        <w:trPr/>
        <w:tc>
          <w:tcPr>
            <w:tcW w:w="1340" w:type="dxa"/>
            <w:tcBorders/>
            <w:shd w:fill="FFFFFF" w:val="clear"/>
            <w:vAlign w:val="center"/>
          </w:tcPr>
          <w:p>
            <w:pPr>
              <w:pStyle w:val="TableContents"/>
              <w:bidi w:val="0"/>
              <w:spacing w:before="0" w:after="283"/>
              <w:jc w:val="left"/>
              <w:rPr>
                <w:color w:val="000000"/>
              </w:rPr>
            </w:pPr>
            <w:r>
              <w:rPr>
                <w:color w:val="000000"/>
              </w:rPr>
              <w:t>Balance at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75" w:name="xdx_98C_eus-gaap--SharesOutstanding_iS_p"/>
            <w:bookmarkEnd w:id="175"/>
          </w:p>
        </w:tc>
        <w:tc>
          <w:tcPr>
            <w:tcW w:w="1100" w:type="dxa"/>
            <w:tcBorders/>
            <w:shd w:fill="FFFFFF" w:val="clear"/>
            <w:vAlign w:val="center"/>
          </w:tcPr>
          <w:p>
            <w:pPr>
              <w:pStyle w:val="TableContents"/>
              <w:bidi w:val="0"/>
              <w:spacing w:before="0" w:after="283"/>
              <w:jc w:val="right"/>
              <w:rPr>
                <w:color w:val="000000"/>
              </w:rPr>
            </w:pPr>
            <w:r>
              <w:rPr>
                <w:color w:val="000000"/>
              </w:rPr>
              <w:t>30,276,938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680" w:type="dxa"/>
            <w:tcBorders/>
            <w:shd w:fill="FFFFFF" w:val="clear"/>
            <w:vAlign w:val="center"/>
          </w:tcPr>
          <w:p>
            <w:pPr>
              <w:pStyle w:val="TableContents"/>
              <w:bidi w:val="0"/>
              <w:spacing w:before="0" w:after="283"/>
              <w:jc w:val="right"/>
              <w:rPr>
                <w:color w:val="000000"/>
              </w:rPr>
            </w:pPr>
            <w:r>
              <w:rPr>
                <w:color w:val="000000"/>
              </w:rPr>
              <w:t>30,000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20" w:type="dxa"/>
            <w:tcBorders/>
            <w:shd w:fill="FFFFFF" w:val="clear"/>
            <w:vAlign w:val="center"/>
          </w:tcPr>
          <w:p>
            <w:pPr>
              <w:pStyle w:val="TableContents"/>
              <w:bidi w:val="0"/>
              <w:spacing w:before="0" w:after="283"/>
              <w:jc w:val="right"/>
              <w:rPr>
                <w:color w:val="000000"/>
              </w:rPr>
            </w:pPr>
            <w:r>
              <w:rPr>
                <w:color w:val="000000"/>
              </w:rPr>
              <w:t>142,742,000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95" w:type="dxa"/>
            <w:tcBorders/>
            <w:shd w:fill="FFFFFF" w:val="clear"/>
            <w:vAlign w:val="center"/>
          </w:tcPr>
          <w:p>
            <w:pPr>
              <w:pStyle w:val="TableContents"/>
              <w:bidi w:val="0"/>
              <w:spacing w:before="0" w:after="283"/>
              <w:jc w:val="right"/>
              <w:rPr>
                <w:color w:val="000000"/>
              </w:rPr>
            </w:pPr>
            <w:r>
              <w:rPr>
                <w:color w:val="000000"/>
              </w:rPr>
              <w:t>(120,365,000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340" w:type="dxa"/>
            <w:tcBorders/>
            <w:shd w:fill="FFFFFF" w:val="clear"/>
            <w:vAlign w:val="center"/>
          </w:tcPr>
          <w:p>
            <w:pPr>
              <w:pStyle w:val="TableContents"/>
              <w:bidi w:val="0"/>
              <w:spacing w:before="0" w:after="283"/>
              <w:jc w:val="right"/>
              <w:rPr>
                <w:color w:val="000000"/>
              </w:rPr>
            </w:pPr>
            <w:r>
              <w:rPr>
                <w:color w:val="000000"/>
              </w:rPr>
              <w:t>22,407,000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w:t>
            </w:r>
          </w:p>
        </w:tc>
        <w:tc>
          <w:tcPr>
            <w:tcW w:w="1259" w:type="dxa"/>
            <w:tcBorders/>
            <w:shd w:fill="FFFFFF" w:val="clear"/>
            <w:vAlign w:val="center"/>
          </w:tcPr>
          <w:p>
            <w:pPr>
              <w:pStyle w:val="TableContents"/>
              <w:bidi w:val="0"/>
              <w:spacing w:before="0" w:after="283"/>
              <w:jc w:val="right"/>
              <w:rPr>
                <w:color w:val="000000"/>
              </w:rPr>
            </w:pPr>
            <w:r>
              <w:rPr>
                <w:color w:val="000000"/>
              </w:rPr>
              <w:t>(355,000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400" w:type="dxa"/>
            <w:tcBorders/>
            <w:shd w:fill="FFFFFF" w:val="clear"/>
            <w:vAlign w:val="center"/>
          </w:tcPr>
          <w:p>
            <w:pPr>
              <w:pStyle w:val="TableContents"/>
              <w:bidi w:val="0"/>
              <w:spacing w:before="0" w:after="283"/>
              <w:jc w:val="right"/>
              <w:rPr>
                <w:color w:val="000000"/>
              </w:rPr>
            </w:pPr>
            <w:r>
              <w:rPr>
                <w:color w:val="000000"/>
              </w:rPr>
              <w:t>22,052,000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1340" w:type="dxa"/>
            <w:tcBorders/>
            <w:shd w:fill="FFFFFF" w:val="clear"/>
            <w:vAlign w:val="center"/>
          </w:tcPr>
          <w:p>
            <w:pPr>
              <w:pStyle w:val="TableContents"/>
              <w:bidi w:val="0"/>
              <w:spacing w:before="0" w:after="283"/>
              <w:jc w:val="left"/>
              <w:rPr>
                <w:color w:val="000000"/>
              </w:rPr>
            </w:pPr>
            <w:r>
              <w:rPr>
                <w:color w:val="000000"/>
              </w:rPr>
              <w:t>Issuance of common stock in connection with:</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76" w:name="xdx_407_eus-gaap--StockIssuedDuringPerio"/>
            <w:bookmarkEnd w:id="176"/>
          </w:p>
        </w:tc>
      </w:tr>
      <w:tr>
        <w:trPr/>
        <w:tc>
          <w:tcPr>
            <w:tcW w:w="1340" w:type="dxa"/>
            <w:tcBorders/>
            <w:shd w:fill="CCEEFF" w:val="clear"/>
            <w:vAlign w:val="center"/>
          </w:tcPr>
          <w:p>
            <w:pPr>
              <w:pStyle w:val="TableContents"/>
              <w:bidi w:val="0"/>
              <w:spacing w:before="0" w:after="283"/>
              <w:jc w:val="left"/>
              <w:rPr>
                <w:color w:val="000000"/>
              </w:rPr>
            </w:pPr>
            <w:r>
              <w:rPr>
                <w:color w:val="000000"/>
              </w:rPr>
              <w:t>Public offering, net of offering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77" w:name="xdx_984_eus-gaap--StockIssuedDuringPerio"/>
            <w:bookmarkEnd w:id="177"/>
          </w:p>
        </w:tc>
        <w:tc>
          <w:tcPr>
            <w:tcW w:w="1100" w:type="dxa"/>
            <w:tcBorders/>
            <w:shd w:fill="CCEEFF" w:val="clear"/>
            <w:vAlign w:val="center"/>
          </w:tcPr>
          <w:p>
            <w:pPr>
              <w:pStyle w:val="TableContents"/>
              <w:bidi w:val="0"/>
              <w:spacing w:before="0" w:after="283"/>
              <w:jc w:val="right"/>
              <w:rPr>
                <w:color w:val="000000"/>
              </w:rPr>
            </w:pPr>
            <w:r>
              <w:rPr>
                <w:color w:val="000000"/>
              </w:rPr>
              <w:t>3,887,324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64,516,000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64,520,000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64,520,000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78" w:name="xdx_408_eus-gaap--StockIssuedDuringPerio"/>
            <w:bookmarkEnd w:id="178"/>
          </w:p>
        </w:tc>
      </w:tr>
      <w:tr>
        <w:trPr/>
        <w:tc>
          <w:tcPr>
            <w:tcW w:w="1340" w:type="dxa"/>
            <w:tcBorders/>
            <w:shd w:fill="FFFFFF" w:val="clear"/>
            <w:vAlign w:val="center"/>
          </w:tcPr>
          <w:p>
            <w:pPr>
              <w:pStyle w:val="TableContents"/>
              <w:bidi w:val="0"/>
              <w:spacing w:before="0" w:after="283"/>
              <w:jc w:val="left"/>
              <w:rPr>
                <w:color w:val="000000"/>
              </w:rPr>
            </w:pPr>
            <w:r>
              <w:rPr>
                <w:color w:val="000000"/>
              </w:rPr>
              <w:t>Exercise of employee stock-based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79" w:name="xdx_985_eus-gaap--StockIssuedDuringPerio"/>
            <w:bookmarkEnd w:id="179"/>
          </w:p>
        </w:tc>
        <w:tc>
          <w:tcPr>
            <w:tcW w:w="1100" w:type="dxa"/>
            <w:tcBorders/>
            <w:shd w:fill="FFFFFF" w:val="clear"/>
            <w:vAlign w:val="center"/>
          </w:tcPr>
          <w:p>
            <w:pPr>
              <w:pStyle w:val="TableContents"/>
              <w:bidi w:val="0"/>
              <w:spacing w:before="0" w:after="283"/>
              <w:jc w:val="right"/>
              <w:rPr>
                <w:color w:val="000000"/>
              </w:rPr>
            </w:pPr>
            <w:r>
              <w:rPr>
                <w:color w:val="000000"/>
              </w:rPr>
              <w:t>2,430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18,000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18,000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80" w:name="xdx_40A_ecustom--StockIssuedDuringPeriod"/>
            <w:bookmarkEnd w:id="180"/>
          </w:p>
        </w:tc>
      </w:tr>
      <w:tr>
        <w:trPr/>
        <w:tc>
          <w:tcPr>
            <w:tcW w:w="1340" w:type="dxa"/>
            <w:tcBorders/>
            <w:shd w:fill="CCEEFF" w:val="clear"/>
            <w:vAlign w:val="center"/>
          </w:tcPr>
          <w:p>
            <w:pPr>
              <w:pStyle w:val="TableContents"/>
              <w:bidi w:val="0"/>
              <w:spacing w:before="0" w:after="283"/>
              <w:jc w:val="left"/>
              <w:rPr>
                <w:color w:val="000000"/>
              </w:rPr>
            </w:pPr>
            <w:r>
              <w:rPr>
                <w:color w:val="000000"/>
              </w:rPr>
              <w:t>Vesting of PSUs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81" w:name="xdx_98E_ecustom--StockIssuedDuringPeriod"/>
            <w:bookmarkEnd w:id="181"/>
          </w:p>
        </w:tc>
        <w:tc>
          <w:tcPr>
            <w:tcW w:w="1100" w:type="dxa"/>
            <w:tcBorders/>
            <w:shd w:fill="CCEEFF" w:val="clear"/>
            <w:vAlign w:val="center"/>
          </w:tcPr>
          <w:p>
            <w:pPr>
              <w:pStyle w:val="TableContents"/>
              <w:bidi w:val="0"/>
              <w:spacing w:before="0" w:after="283"/>
              <w:jc w:val="right"/>
              <w:rPr>
                <w:color w:val="000000"/>
              </w:rPr>
            </w:pPr>
            <w:r>
              <w:rPr>
                <w:color w:val="000000"/>
              </w:rPr>
              <w:t>1,567,913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2,000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(2,000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82" w:name="xdx_40E_eus-gaap--StockIssuedDuringPerio"/>
            <w:bookmarkEnd w:id="182"/>
          </w:p>
        </w:tc>
      </w:tr>
      <w:tr>
        <w:trPr/>
        <w:tc>
          <w:tcPr>
            <w:tcW w:w="1340" w:type="dxa"/>
            <w:tcBorders/>
            <w:shd w:fill="FFFFFF" w:val="clear"/>
            <w:vAlign w:val="center"/>
          </w:tcPr>
          <w:p>
            <w:pPr>
              <w:pStyle w:val="TableContents"/>
              <w:bidi w:val="0"/>
              <w:spacing w:before="0" w:after="283"/>
              <w:jc w:val="left"/>
              <w:rPr>
                <w:color w:val="000000"/>
              </w:rPr>
            </w:pPr>
            <w:r>
              <w:rPr>
                <w:color w:val="000000"/>
              </w:rPr>
              <w:t>Shares withheld related to net share settlement of equity awards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83" w:name="xdx_98F_eus-gaap--StockIssuedDuringPerio"/>
            <w:bookmarkEnd w:id="183"/>
          </w:p>
        </w:tc>
        <w:tc>
          <w:tcPr>
            <w:tcW w:w="1100" w:type="dxa"/>
            <w:tcBorders/>
            <w:shd w:fill="FFFFFF" w:val="clear"/>
            <w:vAlign w:val="center"/>
          </w:tcPr>
          <w:p>
            <w:pPr>
              <w:pStyle w:val="TableContents"/>
              <w:bidi w:val="0"/>
              <w:spacing w:before="0" w:after="283"/>
              <w:jc w:val="right"/>
              <w:rPr>
                <w:color w:val="000000"/>
              </w:rPr>
            </w:pPr>
            <w:r>
              <w:rPr>
                <w:color w:val="000000"/>
              </w:rPr>
              <w:t>(616,984</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(1,000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(11,272,000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340" w:type="dxa"/>
            <w:tcBorders/>
            <w:shd w:fill="FFFFFF" w:val="clear"/>
            <w:vAlign w:val="center"/>
          </w:tcPr>
          <w:p>
            <w:pPr>
              <w:pStyle w:val="TableContents"/>
              <w:bidi w:val="0"/>
              <w:spacing w:before="0" w:after="283"/>
              <w:jc w:val="right"/>
              <w:rPr>
                <w:color w:val="000000"/>
              </w:rPr>
            </w:pPr>
            <w:r>
              <w:rPr>
                <w:color w:val="000000"/>
              </w:rPr>
              <w:t>(11,273,000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shd w:fill="FFFFFF" w:val="clear"/>
            <w:vAlign w:val="center"/>
          </w:tcPr>
          <w:p>
            <w:pPr>
              <w:pStyle w:val="TableContents"/>
              <w:bidi w:val="0"/>
              <w:spacing w:before="0" w:after="283"/>
              <w:jc w:val="left"/>
              <w:rPr>
                <w:color w:val="000000"/>
              </w:rPr>
            </w:pPr>
            <w:r>
              <w:rPr>
                <w:color w:val="000000"/>
              </w:rPr>
              <w:t> </w:t>
            </w:r>
          </w:p>
        </w:tc>
        <w:tc>
          <w:tcPr>
            <w:tcW w:w="1259"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400" w:type="dxa"/>
            <w:tcBorders/>
            <w:shd w:fill="FFFFFF" w:val="clear"/>
            <w:vAlign w:val="center"/>
          </w:tcPr>
          <w:p>
            <w:pPr>
              <w:pStyle w:val="TableContents"/>
              <w:bidi w:val="0"/>
              <w:spacing w:before="0" w:after="283"/>
              <w:jc w:val="right"/>
              <w:rPr>
                <w:color w:val="000000"/>
              </w:rPr>
            </w:pPr>
            <w:r>
              <w:rPr>
                <w:color w:val="000000"/>
              </w:rPr>
              <w:t>(11,273,000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184" w:name="xdx_405_eus-gaap--AdjustmentsToAdditiona"/>
            <w:bookmarkEnd w:id="184"/>
          </w:p>
        </w:tc>
      </w:tr>
      <w:tr>
        <w:trPr/>
        <w:tc>
          <w:tcPr>
            <w:tcW w:w="1340" w:type="dxa"/>
            <w:tcBorders/>
            <w:shd w:fill="CCEEFF" w:val="clear"/>
            <w:vAlign w:val="center"/>
          </w:tcPr>
          <w:p>
            <w:pPr>
              <w:pStyle w:val="TableContents"/>
              <w:bidi w:val="0"/>
              <w:spacing w:before="0" w:after="283"/>
              <w:jc w:val="left"/>
              <w:rPr>
                <w:color w:val="000000"/>
              </w:rPr>
            </w:pPr>
            <w:r>
              <w:rPr>
                <w:color w:val="000000"/>
              </w:rPr>
              <w:t>Stock-based compensation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4,476,000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340" w:type="dxa"/>
            <w:tcBorders/>
            <w:shd w:fill="CCEEFF" w:val="clear"/>
            <w:vAlign w:val="center"/>
          </w:tcPr>
          <w:p>
            <w:pPr>
              <w:pStyle w:val="TableContents"/>
              <w:bidi w:val="0"/>
              <w:spacing w:before="0" w:after="283"/>
              <w:jc w:val="right"/>
              <w:rPr>
                <w:color w:val="000000"/>
              </w:rPr>
            </w:pPr>
            <w:r>
              <w:rPr>
                <w:color w:val="000000"/>
              </w:rPr>
              <w:t>4,476,000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shd w:fill="CCEEFF" w:val="clear"/>
            <w:vAlign w:val="center"/>
          </w:tcPr>
          <w:p>
            <w:pPr>
              <w:pStyle w:val="TableContents"/>
              <w:bidi w:val="0"/>
              <w:spacing w:before="0" w:after="283"/>
              <w:jc w:val="left"/>
              <w:rPr>
                <w:color w:val="000000"/>
              </w:rPr>
            </w:pPr>
            <w:r>
              <w:rPr>
                <w:color w:val="000000"/>
              </w:rPr>
              <w:t> </w:t>
            </w:r>
          </w:p>
        </w:tc>
        <w:tc>
          <w:tcPr>
            <w:tcW w:w="1259"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400" w:type="dxa"/>
            <w:tcBorders/>
            <w:shd w:fill="CCEEFF" w:val="clear"/>
            <w:vAlign w:val="center"/>
          </w:tcPr>
          <w:p>
            <w:pPr>
              <w:pStyle w:val="TableContents"/>
              <w:bidi w:val="0"/>
              <w:spacing w:before="0" w:after="283"/>
              <w:jc w:val="right"/>
              <w:rPr>
                <w:color w:val="000000"/>
              </w:rPr>
            </w:pPr>
            <w:r>
              <w:rPr>
                <w:color w:val="000000"/>
              </w:rPr>
              <w:t>4,476,000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85" w:name="xdx_40A_eus-gaap--NetIncomeLoss_z5ejgdi3"/>
            <w:bookmarkEnd w:id="185"/>
          </w:p>
        </w:tc>
      </w:tr>
      <w:tr>
        <w:trPr/>
        <w:tc>
          <w:tcPr>
            <w:tcW w:w="1340" w:type="dxa"/>
            <w:tcBorders/>
            <w:shd w:fill="FFFFFF" w:val="clear"/>
            <w:vAlign w:val="center"/>
          </w:tcPr>
          <w:p>
            <w:pPr>
              <w:pStyle w:val="TableContents"/>
              <w:bidi w:val="0"/>
              <w:spacing w:before="0" w:after="283"/>
              <w:jc w:val="left"/>
              <w:rPr>
                <w:color w:val="000000"/>
              </w:rPr>
            </w:pPr>
            <w:r>
              <w:rPr>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(4,391,000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(4,391,000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(4,391,000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186" w:name="xdx_43B_c20230701__20230930_eus-gaap--St"/>
            <w:bookmarkEnd w:id="186"/>
          </w:p>
        </w:tc>
      </w:tr>
      <w:tr>
        <w:trPr/>
        <w:tc>
          <w:tcPr>
            <w:tcW w:w="1340" w:type="dxa"/>
            <w:tcBorders/>
            <w:shd w:fill="CCEEFF" w:val="clear"/>
            <w:vAlign w:val="center"/>
          </w:tcPr>
          <w:p>
            <w:pPr>
              <w:pStyle w:val="TableContents"/>
              <w:bidi w:val="0"/>
              <w:spacing w:before="0" w:after="283"/>
              <w:jc w:val="left"/>
              <w:rPr>
                <w:color w:val="000000"/>
              </w:rPr>
            </w:pPr>
            <w:r>
              <w:rPr>
                <w:color w:val="000000"/>
              </w:rPr>
              <w:t>Balance at September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187" w:name="xdx_989_eus-gaap--SharesOutstanding_iE_p"/>
            <w:bookmarkEnd w:id="18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35,117,621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200,478,000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(124,756,000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75,757,000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(355,000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75,402,000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UNAUDITED CONDENSED CONSOLIDATED STATEMENTS OF CASH FLOWS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188" w:name="xdx_300_112_z8UBXh0OPtua"/>
      <w:bookmarkStart w:id="189" w:name="xdx_300_112_z8UBXh0OPtua"/>
      <w:bookmarkEnd w:id="189"/>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90" w:name="xdx_49B_20230101__20230930_z4FSbb2v52Ie"/>
            <w:bookmarkEnd w:id="190"/>
          </w:p>
        </w:tc>
        <w:tc>
          <w:tcPr>
            <w:tcW w:w="143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91" w:name="xdx_49E_20220101__20220930_zkkPUCaM6m82"/>
            <w:bookmarkEnd w:id="191"/>
          </w:p>
        </w:tc>
        <w:tc>
          <w:tcPr>
            <w:tcW w:w="131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71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905" w:type="dxa"/>
            <w:gridSpan w:val="6"/>
            <w:tcBorders/>
            <w:vAlign w:val="center"/>
          </w:tcPr>
          <w:p>
            <w:pPr>
              <w:pStyle w:val="TableContents"/>
              <w:bidi w:val="0"/>
              <w:spacing w:before="0" w:after="283"/>
              <w:jc w:val="center"/>
              <w:rPr>
                <w:color w:val="000000"/>
              </w:rPr>
            </w:pPr>
            <w:r>
              <w:rPr>
                <w:color w:val="000000"/>
              </w:rPr>
              <w:t>For the Nine Months Ended</w:t>
            </w:r>
          </w:p>
        </w:tc>
        <w:tc>
          <w:tcPr>
            <w:tcW w:w="110" w:type="dxa"/>
            <w:tcBorders/>
            <w:vAlign w:val="center"/>
          </w:tcPr>
          <w:p>
            <w:pPr>
              <w:pStyle w:val="TableContents"/>
              <w:bidi w:val="0"/>
              <w:spacing w:before="0" w:after="283"/>
              <w:jc w:val="left"/>
              <w:rPr>
                <w:color w:val="000000"/>
              </w:rPr>
            </w:pPr>
            <w:r>
              <w:rPr>
                <w:color w:val="000000"/>
              </w:rPr>
              <w:t> </w:t>
            </w:r>
          </w:p>
        </w:tc>
      </w:tr>
      <w:tr>
        <w:trPr/>
        <w:tc>
          <w:tcPr>
            <w:tcW w:w="71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905"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September 30,</w:t>
            </w:r>
          </w:p>
        </w:tc>
        <w:tc>
          <w:tcPr>
            <w:tcW w:w="110" w:type="dxa"/>
            <w:tcBorders/>
            <w:vAlign w:val="center"/>
          </w:tcPr>
          <w:p>
            <w:pPr>
              <w:pStyle w:val="TableContents"/>
              <w:bidi w:val="0"/>
              <w:spacing w:before="0" w:after="283"/>
              <w:jc w:val="left"/>
              <w:rPr>
                <w:color w:val="000000"/>
              </w:rPr>
            </w:pPr>
            <w:r>
              <w:rPr>
                <w:color w:val="000000"/>
              </w:rPr>
              <w:t> </w:t>
            </w:r>
          </w:p>
        </w:tc>
      </w:tr>
      <w:tr>
        <w:trPr/>
        <w:tc>
          <w:tcPr>
            <w:tcW w:w="71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71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5"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5" w:type="dxa"/>
            <w:gridSpan w:val="2"/>
            <w:tcBorders/>
            <w:vAlign w:val="center"/>
          </w:tcPr>
          <w:p>
            <w:pPr>
              <w:pStyle w:val="TableContents"/>
              <w:bidi w:val="0"/>
              <w:spacing w:before="0" w:after="283"/>
              <w:jc w:val="lef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bookmarkStart w:id="192" w:name="xdx_40A_eus-gaap--NetCashProvidedByUsedI"/>
            <w:bookmarkEnd w:id="192"/>
          </w:p>
        </w:tc>
      </w:tr>
      <w:tr>
        <w:trPr/>
        <w:tc>
          <w:tcPr>
            <w:tcW w:w="7130" w:type="dxa"/>
            <w:tcBorders/>
            <w:shd w:fill="CCEEFF" w:val="clear"/>
            <w:vAlign w:val="center"/>
          </w:tcPr>
          <w:p>
            <w:pPr>
              <w:pStyle w:val="TableContents"/>
              <w:bidi w:val="0"/>
              <w:spacing w:before="0" w:after="283"/>
              <w:jc w:val="left"/>
              <w:rPr>
                <w:color w:val="000000"/>
              </w:rPr>
            </w:pPr>
            <w:r>
              <w:rPr>
                <w:color w:val="000000"/>
              </w:rPr>
              <w:t>CASH FLOWS FROM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93" w:name="xdx_40A_eus-gaap--NetIncomeLoss_i01_maCz"/>
            <w:bookmarkEnd w:id="193"/>
          </w:p>
        </w:tc>
      </w:tr>
      <w:tr>
        <w:trPr/>
        <w:tc>
          <w:tcPr>
            <w:tcW w:w="7130" w:type="dxa"/>
            <w:tcBorders/>
            <w:shd w:fill="FFFFFF" w:val="clear"/>
            <w:vAlign w:val="center"/>
          </w:tcPr>
          <w:p>
            <w:pPr>
              <w:pStyle w:val="TableContents"/>
              <w:bidi w:val="0"/>
              <w:spacing w:before="0" w:after="283"/>
              <w:jc w:val="left"/>
              <w:rPr>
                <w:color w:val="000000"/>
              </w:rPr>
            </w:pPr>
            <w:r>
              <w:rPr>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295" w:type="dxa"/>
            <w:tcBorders/>
            <w:shd w:fill="FFFFFF" w:val="clear"/>
            <w:vAlign w:val="center"/>
          </w:tcPr>
          <w:p>
            <w:pPr>
              <w:pStyle w:val="TableContents"/>
              <w:bidi w:val="0"/>
              <w:spacing w:before="0" w:after="283"/>
              <w:jc w:val="right"/>
              <w:rPr>
                <w:color w:val="000000"/>
              </w:rPr>
            </w:pPr>
            <w:r>
              <w:rPr>
                <w:color w:val="000000"/>
              </w:rPr>
              <w:t>(15,263,000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75" w:type="dxa"/>
            <w:tcBorders/>
            <w:shd w:fill="FFFFFF" w:val="clear"/>
            <w:vAlign w:val="center"/>
          </w:tcPr>
          <w:p>
            <w:pPr>
              <w:pStyle w:val="TableContents"/>
              <w:bidi w:val="0"/>
              <w:spacing w:before="0" w:after="283"/>
              <w:jc w:val="right"/>
              <w:rPr>
                <w:color w:val="000000"/>
              </w:rPr>
            </w:pPr>
            <w:r>
              <w:rPr>
                <w:color w:val="000000"/>
              </w:rPr>
              <w:t>(15,141,000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194" w:name="xdx_40E_eus-gaap--AdjustmentsToReconcile"/>
            <w:bookmarkEnd w:id="194"/>
          </w:p>
        </w:tc>
      </w:tr>
      <w:tr>
        <w:trPr/>
        <w:tc>
          <w:tcPr>
            <w:tcW w:w="7130" w:type="dxa"/>
            <w:tcBorders/>
            <w:shd w:fill="CCEEFF" w:val="clear"/>
            <w:vAlign w:val="center"/>
          </w:tcPr>
          <w:p>
            <w:pPr>
              <w:pStyle w:val="TableContents"/>
              <w:bidi w:val="0"/>
              <w:spacing w:before="0" w:after="283"/>
              <w:jc w:val="left"/>
              <w:rPr>
                <w:color w:val="000000"/>
              </w:rPr>
            </w:pPr>
            <w:r>
              <w:rPr>
                <w:color w:val="000000"/>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95" w:name="xdx_407_eus-gaap--DepreciationAndAmortiz"/>
            <w:bookmarkEnd w:id="195"/>
          </w:p>
        </w:tc>
      </w:tr>
      <w:tr>
        <w:trPr/>
        <w:tc>
          <w:tcPr>
            <w:tcW w:w="7130" w:type="dxa"/>
            <w:tcBorders/>
            <w:shd w:fill="FFFFFF" w:val="clear"/>
            <w:vAlign w:val="center"/>
          </w:tcPr>
          <w:p>
            <w:pPr>
              <w:pStyle w:val="TableContents"/>
              <w:bidi w:val="0"/>
              <w:spacing w:before="0" w:after="283"/>
              <w:jc w:val="left"/>
              <w:rPr>
                <w:color w:val="000000"/>
              </w:rPr>
            </w:pPr>
            <w:r>
              <w:rPr>
                <w:color w:val="000000"/>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1,095,000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1,090,000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96" w:name="xdx_405_eus-gaap--AmortizationOfIntangib"/>
            <w:bookmarkEnd w:id="196"/>
          </w:p>
        </w:tc>
      </w:tr>
      <w:tr>
        <w:trPr/>
        <w:tc>
          <w:tcPr>
            <w:tcW w:w="7130" w:type="dxa"/>
            <w:tcBorders/>
            <w:shd w:fill="CCEEFF" w:val="clear"/>
            <w:vAlign w:val="center"/>
          </w:tcPr>
          <w:p>
            <w:pPr>
              <w:pStyle w:val="TableContents"/>
              <w:bidi w:val="0"/>
              <w:spacing w:before="0" w:after="283"/>
              <w:jc w:val="left"/>
              <w:rPr>
                <w:color w:val="000000"/>
              </w:rPr>
            </w:pPr>
            <w:r>
              <w:rPr>
                <w:color w:val="000000"/>
              </w:rPr>
              <w:t>Amortization of intangible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7,634,000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1,200,000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97" w:name="xdx_400_eus-gaap--OperatingLeaseRightOfU"/>
            <w:bookmarkEnd w:id="197"/>
          </w:p>
        </w:tc>
      </w:tr>
      <w:tr>
        <w:trPr/>
        <w:tc>
          <w:tcPr>
            <w:tcW w:w="7130" w:type="dxa"/>
            <w:tcBorders/>
            <w:shd w:fill="FFFFFF" w:val="clear"/>
            <w:vAlign w:val="center"/>
          </w:tcPr>
          <w:p>
            <w:pPr>
              <w:pStyle w:val="TableContents"/>
              <w:bidi w:val="0"/>
              <w:spacing w:before="0" w:after="283"/>
              <w:jc w:val="left"/>
              <w:rPr>
                <w:color w:val="000000"/>
              </w:rPr>
            </w:pPr>
            <w:r>
              <w:rPr>
                <w:color w:val="000000"/>
              </w:rPr>
              <w:t>Amortization of operating lease right-of-use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541,000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435,000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198" w:name="xdx_406_eus-gaap--ProvisionForDoubtfulAc"/>
            <w:bookmarkEnd w:id="198"/>
          </w:p>
        </w:tc>
      </w:tr>
      <w:tr>
        <w:trPr/>
        <w:tc>
          <w:tcPr>
            <w:tcW w:w="7130" w:type="dxa"/>
            <w:tcBorders/>
            <w:shd w:fill="CCEEFF" w:val="clear"/>
            <w:vAlign w:val="center"/>
          </w:tcPr>
          <w:p>
            <w:pPr>
              <w:pStyle w:val="TableContents"/>
              <w:bidi w:val="0"/>
              <w:spacing w:before="0" w:after="283"/>
              <w:jc w:val="left"/>
              <w:rPr>
                <w:color w:val="000000"/>
              </w:rPr>
            </w:pPr>
            <w:r>
              <w:rPr>
                <w:color w:val="000000"/>
              </w:rPr>
              <w:t>Provision for credit losses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68,000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36,000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199" w:name="xdx_40F_eus-gaap--AmortizationOfFinancin"/>
            <w:bookmarkEnd w:id="199"/>
          </w:p>
        </w:tc>
      </w:tr>
      <w:tr>
        <w:trPr/>
        <w:tc>
          <w:tcPr>
            <w:tcW w:w="7130" w:type="dxa"/>
            <w:tcBorders/>
            <w:shd w:fill="FFFFFF" w:val="clear"/>
            <w:vAlign w:val="center"/>
          </w:tcPr>
          <w:p>
            <w:pPr>
              <w:pStyle w:val="TableContents"/>
              <w:bidi w:val="0"/>
              <w:spacing w:before="0" w:after="283"/>
              <w:jc w:val="left"/>
              <w:rPr>
                <w:color w:val="000000"/>
              </w:rPr>
            </w:pPr>
            <w:r>
              <w:rPr>
                <w:color w:val="000000"/>
              </w:rPr>
              <w:t>Amortization of debt issuance costs and debt discount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2,568,000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585,000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00" w:name="xdx_409_eus-gaap--GainLossOnInvestments_"/>
            <w:bookmarkEnd w:id="200"/>
          </w:p>
        </w:tc>
      </w:tr>
      <w:tr>
        <w:trPr/>
        <w:tc>
          <w:tcPr>
            <w:tcW w:w="7130" w:type="dxa"/>
            <w:tcBorders/>
            <w:shd w:fill="CCEEFF" w:val="clear"/>
            <w:vAlign w:val="center"/>
          </w:tcPr>
          <w:p>
            <w:pPr>
              <w:pStyle w:val="TableContents"/>
              <w:bidi w:val="0"/>
              <w:spacing w:before="0" w:after="283"/>
              <w:jc w:val="left"/>
              <w:rPr>
                <w:color w:val="000000"/>
              </w:rPr>
            </w:pPr>
            <w:r>
              <w:rPr>
                <w:color w:val="000000"/>
              </w:rPr>
              <w:t>Investment (gain) loss from investment in Eton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(2,676,000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4,341,000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01" w:name="xdx_40D_ecustom--EquityInLossesOfUnconso"/>
            <w:bookmarkEnd w:id="201"/>
          </w:p>
        </w:tc>
      </w:tr>
      <w:tr>
        <w:trPr/>
        <w:tc>
          <w:tcPr>
            <w:tcW w:w="7130" w:type="dxa"/>
            <w:tcBorders/>
            <w:shd w:fill="FFFFFF" w:val="clear"/>
            <w:vAlign w:val="center"/>
          </w:tcPr>
          <w:p>
            <w:pPr>
              <w:pStyle w:val="TableContents"/>
              <w:bidi w:val="0"/>
              <w:spacing w:before="0" w:after="283"/>
              <w:jc w:val="left"/>
              <w:rPr>
                <w:color w:val="000000"/>
              </w:rPr>
            </w:pPr>
            <w:r>
              <w:rPr>
                <w:color w:val="000000"/>
              </w:rPr>
              <w:t>Equity in losses of unconsolidated entities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9,036,000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02" w:name="xdx_402_eus-gaap--ExtinguishmentOfDebtGa"/>
            <w:bookmarkEnd w:id="202"/>
          </w:p>
        </w:tc>
      </w:tr>
      <w:tr>
        <w:trPr/>
        <w:tc>
          <w:tcPr>
            <w:tcW w:w="7130" w:type="dxa"/>
            <w:tcBorders/>
            <w:shd w:fill="CCEEFF" w:val="clear"/>
            <w:vAlign w:val="center"/>
          </w:tcPr>
          <w:p>
            <w:pPr>
              <w:pStyle w:val="TableContents"/>
              <w:bidi w:val="0"/>
              <w:spacing w:before="0" w:after="283"/>
              <w:jc w:val="left"/>
              <w:rPr>
                <w:color w:val="000000"/>
              </w:rPr>
            </w:pPr>
            <w:r>
              <w:rPr>
                <w:color w:val="000000"/>
              </w:rPr>
              <w:t>Loss on extinguishment of debt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5,465,000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03" w:name="xdx_40D_eus-gaap--GainLossOnDispositionO"/>
            <w:bookmarkEnd w:id="203"/>
          </w:p>
        </w:tc>
      </w:tr>
      <w:tr>
        <w:trPr/>
        <w:tc>
          <w:tcPr>
            <w:tcW w:w="7130" w:type="dxa"/>
            <w:tcBorders/>
            <w:shd w:fill="FFFFFF" w:val="clear"/>
            <w:vAlign w:val="center"/>
          </w:tcPr>
          <w:p>
            <w:pPr>
              <w:pStyle w:val="TableContents"/>
              <w:bidi w:val="0"/>
              <w:spacing w:before="0" w:after="283"/>
              <w:jc w:val="left"/>
              <w:rPr>
                <w:color w:val="000000"/>
              </w:rPr>
            </w:pPr>
            <w:r>
              <w:rPr>
                <w:color w:val="000000"/>
              </w:rPr>
              <w:t>Loss on disposal of intangible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04" w:name="xdx_404_eus-gaap--ShareBasedCompensation"/>
            <w:bookmarkEnd w:id="204"/>
          </w:p>
        </w:tc>
      </w:tr>
      <w:tr>
        <w:trPr/>
        <w:tc>
          <w:tcPr>
            <w:tcW w:w="7130" w:type="dxa"/>
            <w:tcBorders/>
            <w:shd w:fill="CCEEFF" w:val="clear"/>
            <w:vAlign w:val="center"/>
          </w:tcPr>
          <w:p>
            <w:pPr>
              <w:pStyle w:val="TableContents"/>
              <w:bidi w:val="0"/>
              <w:spacing w:before="0" w:after="283"/>
              <w:jc w:val="left"/>
              <w:rPr>
                <w:color w:val="000000"/>
              </w:rPr>
            </w:pPr>
            <w:r>
              <w:rPr>
                <w:color w:val="000000"/>
              </w:rPr>
              <w:t>Stock-based compensation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11,521,000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5,941,000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05" w:name="xdx_40E_eus-gaap--IncreaseDecreaseInOper"/>
            <w:bookmarkEnd w:id="205"/>
          </w:p>
        </w:tc>
      </w:tr>
      <w:tr>
        <w:trPr/>
        <w:tc>
          <w:tcPr>
            <w:tcW w:w="7130" w:type="dxa"/>
            <w:tcBorders/>
            <w:shd w:fill="FFFFFF" w:val="clear"/>
            <w:vAlign w:val="center"/>
          </w:tcPr>
          <w:p>
            <w:pPr>
              <w:pStyle w:val="TableContents"/>
              <w:bidi w:val="0"/>
              <w:spacing w:before="0" w:after="283"/>
              <w:jc w:val="left"/>
              <w:rPr>
                <w:color w:val="000000"/>
              </w:rPr>
            </w:pPr>
            <w:r>
              <w:rPr>
                <w:color w:val="000000"/>
              </w:rPr>
              <w:t>Changes in assets and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06" w:name="xdx_40B_eus-gaap--IncreaseDecreaseInAcco"/>
            <w:bookmarkEnd w:id="206"/>
          </w:p>
        </w:tc>
      </w:tr>
      <w:tr>
        <w:trPr/>
        <w:tc>
          <w:tcPr>
            <w:tcW w:w="7130" w:type="dxa"/>
            <w:tcBorders/>
            <w:shd w:fill="CCEEFF" w:val="clear"/>
            <w:vAlign w:val="center"/>
          </w:tcPr>
          <w:p>
            <w:pPr>
              <w:pStyle w:val="TableContents"/>
              <w:bidi w:val="0"/>
              <w:spacing w:before="0" w:after="283"/>
              <w:jc w:val="left"/>
              <w:rPr>
                <w:color w:val="000000"/>
              </w:rPr>
            </w:pPr>
            <w:r>
              <w:rPr>
                <w:color w:val="000000"/>
              </w:rPr>
              <w:t>Accounts receivable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(12,287,000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(2,309,000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207" w:name="xdx_40F_eus-gaap--IncreaseDecreaseInInve"/>
            <w:bookmarkEnd w:id="207"/>
          </w:p>
        </w:tc>
      </w:tr>
      <w:tr>
        <w:trPr/>
        <w:tc>
          <w:tcPr>
            <w:tcW w:w="7130" w:type="dxa"/>
            <w:tcBorders/>
            <w:shd w:fill="FFFFFF" w:val="clear"/>
            <w:vAlign w:val="center"/>
          </w:tcPr>
          <w:p>
            <w:pPr>
              <w:pStyle w:val="TableContents"/>
              <w:bidi w:val="0"/>
              <w:spacing w:before="0" w:after="283"/>
              <w:jc w:val="left"/>
              <w:rPr>
                <w:color w:val="000000"/>
              </w:rPr>
            </w:pPr>
            <w:r>
              <w:rPr>
                <w:color w:val="000000"/>
              </w:rPr>
              <w:t>Inventories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(2,383,000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(1,066,000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208" w:name="xdx_403_eus-gaap--IncreaseDecreaseInPrep"/>
            <w:bookmarkEnd w:id="208"/>
          </w:p>
        </w:tc>
      </w:tr>
      <w:tr>
        <w:trPr/>
        <w:tc>
          <w:tcPr>
            <w:tcW w:w="7130" w:type="dxa"/>
            <w:tcBorders/>
            <w:shd w:fill="CCEEFF" w:val="clear"/>
            <w:vAlign w:val="center"/>
          </w:tcPr>
          <w:p>
            <w:pPr>
              <w:pStyle w:val="TableContents"/>
              <w:bidi w:val="0"/>
              <w:spacing w:before="0" w:after="283"/>
              <w:jc w:val="left"/>
              <w:rPr>
                <w:color w:val="000000"/>
              </w:rPr>
            </w:pPr>
            <w:r>
              <w:rPr>
                <w:color w:val="000000"/>
              </w:rPr>
              <w:t>Prepaid expenses and other 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(4,079,000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(716,000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209" w:name="xdx_40E_eus-gaap--IncreaseDecreaseInAcco"/>
            <w:bookmarkEnd w:id="209"/>
          </w:p>
        </w:tc>
      </w:tr>
      <w:tr>
        <w:trPr/>
        <w:tc>
          <w:tcPr>
            <w:tcW w:w="7130" w:type="dxa"/>
            <w:tcBorders/>
            <w:shd w:fill="FFFFFF" w:val="clear"/>
            <w:vAlign w:val="center"/>
          </w:tcPr>
          <w:p>
            <w:pPr>
              <w:pStyle w:val="TableContents"/>
              <w:bidi w:val="0"/>
              <w:spacing w:before="0" w:after="283"/>
              <w:jc w:val="left"/>
              <w:rPr>
                <w:color w:val="000000"/>
              </w:rPr>
            </w:pPr>
            <w:r>
              <w:rPr>
                <w:color w:val="000000"/>
              </w:rPr>
              <w:t>Accounts payable and accrued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1,584,000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1,534,000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0" w:name="xdx_409_eus-gaap--IncreaseDecreaseInEmpl"/>
            <w:bookmarkEnd w:id="210"/>
          </w:p>
        </w:tc>
      </w:tr>
      <w:tr>
        <w:trPr/>
        <w:tc>
          <w:tcPr>
            <w:tcW w:w="7130" w:type="dxa"/>
            <w:tcBorders/>
            <w:shd w:fill="CCEEFF" w:val="clear"/>
            <w:vAlign w:val="center"/>
          </w:tcPr>
          <w:p>
            <w:pPr>
              <w:pStyle w:val="TableContents"/>
              <w:bidi w:val="0"/>
              <w:spacing w:before="0" w:after="283"/>
              <w:jc w:val="left"/>
              <w:rPr>
                <w:color w:val="000000"/>
              </w:rPr>
            </w:pPr>
            <w:r>
              <w:rPr>
                <w:color w:val="000000"/>
              </w:rPr>
              <w:t>Accrued payroll and related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1,294,000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352,000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1" w:name="xdx_403_eus-gaap--IncreaseDecreaseInCont"/>
            <w:bookmarkEnd w:id="211"/>
          </w:p>
        </w:tc>
      </w:tr>
      <w:tr>
        <w:trPr/>
        <w:tc>
          <w:tcPr>
            <w:tcW w:w="7130" w:type="dxa"/>
            <w:tcBorders/>
            <w:shd w:fill="FFFFFF" w:val="clear"/>
            <w:vAlign w:val="center"/>
          </w:tcPr>
          <w:p>
            <w:pPr>
              <w:pStyle w:val="TableContents"/>
              <w:bidi w:val="0"/>
              <w:spacing w:before="0" w:after="283"/>
              <w:jc w:val="left"/>
              <w:rPr>
                <w:color w:val="000000"/>
              </w:rPr>
            </w:pPr>
            <w:r>
              <w:rPr>
                <w:color w:val="000000"/>
              </w:rPr>
              <w:t>Deferred revenue and customer deposits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99,000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2" w:name="xdx_404_eus-gaap--NetCashProvidedByUsedI"/>
            <w:bookmarkEnd w:id="212"/>
          </w:p>
        </w:tc>
      </w:tr>
      <w:tr>
        <w:trPr/>
        <w:tc>
          <w:tcPr>
            <w:tcW w:w="7130" w:type="dxa"/>
            <w:tcBorders/>
            <w:shd w:fill="CCEEFF" w:val="clear"/>
            <w:vAlign w:val="center"/>
          </w:tcPr>
          <w:p>
            <w:pPr>
              <w:pStyle w:val="TableContents"/>
              <w:bidi w:val="0"/>
              <w:spacing w:before="0" w:after="283"/>
              <w:jc w:val="left"/>
              <w:rPr>
                <w:color w:val="000000"/>
              </w:rPr>
            </w:pPr>
            <w:r>
              <w:rPr>
                <w:color w:val="000000"/>
              </w:rPr>
              <w:t>NET CASH (USED IN) PROVIDED BY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(4,856,000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5,417,000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3" w:name="xdx_405_eus-gaap--NetCashProvidedByUsedI"/>
            <w:bookmarkEnd w:id="213"/>
          </w:p>
        </w:tc>
      </w:tr>
      <w:tr>
        <w:trPr/>
        <w:tc>
          <w:tcPr>
            <w:tcW w:w="7130" w:type="dxa"/>
            <w:tcBorders/>
            <w:shd w:fill="FFFFFF" w:val="clear"/>
            <w:vAlign w:val="center"/>
          </w:tcPr>
          <w:p>
            <w:pPr>
              <w:pStyle w:val="TableContents"/>
              <w:bidi w:val="0"/>
              <w:spacing w:before="0" w:after="283"/>
              <w:jc w:val="left"/>
              <w:rPr>
                <w:color w:val="000000"/>
              </w:rPr>
            </w:pPr>
            <w:r>
              <w:rPr>
                <w:color w:val="000000"/>
              </w:rPr>
              <w:t>CASH FLOWS FROM INVESTING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4" w:name="xdx_408_eus-gaap--PaymentsToAcquireIntan"/>
            <w:bookmarkEnd w:id="214"/>
          </w:p>
        </w:tc>
      </w:tr>
      <w:tr>
        <w:trPr/>
        <w:tc>
          <w:tcPr>
            <w:tcW w:w="7130" w:type="dxa"/>
            <w:tcBorders/>
            <w:shd w:fill="CCEEFF" w:val="clear"/>
            <w:vAlign w:val="center"/>
          </w:tcPr>
          <w:p>
            <w:pPr>
              <w:pStyle w:val="TableContents"/>
              <w:bidi w:val="0"/>
              <w:spacing w:before="0" w:after="283"/>
              <w:jc w:val="left"/>
              <w:rPr>
                <w:color w:val="000000"/>
              </w:rPr>
            </w:pPr>
            <w:r>
              <w:rPr>
                <w:color w:val="000000"/>
              </w:rPr>
              <w:t>Investment in patent and trademark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(19,000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215" w:name="xdx_402_ecustom--PurchaseOfProductMarket"/>
            <w:bookmarkEnd w:id="215"/>
          </w:p>
        </w:tc>
      </w:tr>
      <w:tr>
        <w:trPr/>
        <w:tc>
          <w:tcPr>
            <w:tcW w:w="7130" w:type="dxa"/>
            <w:tcBorders/>
            <w:shd w:fill="FFFFFF" w:val="clear"/>
            <w:vAlign w:val="center"/>
          </w:tcPr>
          <w:p>
            <w:pPr>
              <w:pStyle w:val="TableContents"/>
              <w:bidi w:val="0"/>
              <w:spacing w:before="0" w:after="283"/>
              <w:jc w:val="left"/>
              <w:rPr>
                <w:color w:val="000000"/>
              </w:rPr>
            </w:pPr>
            <w:r>
              <w:rPr>
                <w:color w:val="000000"/>
              </w:rPr>
              <w:t>Purchase of product NDAs, marketing authorizations and patents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(151,084,000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16" w:name="xdx_409_eus-gaap--PaymentsToAcquirePrope"/>
            <w:bookmarkEnd w:id="216"/>
          </w:p>
        </w:tc>
      </w:tr>
      <w:tr>
        <w:trPr/>
        <w:tc>
          <w:tcPr>
            <w:tcW w:w="7130" w:type="dxa"/>
            <w:tcBorders/>
            <w:shd w:fill="CCEEFF" w:val="clear"/>
            <w:vAlign w:val="center"/>
          </w:tcPr>
          <w:p>
            <w:pPr>
              <w:pStyle w:val="TableContents"/>
              <w:bidi w:val="0"/>
              <w:spacing w:before="0" w:after="283"/>
              <w:jc w:val="left"/>
              <w:rPr>
                <w:color w:val="000000"/>
              </w:rPr>
            </w:pPr>
            <w:r>
              <w:rPr>
                <w:color w:val="000000"/>
              </w:rPr>
              <w:t>Purchases of property, plant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(1,266,000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(1,719,000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217" w:name="xdx_404_eus-gaap--NetCashProvidedByUsedI"/>
            <w:bookmarkEnd w:id="217"/>
          </w:p>
        </w:tc>
      </w:tr>
      <w:tr>
        <w:trPr/>
        <w:tc>
          <w:tcPr>
            <w:tcW w:w="7130" w:type="dxa"/>
            <w:tcBorders/>
            <w:shd w:fill="FFFFFF" w:val="clear"/>
            <w:vAlign w:val="center"/>
          </w:tcPr>
          <w:p>
            <w:pPr>
              <w:pStyle w:val="TableContents"/>
              <w:bidi w:val="0"/>
              <w:spacing w:before="0" w:after="283"/>
              <w:jc w:val="left"/>
              <w:rPr>
                <w:color w:val="000000"/>
              </w:rPr>
            </w:pPr>
            <w:r>
              <w:rPr>
                <w:color w:val="000000"/>
              </w:rPr>
              <w:t>NET CASH USED IN INVESTING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(152,350,000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(1,738,000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218" w:name="xdx_403_eus-gaap--NetCashProvidedByUsedI"/>
            <w:bookmarkEnd w:id="218"/>
          </w:p>
        </w:tc>
      </w:tr>
      <w:tr>
        <w:trPr/>
        <w:tc>
          <w:tcPr>
            <w:tcW w:w="7130" w:type="dxa"/>
            <w:tcBorders/>
            <w:shd w:fill="CCEEFF" w:val="clear"/>
            <w:vAlign w:val="center"/>
          </w:tcPr>
          <w:p>
            <w:pPr>
              <w:pStyle w:val="TableContents"/>
              <w:bidi w:val="0"/>
              <w:spacing w:before="0" w:after="283"/>
              <w:jc w:val="left"/>
              <w:rPr>
                <w:color w:val="000000"/>
              </w:rPr>
            </w:pPr>
            <w:r>
              <w:rPr>
                <w:color w:val="000000"/>
              </w:rPr>
              <w:t>CASH FLOWS FROM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19" w:name="xdx_408_ecustom--ProceedsFromNotesPayabl"/>
            <w:bookmarkEnd w:id="219"/>
          </w:p>
        </w:tc>
      </w:tr>
      <w:tr>
        <w:trPr/>
        <w:tc>
          <w:tcPr>
            <w:tcW w:w="7130" w:type="dxa"/>
            <w:tcBorders/>
            <w:shd w:fill="FFFFFF" w:val="clear"/>
            <w:vAlign w:val="center"/>
          </w:tcPr>
          <w:p>
            <w:pPr>
              <w:pStyle w:val="TableContents"/>
              <w:bidi w:val="0"/>
              <w:spacing w:before="0" w:after="283"/>
              <w:jc w:val="left"/>
              <w:rPr>
                <w:color w:val="000000"/>
              </w:rPr>
            </w:pPr>
            <w:r>
              <w:rPr>
                <w:color w:val="000000"/>
              </w:rPr>
              <w:t>Proceeds from 11.875% notes payable, net of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4,961,000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0" w:name="xdx_40D_eus-gaap--ProceedsFromNotesPayab"/>
            <w:bookmarkEnd w:id="220"/>
          </w:p>
        </w:tc>
      </w:tr>
      <w:tr>
        <w:trPr/>
        <w:tc>
          <w:tcPr>
            <w:tcW w:w="7130" w:type="dxa"/>
            <w:tcBorders/>
            <w:shd w:fill="CCEEFF" w:val="clear"/>
            <w:vAlign w:val="center"/>
          </w:tcPr>
          <w:p>
            <w:pPr>
              <w:pStyle w:val="TableContents"/>
              <w:bidi w:val="0"/>
              <w:spacing w:before="0" w:after="283"/>
              <w:jc w:val="left"/>
              <w:rPr>
                <w:color w:val="000000"/>
              </w:rPr>
            </w:pPr>
            <w:r>
              <w:rPr>
                <w:color w:val="000000"/>
              </w:rPr>
              <w:t>Proceeds from Oaktree Loan, net of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73,552,000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1" w:name="xdx_407_ecustom--PaymentOfTaxesForVestin"/>
            <w:bookmarkEnd w:id="221"/>
          </w:p>
        </w:tc>
      </w:tr>
      <w:tr>
        <w:trPr/>
        <w:tc>
          <w:tcPr>
            <w:tcW w:w="7130" w:type="dxa"/>
            <w:tcBorders/>
            <w:shd w:fill="FFFFFF" w:val="clear"/>
            <w:vAlign w:val="center"/>
          </w:tcPr>
          <w:p>
            <w:pPr>
              <w:pStyle w:val="TableContents"/>
              <w:bidi w:val="0"/>
              <w:spacing w:before="0" w:after="283"/>
              <w:jc w:val="left"/>
              <w:rPr>
                <w:color w:val="000000"/>
              </w:rPr>
            </w:pPr>
            <w:r>
              <w:rPr>
                <w:color w:val="000000"/>
              </w:rPr>
              <w:t>Payment of payroll taxes upon vesting of PSUs, RSUs and exercise of stock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(12,971,000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(876,000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222" w:name="xdx_406_eus-gaap--ProceedsFromStockOptio"/>
            <w:bookmarkEnd w:id="222"/>
          </w:p>
        </w:tc>
      </w:tr>
      <w:tr>
        <w:trPr/>
        <w:tc>
          <w:tcPr>
            <w:tcW w:w="7130" w:type="dxa"/>
            <w:tcBorders/>
            <w:shd w:fill="CCEEFF" w:val="clear"/>
            <w:vAlign w:val="center"/>
          </w:tcPr>
          <w:p>
            <w:pPr>
              <w:pStyle w:val="TableContents"/>
              <w:bidi w:val="0"/>
              <w:spacing w:before="0" w:after="283"/>
              <w:jc w:val="left"/>
              <w:rPr>
                <w:color w:val="000000"/>
              </w:rPr>
            </w:pPr>
            <w:r>
              <w:rPr>
                <w:color w:val="000000"/>
              </w:rPr>
              <w:t>Proceeds from exercise of stock 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355,000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7,000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3" w:name="xdx_401_eus-gaap--ProceedsFromIssuanceOf"/>
            <w:bookmarkEnd w:id="223"/>
          </w:p>
        </w:tc>
      </w:tr>
      <w:tr>
        <w:trPr/>
        <w:tc>
          <w:tcPr>
            <w:tcW w:w="7130" w:type="dxa"/>
            <w:tcBorders/>
            <w:shd w:fill="FFFFFF" w:val="clear"/>
            <w:vAlign w:val="center"/>
          </w:tcPr>
          <w:p>
            <w:pPr>
              <w:pStyle w:val="TableContents"/>
              <w:bidi w:val="0"/>
              <w:spacing w:before="0" w:after="283"/>
              <w:jc w:val="left"/>
              <w:rPr>
                <w:color w:val="000000"/>
              </w:rPr>
            </w:pPr>
            <w:r>
              <w:rPr>
                <w:color w:val="000000"/>
              </w:rPr>
              <w:t>Proceeds from B. Riley senior secured note, net of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55,879,000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4" w:name="xdx_40F_eus-gaap--RepaymentsOfSeniorDebt"/>
            <w:bookmarkEnd w:id="224"/>
          </w:p>
        </w:tc>
      </w:tr>
      <w:tr>
        <w:trPr/>
        <w:tc>
          <w:tcPr>
            <w:tcW w:w="7130" w:type="dxa"/>
            <w:tcBorders/>
            <w:shd w:fill="CCEEFF" w:val="clear"/>
            <w:vAlign w:val="center"/>
          </w:tcPr>
          <w:p>
            <w:pPr>
              <w:pStyle w:val="TableContents"/>
              <w:bidi w:val="0"/>
              <w:spacing w:before="0" w:after="283"/>
              <w:jc w:val="left"/>
              <w:rPr>
                <w:color w:val="000000"/>
              </w:rPr>
            </w:pPr>
            <w:r>
              <w:rPr>
                <w:color w:val="000000"/>
              </w:rPr>
              <w:t>Repayment of B. Riley senior secured note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(59,750,000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5" w:name="xdx_404_eus-gaap--ProceedsFromIssuanceIn"/>
            <w:bookmarkEnd w:id="225"/>
          </w:p>
        </w:tc>
      </w:tr>
      <w:tr>
        <w:trPr/>
        <w:tc>
          <w:tcPr>
            <w:tcW w:w="7130" w:type="dxa"/>
            <w:tcBorders/>
            <w:shd w:fill="FFFFFF" w:val="clear"/>
            <w:vAlign w:val="center"/>
          </w:tcPr>
          <w:p>
            <w:pPr>
              <w:pStyle w:val="TableContents"/>
              <w:bidi w:val="0"/>
              <w:spacing w:before="0" w:after="283"/>
              <w:jc w:val="left"/>
              <w:rPr>
                <w:color w:val="000000"/>
              </w:rPr>
            </w:pPr>
            <w:r>
              <w:rPr>
                <w:color w:val="000000"/>
              </w:rPr>
              <w:t>Proceeds from public offering of common stock, net of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95" w:type="dxa"/>
            <w:tcBorders/>
            <w:shd w:fill="FFFFFF" w:val="clear"/>
            <w:vAlign w:val="center"/>
          </w:tcPr>
          <w:p>
            <w:pPr>
              <w:pStyle w:val="TableContents"/>
              <w:bidi w:val="0"/>
              <w:spacing w:before="0" w:after="283"/>
              <w:jc w:val="right"/>
              <w:rPr>
                <w:color w:val="000000"/>
              </w:rPr>
            </w:pPr>
            <w:r>
              <w:rPr>
                <w:color w:val="000000"/>
              </w:rPr>
              <w:t>64,520,000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26" w:name="xdx_40D_eus-gaap--FinanceLeasePrincipalP"/>
            <w:bookmarkEnd w:id="226"/>
          </w:p>
        </w:tc>
      </w:tr>
      <w:tr>
        <w:trPr/>
        <w:tc>
          <w:tcPr>
            <w:tcW w:w="7130" w:type="dxa"/>
            <w:tcBorders/>
            <w:shd w:fill="CCEEFF" w:val="clear"/>
            <w:vAlign w:val="center"/>
          </w:tcPr>
          <w:p>
            <w:pPr>
              <w:pStyle w:val="TableContents"/>
              <w:bidi w:val="0"/>
              <w:spacing w:before="0" w:after="283"/>
              <w:jc w:val="left"/>
              <w:rPr>
                <w:color w:val="000000"/>
              </w:rPr>
            </w:pPr>
            <w:r>
              <w:rPr>
                <w:color w:val="000000"/>
              </w:rPr>
              <w:t>Payments on finance lease obligations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(18,000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227" w:name="xdx_400_eus-gaap--NetCashProvidedByUsedI"/>
            <w:bookmarkEnd w:id="227"/>
          </w:p>
        </w:tc>
      </w:tr>
      <w:tr>
        <w:trPr/>
        <w:tc>
          <w:tcPr>
            <w:tcW w:w="7130" w:type="dxa"/>
            <w:tcBorders/>
            <w:shd w:fill="FFFFFF" w:val="clear"/>
            <w:vAlign w:val="center"/>
          </w:tcPr>
          <w:p>
            <w:pPr>
              <w:pStyle w:val="TableContents"/>
              <w:bidi w:val="0"/>
              <w:spacing w:before="0" w:after="283"/>
              <w:jc w:val="left"/>
              <w:rPr>
                <w:color w:val="000000"/>
              </w:rPr>
            </w:pPr>
            <w:r>
              <w:rPr>
                <w:color w:val="000000"/>
              </w:rPr>
              <w:t>NET CASH PROVIDED BY (USED IN) FINANCING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126,546,000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(887,000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228" w:name="xdx_40A_eus-gaap--CashCashEquivalentsRes"/>
            <w:bookmarkEnd w:id="228"/>
          </w:p>
        </w:tc>
      </w:tr>
      <w:tr>
        <w:trPr/>
        <w:tc>
          <w:tcPr>
            <w:tcW w:w="7130" w:type="dxa"/>
            <w:tcBorders/>
            <w:shd w:fill="CCEEFF" w:val="clear"/>
            <w:vAlign w:val="center"/>
          </w:tcPr>
          <w:p>
            <w:pPr>
              <w:pStyle w:val="TableContents"/>
              <w:bidi w:val="0"/>
              <w:spacing w:before="0" w:after="283"/>
              <w:jc w:val="left"/>
              <w:rPr>
                <w:color w:val="000000"/>
              </w:rPr>
            </w:pPr>
            <w:r>
              <w:rPr>
                <w:color w:val="000000"/>
              </w:rPr>
              <w:t>NET CHANGE IN CASH AND CASH EQUIVALENTS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95" w:type="dxa"/>
            <w:tcBorders/>
            <w:shd w:fill="CCEEFF" w:val="clear"/>
            <w:vAlign w:val="center"/>
          </w:tcPr>
          <w:p>
            <w:pPr>
              <w:pStyle w:val="TableContents"/>
              <w:bidi w:val="0"/>
              <w:spacing w:before="0" w:after="283"/>
              <w:jc w:val="right"/>
              <w:rPr>
                <w:color w:val="000000"/>
              </w:rPr>
            </w:pPr>
            <w:r>
              <w:rPr>
                <w:color w:val="000000"/>
              </w:rPr>
              <w:t>(30,660,000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2,792,000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29" w:name="xdx_40D_eus-gaap--CashCashEquivalentsRes"/>
            <w:bookmarkEnd w:id="229"/>
          </w:p>
        </w:tc>
      </w:tr>
      <w:tr>
        <w:trPr/>
        <w:tc>
          <w:tcPr>
            <w:tcW w:w="7130" w:type="dxa"/>
            <w:tcBorders/>
            <w:shd w:fill="FFFFFF" w:val="clear"/>
            <w:vAlign w:val="center"/>
          </w:tcPr>
          <w:p>
            <w:pPr>
              <w:pStyle w:val="TableContents"/>
              <w:bidi w:val="0"/>
              <w:spacing w:before="0" w:after="283"/>
              <w:jc w:val="left"/>
              <w:rPr>
                <w:color w:val="000000"/>
              </w:rPr>
            </w:pPr>
            <w:r>
              <w:rPr>
                <w:color w:val="000000"/>
              </w:rPr>
              <w:t>CASH AND CASH EQUIVALENTS, beginning of period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96,270,000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42,167,000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0" w:name="xdx_40A_eus-gaap--CashCashEquivalentsRes"/>
            <w:bookmarkEnd w:id="230"/>
          </w:p>
        </w:tc>
      </w:tr>
      <w:tr>
        <w:trPr/>
        <w:tc>
          <w:tcPr>
            <w:tcW w:w="7130" w:type="dxa"/>
            <w:tcBorders/>
            <w:shd w:fill="CCEEFF" w:val="clear"/>
            <w:vAlign w:val="center"/>
          </w:tcPr>
          <w:p>
            <w:pPr>
              <w:pStyle w:val="TableContents"/>
              <w:bidi w:val="0"/>
              <w:spacing w:before="0" w:after="283"/>
              <w:jc w:val="left"/>
              <w:rPr>
                <w:color w:val="000000"/>
              </w:rPr>
            </w:pPr>
            <w:r>
              <w:rPr>
                <w:color w:val="000000"/>
              </w:rPr>
              <w:t xml:space="preserve">CASH AND CASH EQUIVALENTS, end of period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65,610,000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44,959,000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1" w:name="xdx_404_eus-gaap--SupplementalCashFlowIn"/>
            <w:bookmarkEnd w:id="231"/>
          </w:p>
        </w:tc>
      </w:tr>
      <w:tr>
        <w:trPr/>
        <w:tc>
          <w:tcPr>
            <w:tcW w:w="7130" w:type="dxa"/>
            <w:tcBorders/>
            <w:shd w:fill="FFFFFF" w:val="clear"/>
            <w:vAlign w:val="center"/>
          </w:tcPr>
          <w:p>
            <w:pPr>
              <w:pStyle w:val="TableContents"/>
              <w:bidi w:val="0"/>
              <w:spacing w:before="0" w:after="283"/>
              <w:jc w:val="left"/>
              <w:rPr>
                <w:color w:val="000000"/>
              </w:rPr>
            </w:pPr>
            <w:r>
              <w:rPr>
                <w:color w:val="000000"/>
              </w:rPr>
              <w:t>SUPPLEMENTAL DISCLOSURE OF CASH FLOW INFORMATION: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2" w:name="xdx_40A_eus-gaap--IncomeTaxesPaidNet_i01"/>
            <w:bookmarkEnd w:id="232"/>
          </w:p>
        </w:tc>
      </w:tr>
      <w:tr>
        <w:trPr/>
        <w:tc>
          <w:tcPr>
            <w:tcW w:w="7130" w:type="dxa"/>
            <w:tcBorders/>
            <w:shd w:fill="CCEEFF" w:val="clear"/>
            <w:vAlign w:val="center"/>
          </w:tcPr>
          <w:p>
            <w:pPr>
              <w:pStyle w:val="TableContents"/>
              <w:bidi w:val="0"/>
              <w:spacing w:before="0" w:after="283"/>
              <w:jc w:val="left"/>
              <w:rPr>
                <w:color w:val="000000"/>
              </w:rPr>
            </w:pPr>
            <w:r>
              <w:rPr>
                <w:color w:val="000000"/>
              </w:rPr>
              <w:t>Cash paid for income taxes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75,000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3" w:name="xdx_408_eus-gaap--InterestPaidNet_i01_zV"/>
            <w:bookmarkEnd w:id="233"/>
          </w:p>
        </w:tc>
      </w:tr>
      <w:tr>
        <w:trPr/>
        <w:tc>
          <w:tcPr>
            <w:tcW w:w="7130" w:type="dxa"/>
            <w:tcBorders/>
            <w:shd w:fill="FFFFFF" w:val="clear"/>
            <w:vAlign w:val="center"/>
          </w:tcPr>
          <w:p>
            <w:pPr>
              <w:pStyle w:val="TableContents"/>
              <w:bidi w:val="0"/>
              <w:spacing w:before="0" w:after="283"/>
              <w:jc w:val="left"/>
              <w:rPr>
                <w:color w:val="000000"/>
              </w:rPr>
            </w:pPr>
            <w:r>
              <w:rPr>
                <w:color w:val="000000"/>
              </w:rPr>
              <w:t>Cash paid for interest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12,279,000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4,851,000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4" w:name="xdx_400_eus-gaap--CashFlowNoncashInvesti"/>
            <w:bookmarkEnd w:id="234"/>
          </w:p>
        </w:tc>
      </w:tr>
      <w:tr>
        <w:trPr/>
        <w:tc>
          <w:tcPr>
            <w:tcW w:w="7130" w:type="dxa"/>
            <w:tcBorders/>
            <w:shd w:fill="CCEEFF" w:val="clear"/>
            <w:vAlign w:val="center"/>
          </w:tcPr>
          <w:p>
            <w:pPr>
              <w:pStyle w:val="TableContents"/>
              <w:bidi w:val="0"/>
              <w:spacing w:before="0" w:after="283"/>
              <w:jc w:val="left"/>
              <w:rPr>
                <w:color w:val="000000"/>
              </w:rPr>
            </w:pPr>
            <w:r>
              <w:rPr>
                <w:color w:val="000000"/>
              </w:rPr>
              <w:t>SUPPLEMENTAL DISCLOSURES OF NON-CASH INVESTING AND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5" w:name="xdx_405_ecustom--ReclassificationOfDefer"/>
            <w:bookmarkEnd w:id="235"/>
          </w:p>
        </w:tc>
      </w:tr>
      <w:tr>
        <w:trPr/>
        <w:tc>
          <w:tcPr>
            <w:tcW w:w="7130" w:type="dxa"/>
            <w:tcBorders/>
            <w:shd w:fill="FFFFFF" w:val="clear"/>
            <w:vAlign w:val="center"/>
          </w:tcPr>
          <w:p>
            <w:pPr>
              <w:pStyle w:val="TableContents"/>
              <w:bidi w:val="0"/>
              <w:spacing w:before="0" w:after="283"/>
              <w:jc w:val="left"/>
              <w:rPr>
                <w:color w:val="000000"/>
              </w:rPr>
            </w:pPr>
            <w:r>
              <w:rPr>
                <w:color w:val="000000"/>
              </w:rPr>
              <w:t>Reclassification of deferred financing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1,950,000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6" w:name="xdx_404_ecustom--AccrualOfExitFeeRelated"/>
            <w:bookmarkEnd w:id="236"/>
          </w:p>
        </w:tc>
      </w:tr>
      <w:tr>
        <w:trPr/>
        <w:tc>
          <w:tcPr>
            <w:tcW w:w="7130" w:type="dxa"/>
            <w:tcBorders/>
            <w:shd w:fill="CCEEFF" w:val="clear"/>
            <w:vAlign w:val="center"/>
          </w:tcPr>
          <w:p>
            <w:pPr>
              <w:pStyle w:val="TableContents"/>
              <w:bidi w:val="0"/>
              <w:spacing w:before="0" w:after="283"/>
              <w:jc w:val="left"/>
              <w:rPr>
                <w:color w:val="000000"/>
              </w:rPr>
            </w:pPr>
            <w:r>
              <w:rPr>
                <w:color w:val="000000"/>
              </w:rPr>
              <w:t>Accrual of exit fee related to Oaktree Loan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2,713,000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7" w:name="xdx_40F_ecustom--InsurancePremiumFinance"/>
            <w:bookmarkEnd w:id="237"/>
          </w:p>
        </w:tc>
      </w:tr>
      <w:tr>
        <w:trPr/>
        <w:tc>
          <w:tcPr>
            <w:tcW w:w="7130" w:type="dxa"/>
            <w:tcBorders/>
            <w:shd w:fill="FFFFFF" w:val="clear"/>
            <w:vAlign w:val="center"/>
          </w:tcPr>
          <w:p>
            <w:pPr>
              <w:pStyle w:val="TableContents"/>
              <w:bidi w:val="0"/>
              <w:spacing w:before="0" w:after="283"/>
              <w:jc w:val="left"/>
              <w:rPr>
                <w:color w:val="000000"/>
              </w:rPr>
            </w:pPr>
            <w:r>
              <w:rPr>
                <w:color w:val="000000"/>
              </w:rPr>
              <w:t>Insurance premium financed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1,321,000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906,000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38" w:name="xdx_401_ecustom--PurchaseOfIntangibleAss"/>
            <w:bookmarkEnd w:id="238"/>
          </w:p>
        </w:tc>
      </w:tr>
      <w:tr>
        <w:trPr/>
        <w:tc>
          <w:tcPr>
            <w:tcW w:w="7130" w:type="dxa"/>
            <w:tcBorders/>
            <w:shd w:fill="CCEEFF" w:val="clear"/>
            <w:vAlign w:val="center"/>
          </w:tcPr>
          <w:p>
            <w:pPr>
              <w:pStyle w:val="TableContents"/>
              <w:bidi w:val="0"/>
              <w:spacing w:before="0" w:after="283"/>
              <w:jc w:val="left"/>
              <w:rPr>
                <w:color w:val="000000"/>
              </w:rPr>
            </w:pPr>
            <w:r>
              <w:rPr>
                <w:color w:val="000000"/>
              </w:rPr>
              <w:t>Purchase of intangible asset included in accounts payable and accrued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5,000,000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239" w:name="xdx_400_ecustom--PurchaseOfPropertyPlant"/>
            <w:bookmarkEnd w:id="239"/>
          </w:p>
        </w:tc>
      </w:tr>
      <w:tr>
        <w:trPr/>
        <w:tc>
          <w:tcPr>
            <w:tcW w:w="7130" w:type="dxa"/>
            <w:tcBorders/>
            <w:shd w:fill="FFFFFF" w:val="clear"/>
            <w:vAlign w:val="center"/>
          </w:tcPr>
          <w:p>
            <w:pPr>
              <w:pStyle w:val="TableContents"/>
              <w:bidi w:val="0"/>
              <w:spacing w:before="0" w:after="283"/>
              <w:jc w:val="left"/>
              <w:rPr>
                <w:color w:val="000000"/>
              </w:rPr>
            </w:pPr>
            <w:r>
              <w:rPr>
                <w:color w:val="000000"/>
              </w:rPr>
              <w:t>Purchase of property, plant and equipment included in accounts payable and accrued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86,000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240" w:name="xdx_40D_eus-gaap--RightOfUseAssetObtaine"/>
            <w:bookmarkEnd w:id="240"/>
          </w:p>
        </w:tc>
      </w:tr>
      <w:tr>
        <w:trPr/>
        <w:tc>
          <w:tcPr>
            <w:tcW w:w="7130" w:type="dxa"/>
            <w:tcBorders/>
            <w:shd w:fill="CCEEFF" w:val="clear"/>
            <w:vAlign w:val="center"/>
          </w:tcPr>
          <w:p>
            <w:pPr>
              <w:pStyle w:val="TableContents"/>
              <w:bidi w:val="0"/>
              <w:spacing w:before="0" w:after="283"/>
              <w:jc w:val="left"/>
              <w:rPr>
                <w:color w:val="000000"/>
              </w:rPr>
            </w:pPr>
            <w:r>
              <w:rPr>
                <w:color w:val="000000"/>
              </w:rPr>
              <w:t>Right-of-use assets obtained in exchange for new operating lease obligations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2,188,000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notes are an integral part of these unaudited condensed consolidated financial statements</w:t>
      </w:r>
    </w:p>
    <w:p>
      <w:pPr>
        <w:pStyle w:val="TextBody"/>
        <w:bidi w:val="0"/>
        <w:spacing w:before="0" w:after="0"/>
        <w:jc w:val="center"/>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NOTES TO THE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Three and Nine Months Ended September 30, 2023 and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41" w:name="xdx_80A_eus-gaap--BusinessDescriptionAnd"/>
      <w:bookmarkEnd w:id="241"/>
      <w:r>
        <w:rPr>
          <w:rFonts w:ascii="Times New Roman;Times;Serif" w:hAnsi="Times New Roman;Times;Serif"/>
          <w:b/>
          <w:i w:val="false"/>
          <w:caps w:val="false"/>
          <w:smallCaps w:val="false"/>
          <w:color w:val="000000"/>
          <w:sz w:val="20"/>
        </w:rPr>
        <w:t xml:space="preserve">NOTE 1. </w:t>
      </w:r>
      <w:bookmarkStart w:id="242" w:name="xdx_82F_zW2fPaQAbuj2"/>
      <w:bookmarkEnd w:id="242"/>
      <w:r>
        <w:rPr>
          <w:rFonts w:ascii="Times New Roman;Times;Serif" w:hAnsi="Times New Roman;Times;Serif"/>
          <w:b/>
          <w:i w:val="false"/>
          <w:caps w:val="false"/>
          <w:smallCaps w:val="false"/>
          <w:color w:val="000000"/>
          <w:sz w:val="20"/>
        </w:rPr>
        <w:t>DESCRIPTION OF BUSINESS AND BASIS OF PRESENTATION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Company and Background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that are marketed under its Harrow name. The Company also owns and operates ImprimisRx, one of the nation’s leading ophthalmology-focused pharmaceutical-compounding businesses.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Company owns non-controlling equity interests in Surface Ophthalmics, Inc. (“Surface”) and Melt Pharmaceuticals, Inc. (“Melt”), both companies that began as subsidiaries of Harrow. Harrow also owns royalty rights in various drug candidates being developed by Surface and Melt.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Effective September 29, 2023, the Company changed its corporate name from Harrow Health, Inc. to Harrow, Inc. pursuant to a Certificate of Amendment to the Company’s Amended and Restated Certificate of Incorporation filed with the Secretary of State of the State of Delaware.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Basis of Presentation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2023 are not necessarily indicative of the results that may be expected for the year ending December 31, 2023 or for any other period. For further information, refer to the Company’s audited consolidated financial statements and notes thereto included in the Company’s Annual Report on Form 10-K for the year ended December 31,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unaudited condensed consolidated financial statements include the accounts of the Company and its wholly owned and majority-owned subsidiaries.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243" w:name="xdx_90D_ecustom--ConsolidationBasisDescr"/>
      <w:bookmarkEnd w:id="243"/>
      <w:r>
        <w:rPr>
          <w:rFonts w:ascii="Times New Roman;Times;Serif" w:hAnsi="Times New Roman;Times;Serif"/>
          <w:b w:val="false"/>
          <w:i w:val="false"/>
          <w:caps w:val="false"/>
          <w:smallCaps w:val="false"/>
          <w:color w:val="000000"/>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244" w:name="xdx_80B_eus-gaap--SignificantAccountingP"/>
      <w:bookmarkEnd w:id="244"/>
      <w:r>
        <w:rPr>
          <w:rFonts w:ascii="Times New Roman;Times;Serif" w:hAnsi="Times New Roman;Times;Serif"/>
          <w:b/>
          <w:i w:val="false"/>
          <w:caps w:val="false"/>
          <w:smallCaps w:val="false"/>
          <w:color w:val="000000"/>
          <w:sz w:val="20"/>
        </w:rPr>
        <w:t xml:space="preserve">NOTE 2. </w:t>
      </w:r>
      <w:bookmarkStart w:id="245" w:name="xdx_821_zvVMl5eohcyf"/>
      <w:bookmarkEnd w:id="245"/>
      <w:r>
        <w:rPr>
          <w:rFonts w:ascii="Times New Roman;Times;Serif" w:hAnsi="Times New Roman;Times;Serif"/>
          <w:b/>
          <w:i w:val="false"/>
          <w:caps w:val="false"/>
          <w:smallCaps w:val="false"/>
          <w:color w:val="000000"/>
          <w:sz w:val="20"/>
        </w:rPr>
        <w:t>SUMMARY OF SIGNIFICANT ACCOUNTING POLICIES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represents an update for the three and nine months ended September 30, 2023 to the significant accounting policies described in the Company’s Annual Report on Form 10-K for the year ended December 31, 2022.</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000000"/>
          <w:sz w:val="20"/>
        </w:rPr>
      </w:pPr>
      <w:bookmarkStart w:id="246" w:name="xdx_869_zk8FWDSBuM6g"/>
      <w:bookmarkStart w:id="247" w:name="xdx_84A_ecustom--RisksUncertaintiesAndLi"/>
      <w:bookmarkEnd w:id="246"/>
      <w:bookmarkEnd w:id="247"/>
      <w:r>
        <w:rPr>
          <w:rFonts w:ascii="Times New Roman;Times;Serif" w:hAnsi="Times New Roman;Times;Serif"/>
          <w:b/>
          <w:i w:val="false"/>
          <w:caps w:val="false"/>
          <w:smallCaps w:val="false"/>
          <w:color w:val="000000"/>
          <w:sz w:val="20"/>
        </w:rPr>
        <w:t>Risks, Uncertainties and Liquidity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248" w:name="xdx_863_zl1wIdl0XmTc"/>
      <w:bookmarkStart w:id="249" w:name="xdx_844_eus-gaap--CreditLossFinancialIns"/>
      <w:bookmarkEnd w:id="248"/>
      <w:bookmarkEnd w:id="249"/>
      <w:r>
        <w:rPr>
          <w:rFonts w:ascii="Times New Roman;Times;Serif" w:hAnsi="Times New Roman;Times;Serif"/>
          <w:b/>
          <w:i w:val="false"/>
          <w:caps w:val="false"/>
          <w:smallCaps w:val="false"/>
          <w:color w:val="000000"/>
          <w:sz w:val="20"/>
        </w:rPr>
        <w:t>Credit Losses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accounts receivable balance on the Company’s condensed consolidated balance sheet as of September 30, 2023 was $</w:t>
      </w:r>
      <w:bookmarkStart w:id="250" w:name="xdx_909_eus-gaap--AccountsReceivableNet_"/>
      <w:bookmarkEnd w:id="250"/>
      <w:r>
        <w:rPr>
          <w:rFonts w:ascii="Times New Roman;Times;Serif" w:hAnsi="Times New Roman;Times;Serif"/>
          <w:b w:val="false"/>
          <w:i w:val="false"/>
          <w:caps w:val="false"/>
          <w:smallCaps w:val="false"/>
          <w:color w:val="000000"/>
          <w:sz w:val="20"/>
        </w:rPr>
        <w:t>18,468,000, net of $</w:t>
      </w:r>
      <w:bookmarkStart w:id="251" w:name="xdx_902_eus-gaap--AllowanceForDoubtfulAc"/>
      <w:bookmarkEnd w:id="251"/>
      <w:r>
        <w:rPr>
          <w:rFonts w:ascii="Times New Roman;Times;Serif" w:hAnsi="Times New Roman;Times;Serif"/>
          <w:b w:val="false"/>
          <w:i w:val="false"/>
          <w:caps w:val="false"/>
          <w:smallCaps w:val="false"/>
          <w:color w:val="000000"/>
          <w:sz w:val="20"/>
        </w:rPr>
        <w:t>108,000 of allowances. The following table provides a roll-forward of the allowance for credit losses that is deducted from the amortized cost basis of accounts receivable to present the net amount expected to be collected at September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252" w:name="xdx_8BE_zYJv9gbBz9ag"/>
      <w:bookmarkStart w:id="253" w:name="xdx_895_eus-gaap--AccountsReceivableAllo"/>
      <w:bookmarkEnd w:id="252"/>
      <w:bookmarkEnd w:id="253"/>
      <w:r>
        <w:rPr>
          <w:rFonts w:ascii="Times New Roman;Times;Serif" w:hAnsi="Times New Roman;Times;Serif"/>
          <w:b w:val="false"/>
          <w:i w:val="false"/>
          <w:caps w:val="false"/>
          <w:smallCaps w:val="false"/>
          <w:color w:val="000000"/>
          <w:sz w:val="20"/>
        </w:rPr>
        <w:t>SCHEDULE OF ACCOUNTS RECEIVABLE ALLOWANCE OF CREDIT LOSS</w:t>
      </w:r>
    </w:p>
    <w:tbl>
      <w:tblPr>
        <w:tblW w:w="4220" w:type="dxa"/>
        <w:jc w:val="left"/>
        <w:tblInd w:w="0" w:type="dxa"/>
        <w:tblLayout w:type="fixed"/>
        <w:tblCellMar>
          <w:top w:w="0" w:type="dxa"/>
          <w:left w:w="0" w:type="dxa"/>
          <w:bottom w:w="0" w:type="dxa"/>
          <w:right w:w="0" w:type="dxa"/>
        </w:tblCellMar>
      </w:tblPr>
      <w:tblGrid>
        <w:gridCol w:w="3110"/>
        <w:gridCol w:w="60"/>
        <w:gridCol w:w="140"/>
        <w:gridCol w:w="800"/>
        <w:gridCol w:w="110"/>
      </w:tblGrid>
      <w:tr>
        <w:trPr/>
        <w:tc>
          <w:tcPr>
            <w:tcW w:w="3110" w:type="dxa"/>
            <w:tcBorders/>
            <w:shd w:fill="CCEEFF" w:val="clear"/>
            <w:vAlign w:val="center"/>
          </w:tcPr>
          <w:p>
            <w:pPr>
              <w:pStyle w:val="TableContents"/>
              <w:bidi w:val="0"/>
              <w:spacing w:before="0" w:after="283"/>
              <w:jc w:val="left"/>
              <w:rPr>
                <w:color w:val="000000"/>
              </w:rPr>
            </w:pPr>
            <w:r>
              <w:rPr>
                <w:color w:val="000000"/>
              </w:rPr>
              <w:t>Balance at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bookmarkStart w:id="254" w:name="xdx_981_eus-gaap--AllowanceForDoubtfulAc"/>
            <w:bookmarkEnd w:id="254"/>
          </w:p>
        </w:tc>
        <w:tc>
          <w:tcPr>
            <w:tcW w:w="800" w:type="dxa"/>
            <w:tcBorders/>
            <w:shd w:fill="CCEEFF" w:val="clear"/>
            <w:vAlign w:val="center"/>
          </w:tcPr>
          <w:p>
            <w:pPr>
              <w:pStyle w:val="TableContents"/>
              <w:bidi w:val="0"/>
              <w:spacing w:before="0" w:after="283"/>
              <w:jc w:val="right"/>
              <w:rPr>
                <w:color w:val="000000"/>
              </w:rPr>
            </w:pPr>
            <w:r>
              <w:rPr>
                <w:color w:val="000000"/>
              </w:rPr>
              <w:t>73,000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3110" w:type="dxa"/>
            <w:tcBorders/>
            <w:shd w:fill="FFFFFF" w:val="clear"/>
            <w:vAlign w:val="center"/>
          </w:tcPr>
          <w:p>
            <w:pPr>
              <w:pStyle w:val="TableContents"/>
              <w:bidi w:val="0"/>
              <w:spacing w:before="0" w:after="283"/>
              <w:jc w:val="left"/>
              <w:rPr>
                <w:color w:val="000000"/>
              </w:rPr>
            </w:pPr>
            <w:r>
              <w:rPr>
                <w:color w:val="000000"/>
              </w:rPr>
              <w:t>Change in expected credit losses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255" w:name="xdx_98E_eus-gaap--AllowanceForDoubtfulAc"/>
            <w:bookmarkEnd w:id="255"/>
          </w:p>
        </w:tc>
        <w:tc>
          <w:tcPr>
            <w:tcW w:w="800" w:type="dxa"/>
            <w:tcBorders/>
            <w:shd w:fill="FFFFFF" w:val="clear"/>
            <w:vAlign w:val="center"/>
          </w:tcPr>
          <w:p>
            <w:pPr>
              <w:pStyle w:val="TableContents"/>
              <w:bidi w:val="0"/>
              <w:spacing w:before="0" w:after="283"/>
              <w:jc w:val="right"/>
              <w:rPr>
                <w:color w:val="000000"/>
              </w:rPr>
            </w:pPr>
            <w:r>
              <w:rPr>
                <w:color w:val="000000"/>
              </w:rPr>
              <w:t>68,000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3110" w:type="dxa"/>
            <w:tcBorders/>
            <w:shd w:fill="CCEEFF" w:val="clear"/>
            <w:vAlign w:val="center"/>
          </w:tcPr>
          <w:p>
            <w:pPr>
              <w:pStyle w:val="TableContents"/>
              <w:bidi w:val="0"/>
              <w:spacing w:before="0" w:after="283"/>
              <w:jc w:val="left"/>
              <w:rPr>
                <w:color w:val="000000"/>
              </w:rPr>
            </w:pPr>
            <w:r>
              <w:rPr>
                <w:color w:val="000000"/>
              </w:rPr>
              <w:t>Write-offs, net of recoveries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256" w:name="xdx_98B_eus-gaap--AllowanceForDoubtfulAc"/>
            <w:bookmarkEnd w:id="256"/>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(33,000</w:t>
            </w:r>
          </w:p>
        </w:tc>
        <w:tc>
          <w:tcPr>
            <w:tcW w:w="110" w:type="dxa"/>
            <w:tcBorders/>
            <w:shd w:fill="CCEEFF" w:val="clear"/>
            <w:vAlign w:val="center"/>
          </w:tcPr>
          <w:p>
            <w:pPr>
              <w:pStyle w:val="TableContents"/>
              <w:bidi w:val="0"/>
              <w:spacing w:before="0" w:after="283"/>
              <w:jc w:val="left"/>
              <w:rPr>
                <w:color w:val="000000"/>
              </w:rPr>
            </w:pPr>
            <w:r>
              <w:rPr>
                <w:color w:val="000000"/>
              </w:rPr>
              <w:t>)</w:t>
            </w:r>
          </w:p>
        </w:tc>
      </w:tr>
      <w:tr>
        <w:trPr/>
        <w:tc>
          <w:tcPr>
            <w:tcW w:w="3110" w:type="dxa"/>
            <w:tcBorders/>
            <w:shd w:fill="FFFFFF" w:val="clear"/>
            <w:vAlign w:val="center"/>
          </w:tcPr>
          <w:p>
            <w:pPr>
              <w:pStyle w:val="TableContents"/>
              <w:bidi w:val="0"/>
              <w:spacing w:before="0" w:after="283"/>
              <w:jc w:val="left"/>
              <w:rPr>
                <w:color w:val="000000"/>
              </w:rPr>
            </w:pPr>
            <w:r>
              <w:rPr>
                <w:color w:val="000000"/>
              </w:rPr>
              <w:t>Balance at September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bookmarkStart w:id="257" w:name="xdx_980_eus-gaap--AllowanceForDoubtfulAc"/>
            <w:bookmarkEnd w:id="25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108,000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258" w:name="xdx_8AA_z4sVWjAqTe79"/>
      <w:bookmarkEnd w:id="258"/>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259" w:name="xdx_866_zmv80kgqwJ8"/>
      <w:bookmarkStart w:id="260" w:name="xdx_848_eus-gaap--BusinessCombinationsPo"/>
      <w:bookmarkEnd w:id="259"/>
      <w:bookmarkEnd w:id="260"/>
      <w:r>
        <w:rPr>
          <w:rFonts w:ascii="Times New Roman;Times;Serif" w:hAnsi="Times New Roman;Times;Serif"/>
          <w:b/>
          <w:i w:val="false"/>
          <w:caps w:val="false"/>
          <w:smallCaps w:val="false"/>
          <w:color w:val="000000"/>
          <w:sz w:val="20"/>
        </w:rPr>
        <w:t>Business Combinations and Asset Acquisitions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evaluates acquisitions of assets and other similar transactions to assess whether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the Company has acquired inputs, process, and output, which would meet the requirements of a business. If determined to be a business combination, the Company accounts for the transaction under the acquisition method of accounting as indicated in Financial Accounting Standards Board (“FASB”) Accounting Standards Codification (“ASC”).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ASC 805, </w:t>
      </w:r>
      <w:r>
        <w:rPr>
          <w:rFonts w:ascii="Times New Roman;Times;Serif" w:hAnsi="Times New Roman;Times;Serif"/>
          <w:b w:val="false"/>
          <w:i/>
          <w:caps w:val="false"/>
          <w:smallCaps w:val="false"/>
          <w:color w:val="000000"/>
          <w:sz w:val="20"/>
        </w:rPr>
        <w:t>Business Combinations</w:t>
      </w:r>
      <w:r>
        <w:rPr>
          <w:rFonts w:ascii="Times New Roman;Times;Serif" w:hAnsi="Times New Roman;Times;Serif"/>
          <w:b w:val="false"/>
          <w:i w:val="false"/>
          <w:caps w:val="false"/>
          <w:smallCaps w:val="false"/>
          <w:color w:val="000000"/>
          <w:sz w:val="20"/>
        </w:rPr>
        <w:t>,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any contingent assets and liabilities, and any non-controlling interest in the acquiree based on the fair value estimates as of the date of acquisition. The Company recognizes and measures goodwill as of the acquisition date, as the excess of the fair value of the consideration paid over the fair value of the identified net assets acquired.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consideration for the Company’s business acquisitions may include future payments that are contingent upon the occurrence of a particular event or events. The obligation for such contingent consideration payments are recorded at fair value on the acquisition date. The contingent consideration obligations are then evaluated each reporting period. Changes in the fair value of contingent consideration, other than changes due to payments, would be recognized as a gain or loss and recorded in the condensed consolidated statement of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If determined to be an asset acquisition, the Company accounts for the transaction under ASC 805-50, </w:t>
      </w:r>
      <w:r>
        <w:rPr>
          <w:rFonts w:ascii="Times New Roman;Times;Serif" w:hAnsi="Times New Roman;Times;Serif"/>
          <w:b w:val="false"/>
          <w:i/>
          <w:caps w:val="false"/>
          <w:smallCaps w:val="false"/>
          <w:color w:val="000000"/>
          <w:sz w:val="20"/>
        </w:rPr>
        <w:t>Business Combinations – Related Issues</w:t>
      </w:r>
      <w:r>
        <w:rPr>
          <w:rFonts w:ascii="Times New Roman;Times;Serif" w:hAnsi="Times New Roman;Times;Serif"/>
          <w:b w:val="false"/>
          <w:i w:val="false"/>
          <w:caps w:val="false"/>
          <w:smallCaps w:val="false"/>
          <w:color w:val="000000"/>
          <w:sz w:val="20"/>
        </w:rPr>
        <w:t>, which requires the acquiring entity in an asset acquisition to recognize assets acquired and liabilities assumed based on the cost to the acquiring entity or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financial statements. Consideration transferred that is non-cash will be measured based on either the cost (which shall be measured based on the fair value of the consideration given) or the fair value of the assets acquired, and liabilities assumed, whichever is more clearly evident and more reliably measurable. Goodwill is not recognized in an asset acquisition and any excess consideration transferred over the fair value of the net assets acquired is allocated to the identifiable assets based on relative fair values.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261" w:name="xdx_86A_z5ppi3HkfOOi"/>
      <w:bookmarkStart w:id="262" w:name="xdx_846_eus-gaap--FairValueMeasurementPo"/>
      <w:bookmarkEnd w:id="261"/>
      <w:bookmarkEnd w:id="262"/>
      <w:r>
        <w:rPr>
          <w:rFonts w:ascii="Times New Roman;Times;Serif" w:hAnsi="Times New Roman;Times;Serif"/>
          <w:b/>
          <w:i w:val="false"/>
          <w:caps w:val="false"/>
          <w:smallCaps w:val="false"/>
          <w:color w:val="000000"/>
          <w:sz w:val="20"/>
        </w:rPr>
        <w:t>Fair Value Measurements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 September 30, 2023 and December 31, 2022, the Company measured its investment in Eton Pharmaceuticals, Inc. (“Eton”) on a recurring basis. The Company’s investment in Eton is classified as Level 1 as the fair value is determined using quoted market prices in active markets for the same securities. As of September 30, 2023 and December 31, 2022, the fair market value of the Company’s investment in Eton was $</w:t>
      </w:r>
      <w:bookmarkStart w:id="263" w:name="xdx_90B_eus-gaap--InvestmentOwnedAtFairV"/>
      <w:bookmarkEnd w:id="263"/>
      <w:r>
        <w:rPr>
          <w:rFonts w:ascii="Times New Roman;Times;Serif" w:hAnsi="Times New Roman;Times;Serif"/>
          <w:b w:val="false"/>
          <w:i w:val="false"/>
          <w:caps w:val="false"/>
          <w:smallCaps w:val="false"/>
          <w:color w:val="000000"/>
          <w:sz w:val="20"/>
        </w:rPr>
        <w:t>8,265,000 and $</w:t>
      </w:r>
      <w:bookmarkStart w:id="264" w:name="xdx_90B_eus-gaap--InvestmentOwnedAtFairV"/>
      <w:bookmarkEnd w:id="264"/>
      <w:r>
        <w:rPr>
          <w:rFonts w:ascii="Times New Roman;Times;Serif" w:hAnsi="Times New Roman;Times;Serif"/>
          <w:b w:val="false"/>
          <w:i w:val="false"/>
          <w:caps w:val="false"/>
          <w:smallCaps w:val="false"/>
          <w:color w:val="000000"/>
          <w:sz w:val="20"/>
        </w:rPr>
        <w:t>5,589,000,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2026 Notes (as defined in Note 13) are carried at face value, including the unamortized premium, less unamortized debt issuance costs, the 2027 Notes (as described in Note 13) are carried at face value less unamortized debt issuance costs, and the Oaktree Loan (as defined in Note 13) is carried at face value less the original issue discount and unamortized debt issuance costs on the condensed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265" w:name="xdx_891_eus-gaap--ScheduleOfCarryingValu"/>
      <w:bookmarkEnd w:id="265"/>
      <w:r>
        <w:rPr>
          <w:rFonts w:ascii="Times New Roman;Times;Serif" w:hAnsi="Times New Roman;Times;Serif"/>
          <w:b w:val="false"/>
          <w:i w:val="false"/>
          <w:caps w:val="false"/>
          <w:smallCaps w:val="false"/>
          <w:color w:val="000000"/>
          <w:sz w:val="20"/>
        </w:rPr>
        <w:t>The following table presents the estimated fair values and the carrying values: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266" w:name="xdx_8B8_znrd6cor0OPg"/>
      <w:bookmarkEnd w:id="266"/>
      <w:r>
        <w:rPr>
          <w:rFonts w:ascii="Times New Roman;Times;Serif" w:hAnsi="Times New Roman;Times;Serif"/>
          <w:b w:val="false"/>
          <w:i w:val="false"/>
          <w:caps w:val="false"/>
          <w:smallCaps w:val="false"/>
          <w:color w:val="000000"/>
          <w:sz w:val="20"/>
        </w:rPr>
        <w:t>SCHEDULE OF ESTIMATED FAIR VALUE</w:t>
      </w:r>
    </w:p>
    <w:tbl>
      <w:tblPr>
        <w:tblW w:w="7293" w:type="dxa"/>
        <w:jc w:val="left"/>
        <w:tblInd w:w="0" w:type="dxa"/>
        <w:tblLayout w:type="fixed"/>
        <w:tblCellMar>
          <w:top w:w="0" w:type="dxa"/>
          <w:left w:w="0" w:type="dxa"/>
          <w:bottom w:w="0" w:type="dxa"/>
          <w:right w:w="0" w:type="dxa"/>
        </w:tblCellMar>
      </w:tblPr>
      <w:tblGrid>
        <w:gridCol w:w="1340"/>
        <w:gridCol w:w="60"/>
        <w:gridCol w:w="168"/>
        <w:gridCol w:w="1321"/>
        <w:gridCol w:w="60"/>
        <w:gridCol w:w="60"/>
        <w:gridCol w:w="140"/>
        <w:gridCol w:w="1100"/>
        <w:gridCol w:w="60"/>
        <w:gridCol w:w="60"/>
        <w:gridCol w:w="168"/>
        <w:gridCol w:w="1321"/>
        <w:gridCol w:w="60"/>
        <w:gridCol w:w="60"/>
        <w:gridCol w:w="140"/>
        <w:gridCol w:w="1100"/>
        <w:gridCol w:w="75"/>
      </w:tblGrid>
      <w:tr>
        <w:trPr/>
        <w:tc>
          <w:tcPr>
            <w:tcW w:w="13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September 30, 2023</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December 31, 2022</w:t>
            </w:r>
          </w:p>
        </w:tc>
        <w:tc>
          <w:tcPr>
            <w:tcW w:w="75" w:type="dxa"/>
            <w:tcBorders/>
            <w:vAlign w:val="center"/>
          </w:tcPr>
          <w:p>
            <w:pPr>
              <w:pStyle w:val="TableContents"/>
              <w:bidi w:val="0"/>
              <w:spacing w:before="0" w:after="283"/>
              <w:jc w:val="left"/>
              <w:rPr>
                <w:color w:val="000000"/>
              </w:rPr>
            </w:pPr>
            <w:r>
              <w:rPr>
                <w:color w:val="000000"/>
              </w:rPr>
              <w:t> </w:t>
            </w:r>
          </w:p>
        </w:tc>
      </w:tr>
      <w:tr>
        <w:trPr/>
        <w:tc>
          <w:tcPr>
            <w:tcW w:w="134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Carrying Value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Fair Value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Carrying Value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Fair 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2026 Notes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8" w:type="dxa"/>
            <w:tcBorders/>
            <w:shd w:fill="CCEEFF" w:val="clear"/>
            <w:vAlign w:val="center"/>
          </w:tcPr>
          <w:p>
            <w:pPr>
              <w:pStyle w:val="TableContents"/>
              <w:bidi w:val="0"/>
              <w:spacing w:before="0" w:after="283"/>
              <w:jc w:val="left"/>
              <w:rPr>
                <w:color w:val="000000"/>
              </w:rPr>
            </w:pPr>
            <w:r>
              <w:rPr>
                <w:color w:val="000000"/>
              </w:rPr>
              <w:t>$</w:t>
            </w:r>
          </w:p>
        </w:tc>
        <w:tc>
          <w:tcPr>
            <w:tcW w:w="1321" w:type="dxa"/>
            <w:tcBorders/>
            <w:shd w:fill="CCEEFF" w:val="clear"/>
            <w:vAlign w:val="center"/>
          </w:tcPr>
          <w:p>
            <w:pPr>
              <w:pStyle w:val="TableContents"/>
              <w:bidi w:val="0"/>
              <w:spacing w:before="0" w:after="283"/>
              <w:jc w:val="right"/>
              <w:rPr>
                <w:color w:val="000000"/>
              </w:rPr>
            </w:pPr>
            <w:bookmarkStart w:id="267" w:name="xdx_902_eus-gaap--DebtInstrumentCarrying"/>
            <w:bookmarkEnd w:id="267"/>
            <w:r>
              <w:rPr>
                <w:color w:val="000000"/>
              </w:rPr>
              <w:t>73,020,000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00" w:type="dxa"/>
            <w:tcBorders/>
            <w:shd w:fill="CCEEFF" w:val="clear"/>
            <w:vAlign w:val="center"/>
          </w:tcPr>
          <w:p>
            <w:pPr>
              <w:pStyle w:val="TableContents"/>
              <w:bidi w:val="0"/>
              <w:spacing w:before="0" w:after="283"/>
              <w:jc w:val="right"/>
              <w:rPr>
                <w:color w:val="000000"/>
              </w:rPr>
            </w:pPr>
            <w:bookmarkStart w:id="268" w:name="xdx_905_eus-gaap--AssetsFairValueDisclos"/>
            <w:bookmarkEnd w:id="268"/>
            <w:r>
              <w:rPr>
                <w:color w:val="000000"/>
              </w:rPr>
              <w:t>71,760,000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8" w:type="dxa"/>
            <w:tcBorders/>
            <w:shd w:fill="CCEEFF" w:val="clear"/>
            <w:vAlign w:val="center"/>
          </w:tcPr>
          <w:p>
            <w:pPr>
              <w:pStyle w:val="TableContents"/>
              <w:bidi w:val="0"/>
              <w:spacing w:before="0" w:after="283"/>
              <w:jc w:val="left"/>
              <w:rPr>
                <w:color w:val="000000"/>
              </w:rPr>
            </w:pPr>
            <w:r>
              <w:rPr>
                <w:color w:val="000000"/>
              </w:rPr>
              <w:t>$</w:t>
            </w:r>
          </w:p>
        </w:tc>
        <w:tc>
          <w:tcPr>
            <w:tcW w:w="1321" w:type="dxa"/>
            <w:tcBorders/>
            <w:shd w:fill="CCEEFF" w:val="clear"/>
            <w:vAlign w:val="center"/>
          </w:tcPr>
          <w:p>
            <w:pPr>
              <w:pStyle w:val="TableContents"/>
              <w:bidi w:val="0"/>
              <w:spacing w:before="0" w:after="283"/>
              <w:jc w:val="right"/>
              <w:rPr>
                <w:color w:val="000000"/>
              </w:rPr>
            </w:pPr>
            <w:bookmarkStart w:id="269" w:name="xdx_909_eus-gaap--DebtInstrumentCarrying"/>
            <w:bookmarkEnd w:id="269"/>
            <w:r>
              <w:rPr>
                <w:color w:val="000000"/>
              </w:rPr>
              <w:t>72,436,000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00" w:type="dxa"/>
            <w:tcBorders/>
            <w:shd w:fill="CCEEFF" w:val="clear"/>
            <w:vAlign w:val="center"/>
          </w:tcPr>
          <w:p>
            <w:pPr>
              <w:pStyle w:val="TableContents"/>
              <w:bidi w:val="0"/>
              <w:spacing w:before="0" w:after="283"/>
              <w:jc w:val="right"/>
              <w:rPr>
                <w:color w:val="000000"/>
              </w:rPr>
            </w:pPr>
            <w:bookmarkStart w:id="270" w:name="xdx_908_eus-gaap--AssetsFairValueDisclos"/>
            <w:bookmarkEnd w:id="270"/>
            <w:r>
              <w:rPr>
                <w:color w:val="000000"/>
              </w:rPr>
              <w:t>71,550,000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1340" w:type="dxa"/>
            <w:tcBorders/>
            <w:shd w:fill="FFFFFF" w:val="clear"/>
            <w:vAlign w:val="center"/>
          </w:tcPr>
          <w:p>
            <w:pPr>
              <w:pStyle w:val="TableContents"/>
              <w:bidi w:val="0"/>
              <w:spacing w:before="0" w:after="283"/>
              <w:jc w:val="left"/>
              <w:rPr>
                <w:color w:val="000000"/>
              </w:rPr>
            </w:pPr>
            <w:r>
              <w:rPr>
                <w:color w:val="000000"/>
              </w:rPr>
              <w:t>2027 Notes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8" w:type="dxa"/>
            <w:tcBorders/>
            <w:shd w:fill="FFFFFF" w:val="clear"/>
            <w:vAlign w:val="center"/>
          </w:tcPr>
          <w:p>
            <w:pPr>
              <w:pStyle w:val="TableContents"/>
              <w:bidi w:val="0"/>
              <w:spacing w:before="0" w:after="283"/>
              <w:jc w:val="left"/>
              <w:rPr>
                <w:color w:val="000000"/>
              </w:rPr>
            </w:pPr>
            <w:r>
              <w:rPr>
                <w:color w:val="000000"/>
              </w:rPr>
              <w:t>$</w:t>
            </w:r>
          </w:p>
        </w:tc>
        <w:tc>
          <w:tcPr>
            <w:tcW w:w="1321" w:type="dxa"/>
            <w:tcBorders/>
            <w:shd w:fill="FFFFFF" w:val="clear"/>
            <w:vAlign w:val="center"/>
          </w:tcPr>
          <w:p>
            <w:pPr>
              <w:pStyle w:val="TableContents"/>
              <w:bidi w:val="0"/>
              <w:spacing w:before="0" w:after="283"/>
              <w:jc w:val="right"/>
              <w:rPr>
                <w:color w:val="000000"/>
              </w:rPr>
            </w:pPr>
            <w:bookmarkStart w:id="271" w:name="xdx_905_eus-gaap--DebtInstrumentCarrying"/>
            <w:bookmarkEnd w:id="271"/>
            <w:r>
              <w:rPr>
                <w:color w:val="000000"/>
              </w:rPr>
              <w:t>37,234,000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00" w:type="dxa"/>
            <w:tcBorders/>
            <w:shd w:fill="FFFFFF" w:val="clear"/>
            <w:vAlign w:val="center"/>
          </w:tcPr>
          <w:p>
            <w:pPr>
              <w:pStyle w:val="TableContents"/>
              <w:bidi w:val="0"/>
              <w:spacing w:before="0" w:after="283"/>
              <w:jc w:val="right"/>
              <w:rPr>
                <w:color w:val="000000"/>
              </w:rPr>
            </w:pPr>
            <w:bookmarkStart w:id="272" w:name="xdx_908_eus-gaap--AssetsFairValueDisclos"/>
            <w:bookmarkEnd w:id="272"/>
            <w:r>
              <w:rPr>
                <w:color w:val="000000"/>
              </w:rPr>
              <w:t>41,297,000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8" w:type="dxa"/>
            <w:tcBorders/>
            <w:shd w:fill="FFFFFF" w:val="clear"/>
            <w:vAlign w:val="center"/>
          </w:tcPr>
          <w:p>
            <w:pPr>
              <w:pStyle w:val="TableContents"/>
              <w:bidi w:val="0"/>
              <w:spacing w:before="0" w:after="283"/>
              <w:jc w:val="left"/>
              <w:rPr>
                <w:color w:val="000000"/>
              </w:rPr>
            </w:pPr>
            <w:r>
              <w:rPr>
                <w:color w:val="000000"/>
              </w:rPr>
              <w:t>$</w:t>
            </w:r>
          </w:p>
        </w:tc>
        <w:tc>
          <w:tcPr>
            <w:tcW w:w="1321" w:type="dxa"/>
            <w:tcBorders/>
            <w:shd w:fill="FFFFFF" w:val="clear"/>
            <w:vAlign w:val="center"/>
          </w:tcPr>
          <w:p>
            <w:pPr>
              <w:pStyle w:val="TableContents"/>
              <w:bidi w:val="0"/>
              <w:spacing w:before="0" w:after="283"/>
              <w:jc w:val="right"/>
              <w:rPr>
                <w:color w:val="000000"/>
              </w:rPr>
            </w:pPr>
            <w:bookmarkStart w:id="273" w:name="xdx_904_eus-gaap--DebtInstrumentCarrying"/>
            <w:bookmarkEnd w:id="273"/>
            <w:r>
              <w:rPr>
                <w:color w:val="000000"/>
              </w:rPr>
              <w:t>31,738,000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00" w:type="dxa"/>
            <w:tcBorders/>
            <w:shd w:fill="FFFFFF" w:val="clear"/>
            <w:vAlign w:val="center"/>
          </w:tcPr>
          <w:p>
            <w:pPr>
              <w:pStyle w:val="TableContents"/>
              <w:bidi w:val="0"/>
              <w:spacing w:before="0" w:after="283"/>
              <w:jc w:val="right"/>
              <w:rPr>
                <w:color w:val="000000"/>
              </w:rPr>
            </w:pPr>
            <w:bookmarkStart w:id="274" w:name="xdx_90A_eus-gaap--AssetsFairValueDisclos"/>
            <w:bookmarkEnd w:id="274"/>
            <w:r>
              <w:rPr>
                <w:color w:val="000000"/>
              </w:rPr>
              <w:t>35,112,000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1340" w:type="dxa"/>
            <w:tcBorders/>
            <w:shd w:fill="CCEEFF" w:val="clear"/>
            <w:vAlign w:val="center"/>
          </w:tcPr>
          <w:p>
            <w:pPr>
              <w:pStyle w:val="TableContents"/>
              <w:bidi w:val="0"/>
              <w:spacing w:before="0" w:after="283"/>
              <w:jc w:val="left"/>
              <w:rPr>
                <w:color w:val="000000"/>
              </w:rPr>
            </w:pPr>
            <w:r>
              <w:rPr>
                <w:color w:val="000000"/>
              </w:rPr>
              <w:t>Oaktree Loan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8" w:type="dxa"/>
            <w:tcBorders/>
            <w:shd w:fill="CCEEFF" w:val="clear"/>
            <w:vAlign w:val="center"/>
          </w:tcPr>
          <w:p>
            <w:pPr>
              <w:pStyle w:val="TableContents"/>
              <w:bidi w:val="0"/>
              <w:spacing w:before="0" w:after="283"/>
              <w:jc w:val="left"/>
              <w:rPr>
                <w:color w:val="000000"/>
              </w:rPr>
            </w:pPr>
            <w:r>
              <w:rPr>
                <w:color w:val="000000"/>
              </w:rPr>
              <w:t>$</w:t>
            </w:r>
          </w:p>
        </w:tc>
        <w:tc>
          <w:tcPr>
            <w:tcW w:w="1321" w:type="dxa"/>
            <w:tcBorders/>
            <w:shd w:fill="CCEEFF" w:val="clear"/>
            <w:vAlign w:val="center"/>
          </w:tcPr>
          <w:p>
            <w:pPr>
              <w:pStyle w:val="TableContents"/>
              <w:bidi w:val="0"/>
              <w:spacing w:before="0" w:after="283"/>
              <w:jc w:val="right"/>
              <w:rPr>
                <w:color w:val="000000"/>
              </w:rPr>
            </w:pPr>
            <w:bookmarkStart w:id="275" w:name="xdx_904_eus-gaap--DebtInstrumentCarrying"/>
            <w:bookmarkEnd w:id="275"/>
            <w:r>
              <w:rPr>
                <w:color w:val="000000"/>
              </w:rPr>
              <w:t>71,932,000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00" w:type="dxa"/>
            <w:tcBorders/>
            <w:shd w:fill="CCEEFF" w:val="clear"/>
            <w:vAlign w:val="center"/>
          </w:tcPr>
          <w:p>
            <w:pPr>
              <w:pStyle w:val="TableContents"/>
              <w:bidi w:val="0"/>
              <w:spacing w:before="0" w:after="283"/>
              <w:jc w:val="right"/>
              <w:rPr>
                <w:color w:val="000000"/>
              </w:rPr>
            </w:pPr>
            <w:bookmarkStart w:id="276" w:name="xdx_907_eus-gaap--AssetsFairValueDisclos"/>
            <w:bookmarkEnd w:id="276"/>
            <w:r>
              <w:rPr>
                <w:color w:val="000000"/>
              </w:rPr>
              <w:t>75,973,000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8" w:type="dxa"/>
            <w:tcBorders/>
            <w:shd w:fill="CCEEFF" w:val="clear"/>
            <w:vAlign w:val="center"/>
          </w:tcPr>
          <w:p>
            <w:pPr>
              <w:pStyle w:val="TableContents"/>
              <w:bidi w:val="0"/>
              <w:spacing w:before="0" w:after="283"/>
              <w:jc w:val="left"/>
              <w:rPr>
                <w:color w:val="000000"/>
              </w:rPr>
            </w:pPr>
            <w:r>
              <w:rPr>
                <w:color w:val="000000"/>
              </w:rPr>
              <w:t>$</w:t>
            </w:r>
          </w:p>
        </w:tc>
        <w:tc>
          <w:tcPr>
            <w:tcW w:w="1321" w:type="dxa"/>
            <w:tcBorders/>
            <w:shd w:fill="CCEEFF" w:val="clear"/>
            <w:vAlign w:val="center"/>
          </w:tcPr>
          <w:p>
            <w:pPr>
              <w:pStyle w:val="TableContents"/>
              <w:bidi w:val="0"/>
              <w:spacing w:before="0" w:after="283"/>
              <w:jc w:val="right"/>
              <w:rPr>
                <w:color w:val="000000"/>
              </w:rPr>
            </w:pPr>
            <w:bookmarkStart w:id="277" w:name="xdx_903_eus-gaap--DebtInstrumentCarrying"/>
            <w:bookmarkEnd w:id="277"/>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00" w:type="dxa"/>
            <w:tcBorders/>
            <w:shd w:fill="CCEEFF" w:val="clear"/>
            <w:vAlign w:val="center"/>
          </w:tcPr>
          <w:p>
            <w:pPr>
              <w:pStyle w:val="TableContents"/>
              <w:bidi w:val="0"/>
              <w:spacing w:before="0" w:after="283"/>
              <w:jc w:val="right"/>
              <w:rPr>
                <w:color w:val="000000"/>
              </w:rPr>
            </w:pPr>
            <w:bookmarkStart w:id="278" w:name="xdx_903_eus-gaap--AssetsFairValueDisclos"/>
            <w:bookmarkEnd w:id="278"/>
            <w:r>
              <w:rPr>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279" w:name="xdx_8AE_zFA0HfPWBhz"/>
      <w:bookmarkEnd w:id="279"/>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280" w:name="xdx_869_zzALuoIGc6h8"/>
      <w:bookmarkStart w:id="281" w:name="xdx_84B_eus-gaap--EarningsPerSharePolicy"/>
      <w:bookmarkEnd w:id="280"/>
      <w:bookmarkEnd w:id="281"/>
      <w:r>
        <w:rPr>
          <w:rFonts w:ascii="Times New Roman;Times;Serif" w:hAnsi="Times New Roman;Times;Serif"/>
          <w:b/>
          <w:i w:val="false"/>
          <w:caps w:val="false"/>
          <w:smallCaps w:val="false"/>
          <w:color w:val="000000"/>
          <w:sz w:val="20"/>
        </w:rPr>
        <w:t>Basic and Diluted Net Loss per Common Share</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method) from stock options, unvested RSUs, unvested PSUs and warrants were </w:t>
      </w:r>
      <w:bookmarkStart w:id="282" w:name="xdx_906_eus-gaap--AntidilutiveSecurities"/>
      <w:bookmarkEnd w:id="282"/>
      <w:r>
        <w:rPr>
          <w:rFonts w:ascii="Times New Roman;Times;Serif" w:hAnsi="Times New Roman;Times;Serif"/>
          <w:b w:val="false"/>
          <w:i w:val="false"/>
          <w:caps w:val="false"/>
          <w:smallCaps w:val="false"/>
          <w:color w:val="000000"/>
          <w:sz w:val="20"/>
        </w:rPr>
        <w:t xml:space="preserve">4,588,982 and </w:t>
      </w:r>
      <w:bookmarkStart w:id="283" w:name="xdx_906_eus-gaap--AntidilutiveSecurities"/>
      <w:bookmarkEnd w:id="283"/>
      <w:r>
        <w:rPr>
          <w:rFonts w:ascii="Times New Roman;Times;Serif" w:hAnsi="Times New Roman;Times;Serif"/>
          <w:b w:val="false"/>
          <w:i w:val="false"/>
          <w:caps w:val="false"/>
          <w:smallCaps w:val="false"/>
          <w:color w:val="000000"/>
          <w:sz w:val="20"/>
        </w:rPr>
        <w:t xml:space="preserve">5,622,997 at September 30, 2023 and 2022,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September 30, 2023 and 2022 was </w:t>
      </w:r>
      <w:bookmarkStart w:id="284" w:name="xdx_90A_eus-gaap--SharebasedCompensation"/>
      <w:bookmarkEnd w:id="284"/>
      <w:r>
        <w:rPr>
          <w:rFonts w:ascii="Times New Roman;Times;Serif" w:hAnsi="Times New Roman;Times;Serif"/>
          <w:b w:val="false"/>
          <w:i w:val="false"/>
          <w:caps w:val="false"/>
          <w:smallCaps w:val="false"/>
          <w:color w:val="000000"/>
          <w:sz w:val="20"/>
        </w:rPr>
        <w:t xml:space="preserve">244,352 and </w:t>
      </w:r>
      <w:bookmarkStart w:id="285" w:name="xdx_902_eus-gaap--SharebasedCompensation"/>
      <w:bookmarkEnd w:id="285"/>
      <w:r>
        <w:rPr>
          <w:rFonts w:ascii="Times New Roman;Times;Serif" w:hAnsi="Times New Roman;Times;Serif"/>
          <w:b w:val="false"/>
          <w:i w:val="false"/>
          <w:caps w:val="false"/>
          <w:smallCaps w:val="false"/>
          <w:color w:val="000000"/>
          <w:sz w:val="20"/>
        </w:rPr>
        <w:t>303,454,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286" w:name="xdx_89A_eus-gaap--ScheduleOfEarningsPerS"/>
      <w:bookmarkEnd w:id="286"/>
      <w:r>
        <w:rPr>
          <w:rFonts w:ascii="Times New Roman;Times;Serif" w:hAnsi="Times New Roman;Times;Serif"/>
          <w:b w:val="false"/>
          <w:i w:val="false"/>
          <w:caps w:val="false"/>
          <w:smallCaps w:val="false"/>
          <w:color w:val="000000"/>
          <w:sz w:val="20"/>
        </w:rPr>
        <w:t>The following table shows the computation of basic net loss per share of common stock for the three and nine months ended September 30, 2023 and 2022:</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287" w:name="xdx_8B1_z78FYA3ZGWrj"/>
      <w:bookmarkEnd w:id="287"/>
      <w:r>
        <w:rPr>
          <w:rFonts w:ascii="Times New Roman;Times;Serif" w:hAnsi="Times New Roman;Times;Serif"/>
          <w:b w:val="false"/>
          <w:i w:val="false"/>
          <w:caps w:val="false"/>
          <w:smallCaps w:val="false"/>
          <w:color w:val="000000"/>
          <w:sz w:val="20"/>
        </w:rPr>
        <w:t>SCHEDULE OF BASIC AND DILUTED EARNINGS PER COMMON SHARE</w:t>
      </w:r>
    </w:p>
    <w:tbl>
      <w:tblPr>
        <w:tblW w:w="10205" w:type="dxa"/>
        <w:jc w:val="left"/>
        <w:tblInd w:w="0" w:type="dxa"/>
        <w:tblLayout w:type="fixed"/>
        <w:tblCellMar>
          <w:top w:w="0" w:type="dxa"/>
          <w:left w:w="0" w:type="dxa"/>
          <w:bottom w:w="0" w:type="dxa"/>
          <w:right w:w="0" w:type="dxa"/>
        </w:tblCellMar>
      </w:tblPr>
      <w:tblGrid>
        <w:gridCol w:w="3481"/>
        <w:gridCol w:w="60"/>
        <w:gridCol w:w="167"/>
        <w:gridCol w:w="1321"/>
        <w:gridCol w:w="114"/>
        <w:gridCol w:w="71"/>
        <w:gridCol w:w="167"/>
        <w:gridCol w:w="1321"/>
        <w:gridCol w:w="95"/>
        <w:gridCol w:w="60"/>
        <w:gridCol w:w="162"/>
        <w:gridCol w:w="1364"/>
        <w:gridCol w:w="110"/>
        <w:gridCol w:w="69"/>
        <w:gridCol w:w="162"/>
        <w:gridCol w:w="1364"/>
        <w:gridCol w:w="117"/>
      </w:tblGrid>
      <w:tr>
        <w:trPr/>
        <w:tc>
          <w:tcPr>
            <w:tcW w:w="3481"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288" w:name="xdx_49D_20230701__20230930_zJ24VXnrTV9k"/>
            <w:bookmarkEnd w:id="288"/>
          </w:p>
        </w:tc>
        <w:tc>
          <w:tcPr>
            <w:tcW w:w="1488"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114" w:type="dxa"/>
            <w:tcBorders/>
            <w:vAlign w:val="center"/>
          </w:tcPr>
          <w:p>
            <w:pPr>
              <w:pStyle w:val="TableContents"/>
              <w:bidi w:val="0"/>
              <w:spacing w:before="0" w:after="283"/>
              <w:jc w:val="left"/>
              <w:rPr>
                <w:color w:val="000000"/>
              </w:rPr>
            </w:pPr>
            <w:r>
              <w:rPr>
                <w:color w:val="000000"/>
              </w:rPr>
              <w:t> </w:t>
            </w:r>
          </w:p>
        </w:tc>
        <w:tc>
          <w:tcPr>
            <w:tcW w:w="71" w:type="dxa"/>
            <w:tcBorders/>
            <w:vAlign w:val="center"/>
          </w:tcPr>
          <w:p>
            <w:pPr>
              <w:pStyle w:val="TableContents"/>
              <w:bidi w:val="0"/>
              <w:spacing w:before="0" w:after="283"/>
              <w:jc w:val="left"/>
              <w:rPr>
                <w:color w:val="000000"/>
              </w:rPr>
            </w:pPr>
            <w:r>
              <w:rPr>
                <w:color w:val="000000"/>
              </w:rPr>
              <w:t> </w:t>
            </w:r>
            <w:bookmarkStart w:id="289" w:name="xdx_49C_20220701__20220930_zyrF3XP54qN"/>
            <w:bookmarkEnd w:id="289"/>
          </w:p>
        </w:tc>
        <w:tc>
          <w:tcPr>
            <w:tcW w:w="1488"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290" w:name="xdx_499_20230101__20230930_z6kAq84PKtqh"/>
            <w:bookmarkEnd w:id="290"/>
          </w:p>
        </w:tc>
        <w:tc>
          <w:tcPr>
            <w:tcW w:w="152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110" w:type="dxa"/>
            <w:tcBorders/>
            <w:vAlign w:val="center"/>
          </w:tcPr>
          <w:p>
            <w:pPr>
              <w:pStyle w:val="TableContents"/>
              <w:bidi w:val="0"/>
              <w:spacing w:before="0" w:after="283"/>
              <w:jc w:val="left"/>
              <w:rPr>
                <w:color w:val="000000"/>
              </w:rPr>
            </w:pPr>
            <w:r>
              <w:rPr>
                <w:color w:val="000000"/>
              </w:rPr>
              <w:t> </w:t>
            </w:r>
          </w:p>
        </w:tc>
        <w:tc>
          <w:tcPr>
            <w:tcW w:w="69" w:type="dxa"/>
            <w:tcBorders/>
            <w:vAlign w:val="center"/>
          </w:tcPr>
          <w:p>
            <w:pPr>
              <w:pStyle w:val="TableContents"/>
              <w:bidi w:val="0"/>
              <w:spacing w:before="0" w:after="283"/>
              <w:jc w:val="left"/>
              <w:rPr>
                <w:color w:val="000000"/>
              </w:rPr>
            </w:pPr>
            <w:r>
              <w:rPr>
                <w:color w:val="000000"/>
              </w:rPr>
              <w:t> </w:t>
            </w:r>
            <w:bookmarkStart w:id="291" w:name="xdx_499_20220101__20220930_zasAqdZW28va"/>
            <w:bookmarkEnd w:id="291"/>
          </w:p>
        </w:tc>
        <w:tc>
          <w:tcPr>
            <w:tcW w:w="152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7" w:type="dxa"/>
            <w:tcBorders/>
            <w:vAlign w:val="center"/>
          </w:tcPr>
          <w:p>
            <w:pPr>
              <w:pStyle w:val="TableContents"/>
              <w:bidi w:val="0"/>
              <w:spacing w:before="0" w:after="283"/>
              <w:jc w:val="left"/>
              <w:rPr>
                <w:color w:val="000000"/>
              </w:rPr>
            </w:pPr>
            <w:r>
              <w:rPr>
                <w:color w:val="000000"/>
              </w:rPr>
              <w:t> </w:t>
            </w:r>
          </w:p>
        </w:tc>
      </w:tr>
      <w:tr>
        <w:trPr/>
        <w:tc>
          <w:tcPr>
            <w:tcW w:w="3481"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161"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For the Three Months Ended September 30,</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231"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For the Nine Months Ended September 30,</w:t>
            </w:r>
          </w:p>
        </w:tc>
        <w:tc>
          <w:tcPr>
            <w:tcW w:w="117" w:type="dxa"/>
            <w:tcBorders/>
            <w:vAlign w:val="center"/>
          </w:tcPr>
          <w:p>
            <w:pPr>
              <w:pStyle w:val="TableContents"/>
              <w:bidi w:val="0"/>
              <w:spacing w:before="0" w:after="283"/>
              <w:jc w:val="left"/>
              <w:rPr>
                <w:color w:val="000000"/>
              </w:rPr>
            </w:pPr>
            <w:r>
              <w:rPr>
                <w:color w:val="000000"/>
              </w:rPr>
              <w:t> </w:t>
            </w:r>
          </w:p>
        </w:tc>
      </w:tr>
      <w:tr>
        <w:trPr/>
        <w:tc>
          <w:tcPr>
            <w:tcW w:w="3481"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8"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114" w:type="dxa"/>
            <w:tcBorders/>
            <w:vAlign w:val="center"/>
          </w:tcPr>
          <w:p>
            <w:pPr>
              <w:pStyle w:val="TableContents"/>
              <w:bidi w:val="0"/>
              <w:spacing w:before="0" w:after="283"/>
              <w:jc w:val="left"/>
              <w:rPr>
                <w:color w:val="000000"/>
              </w:rPr>
            </w:pPr>
            <w:r>
              <w:rPr>
                <w:color w:val="000000"/>
              </w:rPr>
              <w:t> </w:t>
            </w:r>
          </w:p>
        </w:tc>
        <w:tc>
          <w:tcPr>
            <w:tcW w:w="71" w:type="dxa"/>
            <w:tcBorders/>
            <w:vAlign w:val="center"/>
          </w:tcPr>
          <w:p>
            <w:pPr>
              <w:pStyle w:val="TableContents"/>
              <w:bidi w:val="0"/>
              <w:spacing w:before="0" w:after="283"/>
              <w:jc w:val="left"/>
              <w:rPr>
                <w:color w:val="000000"/>
              </w:rPr>
            </w:pPr>
            <w:r>
              <w:rPr>
                <w:color w:val="000000"/>
              </w:rPr>
              <w:t> </w:t>
            </w:r>
          </w:p>
        </w:tc>
        <w:tc>
          <w:tcPr>
            <w:tcW w:w="1488"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110" w:type="dxa"/>
            <w:tcBorders/>
            <w:vAlign w:val="center"/>
          </w:tcPr>
          <w:p>
            <w:pPr>
              <w:pStyle w:val="TableContents"/>
              <w:bidi w:val="0"/>
              <w:spacing w:before="0" w:after="283"/>
              <w:jc w:val="left"/>
              <w:rPr>
                <w:color w:val="000000"/>
              </w:rPr>
            </w:pPr>
            <w:r>
              <w:rPr>
                <w:color w:val="000000"/>
              </w:rPr>
              <w:t> </w:t>
            </w:r>
          </w:p>
        </w:tc>
        <w:tc>
          <w:tcPr>
            <w:tcW w:w="69" w:type="dxa"/>
            <w:tcBorders/>
            <w:vAlign w:val="center"/>
          </w:tcPr>
          <w:p>
            <w:pPr>
              <w:pStyle w:val="TableContents"/>
              <w:bidi w:val="0"/>
              <w:spacing w:before="0" w:after="283"/>
              <w:jc w:val="left"/>
              <w:rPr>
                <w:color w:val="000000"/>
              </w:rPr>
            </w:pPr>
            <w:r>
              <w:rPr>
                <w:color w:val="000000"/>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117" w:type="dxa"/>
            <w:tcBorders/>
            <w:vAlign w:val="center"/>
          </w:tcPr>
          <w:p>
            <w:pPr>
              <w:pStyle w:val="TableContents"/>
              <w:bidi w:val="0"/>
              <w:spacing w:before="0" w:after="283"/>
              <w:jc w:val="left"/>
              <w:rPr>
                <w:color w:val="000000"/>
              </w:rPr>
            </w:pPr>
            <w:r>
              <w:rPr>
                <w:color w:val="000000"/>
              </w:rPr>
              <w:t> </w:t>
            </w:r>
          </w:p>
        </w:tc>
      </w:tr>
      <w:tr>
        <w:trPr/>
        <w:tc>
          <w:tcPr>
            <w:tcW w:w="3481" w:type="dxa"/>
            <w:tcBorders/>
            <w:vAlign w:val="center"/>
          </w:tcPr>
          <w:p>
            <w:pPr>
              <w:pStyle w:val="TableContents"/>
              <w:bidi w:val="0"/>
              <w:spacing w:before="0" w:after="283"/>
              <w:jc w:val="both"/>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88" w:type="dxa"/>
            <w:gridSpan w:val="2"/>
            <w:tcBorders/>
            <w:vAlign w:val="center"/>
          </w:tcPr>
          <w:p>
            <w:pPr>
              <w:pStyle w:val="TableContents"/>
              <w:bidi w:val="0"/>
              <w:spacing w:before="0" w:after="283"/>
              <w:jc w:val="right"/>
              <w:rPr>
                <w:color w:val="000000"/>
              </w:rPr>
            </w:pPr>
            <w:r>
              <w:rPr>
                <w:color w:val="000000"/>
              </w:rPr>
              <w:t> </w:t>
            </w:r>
          </w:p>
        </w:tc>
        <w:tc>
          <w:tcPr>
            <w:tcW w:w="114" w:type="dxa"/>
            <w:tcBorders/>
            <w:vAlign w:val="center"/>
          </w:tcPr>
          <w:p>
            <w:pPr>
              <w:pStyle w:val="TableContents"/>
              <w:bidi w:val="0"/>
              <w:spacing w:before="0" w:after="283"/>
              <w:jc w:val="left"/>
              <w:rPr>
                <w:color w:val="000000"/>
              </w:rPr>
            </w:pPr>
            <w:r>
              <w:rPr>
                <w:color w:val="000000"/>
              </w:rPr>
              <w:t> </w:t>
            </w:r>
          </w:p>
        </w:tc>
        <w:tc>
          <w:tcPr>
            <w:tcW w:w="71" w:type="dxa"/>
            <w:tcBorders/>
            <w:vAlign w:val="center"/>
          </w:tcPr>
          <w:p>
            <w:pPr>
              <w:pStyle w:val="TableContents"/>
              <w:bidi w:val="0"/>
              <w:spacing w:before="0" w:after="283"/>
              <w:jc w:val="left"/>
              <w:rPr>
                <w:color w:val="000000"/>
              </w:rPr>
            </w:pPr>
            <w:r>
              <w:rPr>
                <w:color w:val="000000"/>
              </w:rPr>
              <w:t> </w:t>
            </w:r>
          </w:p>
        </w:tc>
        <w:tc>
          <w:tcPr>
            <w:tcW w:w="1488" w:type="dxa"/>
            <w:gridSpan w:val="2"/>
            <w:tcBorders/>
            <w:vAlign w:val="center"/>
          </w:tcPr>
          <w:p>
            <w:pPr>
              <w:pStyle w:val="TableContents"/>
              <w:bidi w:val="0"/>
              <w:spacing w:before="0" w:after="283"/>
              <w:jc w:val="righ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26" w:type="dxa"/>
            <w:gridSpan w:val="2"/>
            <w:tcBorders/>
            <w:vAlign w:val="center"/>
          </w:tcPr>
          <w:p>
            <w:pPr>
              <w:pStyle w:val="TableContents"/>
              <w:bidi w:val="0"/>
              <w:spacing w:before="0" w:after="283"/>
              <w:jc w:val="righ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p>
        </w:tc>
        <w:tc>
          <w:tcPr>
            <w:tcW w:w="69" w:type="dxa"/>
            <w:tcBorders/>
            <w:vAlign w:val="center"/>
          </w:tcPr>
          <w:p>
            <w:pPr>
              <w:pStyle w:val="TableContents"/>
              <w:bidi w:val="0"/>
              <w:spacing w:before="0" w:after="283"/>
              <w:jc w:val="left"/>
              <w:rPr>
                <w:color w:val="000000"/>
              </w:rPr>
            </w:pPr>
            <w:r>
              <w:rPr>
                <w:color w:val="000000"/>
              </w:rPr>
              <w:t> </w:t>
            </w:r>
          </w:p>
        </w:tc>
        <w:tc>
          <w:tcPr>
            <w:tcW w:w="1526" w:type="dxa"/>
            <w:gridSpan w:val="2"/>
            <w:tcBorders/>
            <w:vAlign w:val="center"/>
          </w:tcPr>
          <w:p>
            <w:pPr>
              <w:pStyle w:val="TableContents"/>
              <w:bidi w:val="0"/>
              <w:spacing w:before="0" w:after="283"/>
              <w:jc w:val="right"/>
              <w:rPr>
                <w:color w:val="000000"/>
              </w:rPr>
            </w:pPr>
            <w:r>
              <w:rPr>
                <w:color w:val="000000"/>
              </w:rPr>
              <w:t> </w:t>
            </w:r>
          </w:p>
        </w:tc>
        <w:tc>
          <w:tcPr>
            <w:tcW w:w="117" w:type="dxa"/>
            <w:tcBorders/>
            <w:vAlign w:val="center"/>
          </w:tcPr>
          <w:p>
            <w:pPr>
              <w:pStyle w:val="TableContents"/>
              <w:bidi w:val="0"/>
              <w:spacing w:before="0" w:after="283"/>
              <w:jc w:val="left"/>
              <w:rPr>
                <w:color w:val="000000"/>
              </w:rPr>
            </w:pPr>
            <w:r>
              <w:rPr>
                <w:color w:val="000000"/>
              </w:rPr>
              <w:t> </w:t>
            </w:r>
            <w:bookmarkStart w:id="292" w:name="xdx_40B_eus-gaap--NetIncomeLoss_zX7j5e1j"/>
            <w:bookmarkEnd w:id="292"/>
          </w:p>
        </w:tc>
      </w:tr>
      <w:tr>
        <w:trPr/>
        <w:tc>
          <w:tcPr>
            <w:tcW w:w="3481" w:type="dxa"/>
            <w:tcBorders/>
            <w:shd w:fill="CCEEFF" w:val="clear"/>
            <w:vAlign w:val="center"/>
          </w:tcPr>
          <w:p>
            <w:pPr>
              <w:pStyle w:val="TableContents"/>
              <w:bidi w:val="0"/>
              <w:spacing w:before="0" w:after="283"/>
              <w:jc w:val="left"/>
              <w:rPr>
                <w:color w:val="000000"/>
              </w:rPr>
            </w:pPr>
            <w:r>
              <w:rPr>
                <w:color w:val="000000"/>
              </w:rPr>
              <w:t>Numerator – 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(4,391,000</w:t>
            </w:r>
          </w:p>
        </w:tc>
        <w:tc>
          <w:tcPr>
            <w:tcW w:w="114" w:type="dxa"/>
            <w:tcBorders/>
            <w:shd w:fill="CCEEFF" w:val="clear"/>
            <w:vAlign w:val="center"/>
          </w:tcPr>
          <w:p>
            <w:pPr>
              <w:pStyle w:val="TableContents"/>
              <w:bidi w:val="0"/>
              <w:spacing w:before="0" w:after="283"/>
              <w:jc w:val="left"/>
              <w:rPr>
                <w:color w:val="000000"/>
              </w:rPr>
            </w:pPr>
            <w:r>
              <w:rPr>
                <w:color w:val="000000"/>
              </w:rPr>
              <w:t>)</w:t>
            </w:r>
          </w:p>
        </w:tc>
        <w:tc>
          <w:tcPr>
            <w:tcW w:w="71" w:type="dxa"/>
            <w:tcBorders/>
            <w:shd w:fill="CCEEFF" w:val="clear"/>
            <w:vAlign w:val="center"/>
          </w:tcPr>
          <w:p>
            <w:pPr>
              <w:pStyle w:val="TableContents"/>
              <w:bidi w:val="0"/>
              <w:spacing w:before="0" w:after="283"/>
              <w:jc w:val="left"/>
              <w:rPr>
                <w:color w:val="000000"/>
              </w:rPr>
            </w:pPr>
            <w:r>
              <w:rPr>
                <w:color w:val="000000"/>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(6,464,000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(15,263,000</w:t>
            </w:r>
          </w:p>
        </w:tc>
        <w:tc>
          <w:tcPr>
            <w:tcW w:w="110" w:type="dxa"/>
            <w:tcBorders/>
            <w:shd w:fill="CCEEFF" w:val="clear"/>
            <w:vAlign w:val="center"/>
          </w:tcPr>
          <w:p>
            <w:pPr>
              <w:pStyle w:val="TableContents"/>
              <w:bidi w:val="0"/>
              <w:spacing w:before="0" w:after="283"/>
              <w:jc w:val="left"/>
              <w:rPr>
                <w:color w:val="000000"/>
              </w:rPr>
            </w:pPr>
            <w:r>
              <w:rPr>
                <w:color w:val="000000"/>
              </w:rPr>
              <w:t>)</w:t>
            </w:r>
          </w:p>
        </w:tc>
        <w:tc>
          <w:tcPr>
            <w:tcW w:w="69"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(15,141,000</w:t>
            </w:r>
          </w:p>
        </w:tc>
        <w:tc>
          <w:tcPr>
            <w:tcW w:w="117" w:type="dxa"/>
            <w:tcBorders/>
            <w:shd w:fill="CCEEFF" w:val="clear"/>
            <w:vAlign w:val="center"/>
          </w:tcPr>
          <w:p>
            <w:pPr>
              <w:pStyle w:val="TableContents"/>
              <w:bidi w:val="0"/>
              <w:spacing w:before="0" w:after="283"/>
              <w:jc w:val="left"/>
              <w:rPr>
                <w:color w:val="000000"/>
              </w:rPr>
            </w:pPr>
            <w:r>
              <w:rPr>
                <w:color w:val="000000"/>
              </w:rPr>
              <w:t>)</w:t>
            </w:r>
          </w:p>
        </w:tc>
      </w:tr>
      <w:tr>
        <w:trPr/>
        <w:tc>
          <w:tcPr>
            <w:tcW w:w="3481" w:type="dxa"/>
            <w:tcBorders/>
            <w:shd w:fill="FFFFFF" w:val="clear"/>
            <w:vAlign w:val="center"/>
          </w:tcPr>
          <w:p>
            <w:pPr>
              <w:pStyle w:val="TableContents"/>
              <w:bidi w:val="0"/>
              <w:spacing w:before="0" w:after="283"/>
              <w:jc w:val="left"/>
              <w:rPr>
                <w:color w:val="000000"/>
              </w:rPr>
            </w:pPr>
            <w:r>
              <w:rPr>
                <w:color w:val="000000"/>
              </w:rPr>
              <w:t>Denominator – weighted average number of shares outstanding, basic and diluted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bookmarkStart w:id="293" w:name="xdx_903_eus-gaap--WeightedAverageNumberO"/>
            <w:bookmarkStart w:id="294" w:name="xdx_904_eus-gaap--WeightedAverageNumberO"/>
            <w:bookmarkEnd w:id="293"/>
            <w:bookmarkEnd w:id="294"/>
            <w:r>
              <w:rPr>
                <w:color w:val="000000"/>
              </w:rPr>
              <w:t>34,255,197</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71" w:type="dxa"/>
            <w:tcBorders/>
            <w:shd w:fill="FFFFFF" w:val="clear"/>
            <w:vAlign w:val="center"/>
          </w:tcPr>
          <w:p>
            <w:pPr>
              <w:pStyle w:val="TableContents"/>
              <w:bidi w:val="0"/>
              <w:spacing w:before="0" w:after="283"/>
              <w:jc w:val="left"/>
              <w:rPr>
                <w:color w:val="000000"/>
              </w:rPr>
            </w:pPr>
            <w:r>
              <w:rPr>
                <w:color w:val="000000"/>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bookmarkStart w:id="295" w:name="xdx_908_eus-gaap--WeightedAverageNumberO"/>
            <w:bookmarkStart w:id="296" w:name="xdx_903_eus-gaap--WeightedAverageNumberO"/>
            <w:bookmarkEnd w:id="295"/>
            <w:bookmarkEnd w:id="296"/>
            <w:r>
              <w:rPr>
                <w:color w:val="000000"/>
              </w:rPr>
              <w:t>27,349,642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bookmarkStart w:id="297" w:name="xdx_901_eus-gaap--WeightedAverageNumberO"/>
            <w:bookmarkStart w:id="298" w:name="xdx_90D_eus-gaap--WeightedAverageNumberO"/>
            <w:bookmarkEnd w:id="297"/>
            <w:bookmarkEnd w:id="298"/>
            <w:r>
              <w:rPr>
                <w:color w:val="000000"/>
              </w:rPr>
              <w:t>31,689,947</w:t>
            </w:r>
          </w:p>
        </w:tc>
        <w:tc>
          <w:tcPr>
            <w:tcW w:w="110" w:type="dxa"/>
            <w:tcBorders/>
            <w:shd w:fill="FFFFFF" w:val="clear"/>
            <w:vAlign w:val="center"/>
          </w:tcPr>
          <w:p>
            <w:pPr>
              <w:pStyle w:val="TableContents"/>
              <w:bidi w:val="0"/>
              <w:spacing w:before="0" w:after="283"/>
              <w:jc w:val="left"/>
              <w:rPr>
                <w:color w:val="000000"/>
              </w:rPr>
            </w:pPr>
            <w:r>
              <w:rPr>
                <w:color w:val="000000"/>
              </w:rPr>
              <w:t> </w:t>
            </w:r>
          </w:p>
        </w:tc>
        <w:tc>
          <w:tcPr>
            <w:tcW w:w="69"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bookmarkStart w:id="299" w:name="xdx_90A_eus-gaap--WeightedAverageNumberO"/>
            <w:bookmarkStart w:id="300" w:name="xdx_903_eus-gaap--WeightedAverageNumberO"/>
            <w:bookmarkEnd w:id="299"/>
            <w:bookmarkEnd w:id="300"/>
            <w:r>
              <w:rPr>
                <w:color w:val="000000"/>
              </w:rPr>
              <w:t>27,293,756</w:t>
            </w:r>
          </w:p>
        </w:tc>
        <w:tc>
          <w:tcPr>
            <w:tcW w:w="117" w:type="dxa"/>
            <w:tcBorders/>
            <w:shd w:fill="FFFFFF" w:val="clear"/>
            <w:vAlign w:val="center"/>
          </w:tcPr>
          <w:p>
            <w:pPr>
              <w:pStyle w:val="TableContents"/>
              <w:bidi w:val="0"/>
              <w:spacing w:before="0" w:after="283"/>
              <w:jc w:val="left"/>
              <w:rPr>
                <w:color w:val="000000"/>
              </w:rPr>
            </w:pPr>
            <w:r>
              <w:rPr>
                <w:color w:val="000000"/>
              </w:rPr>
              <w:t> </w:t>
            </w:r>
          </w:p>
        </w:tc>
      </w:tr>
      <w:tr>
        <w:trPr/>
        <w:tc>
          <w:tcPr>
            <w:tcW w:w="3481" w:type="dxa"/>
            <w:tcBorders/>
            <w:shd w:fill="CCEEFF" w:val="clear"/>
            <w:vAlign w:val="center"/>
          </w:tcPr>
          <w:p>
            <w:pPr>
              <w:pStyle w:val="TableContents"/>
              <w:bidi w:val="0"/>
              <w:spacing w:before="0" w:after="283"/>
              <w:jc w:val="left"/>
              <w:rPr>
                <w:b/>
                <w:color w:val="000000"/>
              </w:rPr>
            </w:pPr>
            <w:r>
              <w:rPr>
                <w:b/>
                <w:color w:val="000000"/>
              </w:rPr>
              <w:t>Net loss per share, basic and diluted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301" w:name="xdx_902_eus-gaap--EarningsPerShareDilute"/>
            <w:bookmarkStart w:id="302" w:name="xdx_90B_eus-gaap--EarningsPerShareBasic_"/>
            <w:bookmarkEnd w:id="301"/>
            <w:bookmarkEnd w:id="302"/>
            <w:r>
              <w:rPr>
                <w:color w:val="000000"/>
              </w:rPr>
              <w:t>(0.13</w:t>
            </w:r>
          </w:p>
        </w:tc>
        <w:tc>
          <w:tcPr>
            <w:tcW w:w="114" w:type="dxa"/>
            <w:tcBorders/>
            <w:shd w:fill="CCEEFF" w:val="clear"/>
            <w:vAlign w:val="center"/>
          </w:tcPr>
          <w:p>
            <w:pPr>
              <w:pStyle w:val="TableContents"/>
              <w:bidi w:val="0"/>
              <w:spacing w:before="0" w:after="283"/>
              <w:jc w:val="left"/>
              <w:rPr>
                <w:color w:val="000000"/>
              </w:rPr>
            </w:pPr>
            <w:r>
              <w:rPr>
                <w:color w:val="000000"/>
              </w:rPr>
              <w:t>)</w:t>
            </w:r>
          </w:p>
        </w:tc>
        <w:tc>
          <w:tcPr>
            <w:tcW w:w="71" w:type="dxa"/>
            <w:tcBorders/>
            <w:shd w:fill="CCEEFF" w:val="clear"/>
            <w:vAlign w:val="center"/>
          </w:tcPr>
          <w:p>
            <w:pPr>
              <w:pStyle w:val="TableContents"/>
              <w:bidi w:val="0"/>
              <w:spacing w:before="0" w:after="283"/>
              <w:jc w:val="left"/>
              <w:rPr>
                <w:color w:val="000000"/>
              </w:rPr>
            </w:pPr>
            <w:r>
              <w:rPr>
                <w:color w:val="000000"/>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303" w:name="xdx_90B_eus-gaap--EarningsPerShareDilute"/>
            <w:bookmarkStart w:id="304" w:name="xdx_901_eus-gaap--EarningsPerShareBasic_"/>
            <w:bookmarkEnd w:id="303"/>
            <w:bookmarkEnd w:id="304"/>
            <w:r>
              <w:rPr>
                <w:color w:val="000000"/>
              </w:rPr>
              <w:t>(0.24</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305" w:name="xdx_90E_eus-gaap--EarningsPerShareDilute"/>
            <w:bookmarkStart w:id="306" w:name="xdx_90C_eus-gaap--EarningsPerShareBasic_"/>
            <w:bookmarkEnd w:id="305"/>
            <w:bookmarkEnd w:id="306"/>
            <w:r>
              <w:rPr>
                <w:color w:val="000000"/>
              </w:rPr>
              <w:t>(0.48</w:t>
            </w:r>
          </w:p>
        </w:tc>
        <w:tc>
          <w:tcPr>
            <w:tcW w:w="110" w:type="dxa"/>
            <w:tcBorders/>
            <w:shd w:fill="CCEEFF" w:val="clear"/>
            <w:vAlign w:val="center"/>
          </w:tcPr>
          <w:p>
            <w:pPr>
              <w:pStyle w:val="TableContents"/>
              <w:bidi w:val="0"/>
              <w:spacing w:before="0" w:after="283"/>
              <w:jc w:val="left"/>
              <w:rPr>
                <w:color w:val="000000"/>
              </w:rPr>
            </w:pPr>
            <w:r>
              <w:rPr>
                <w:color w:val="000000"/>
              </w:rPr>
              <w:t>)</w:t>
            </w:r>
          </w:p>
        </w:tc>
        <w:tc>
          <w:tcPr>
            <w:tcW w:w="69"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bookmarkStart w:id="307" w:name="xdx_900_eus-gaap--EarningsPerShareDilute"/>
            <w:bookmarkStart w:id="308" w:name="xdx_90C_eus-gaap--EarningsPerShareBasic_"/>
            <w:bookmarkEnd w:id="307"/>
            <w:bookmarkEnd w:id="308"/>
            <w:r>
              <w:rPr>
                <w:color w:val="000000"/>
              </w:rPr>
              <w:t>(0.55</w:t>
            </w:r>
          </w:p>
        </w:tc>
        <w:tc>
          <w:tcPr>
            <w:tcW w:w="117" w:type="dxa"/>
            <w:tcBorders/>
            <w:shd w:fill="CCEEFF" w:val="clear"/>
            <w:vAlign w:val="center"/>
          </w:tcPr>
          <w:p>
            <w:pPr>
              <w:pStyle w:val="TableContents"/>
              <w:bidi w:val="0"/>
              <w:spacing w:before="0" w:after="283"/>
              <w:jc w:val="left"/>
              <w:rPr>
                <w:color w:val="000000"/>
              </w:rPr>
            </w:pPr>
            <w:r>
              <w:rPr>
                <w:color w:val="000000"/>
              </w:rPr>
              <w:t>)</w:t>
            </w:r>
          </w:p>
        </w:tc>
      </w:tr>
    </w:tbl>
    <w:p>
      <w:pPr>
        <w:pStyle w:val="TextBody"/>
        <w:bidi w:val="0"/>
        <w:spacing w:before="0" w:after="0"/>
        <w:ind w:left="0" w:right="0" w:hanging="0"/>
        <w:jc w:val="both"/>
        <w:rPr>
          <w:caps w:val="false"/>
          <w:smallCaps w:val="false"/>
          <w:color w:val="000000"/>
        </w:rPr>
      </w:pPr>
      <w:bookmarkStart w:id="309" w:name="xdx_8A7_zFOs8f282ARb"/>
      <w:bookmarkEnd w:id="309"/>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310" w:name="xdx_86F_zAPePmnqLkdl"/>
      <w:bookmarkStart w:id="311" w:name="xdx_841_eus-gaap--IncomeTaxPolicyTextBlo"/>
      <w:bookmarkEnd w:id="310"/>
      <w:bookmarkEnd w:id="311"/>
      <w:r>
        <w:rPr>
          <w:rFonts w:ascii="Times New Roman;Times;Serif" w:hAnsi="Times New Roman;Times;Serif"/>
          <w:b/>
          <w:i w:val="false"/>
          <w:caps w:val="false"/>
          <w:smallCaps w:val="false"/>
          <w:color w:val="000000"/>
          <w:sz w:val="20"/>
        </w:rPr>
        <w:t>Income Taxes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Company’s effective tax rate was </w:t>
      </w:r>
      <w:bookmarkStart w:id="312" w:name="xdx_909_eus-gaap--EffectiveIncomeTaxRate"/>
      <w:bookmarkEnd w:id="312"/>
      <w:r>
        <w:rPr>
          <w:rFonts w:ascii="Times New Roman;Times;Serif" w:hAnsi="Times New Roman;Times;Serif"/>
          <w:b w:val="false"/>
          <w:i w:val="false"/>
          <w:caps w:val="false"/>
          <w:smallCaps w:val="false"/>
          <w:color w:val="000000"/>
          <w:sz w:val="20"/>
        </w:rPr>
        <w:t xml:space="preserve">(8.81)% and </w:t>
      </w:r>
      <w:bookmarkStart w:id="313" w:name="xdx_906_eus-gaap--EffectiveIncomeTaxRate"/>
      <w:bookmarkEnd w:id="313"/>
      <w:r>
        <w:rPr>
          <w:rFonts w:ascii="Times New Roman;Times;Serif" w:hAnsi="Times New Roman;Times;Serif"/>
          <w:b w:val="false"/>
          <w:i w:val="false"/>
          <w:caps w:val="false"/>
          <w:smallCaps w:val="false"/>
          <w:color w:val="000000"/>
          <w:sz w:val="20"/>
        </w:rPr>
        <w:t xml:space="preserve">(0.50)% for the nine months ended September 30, 2023 and 2022, respectively. The Company’s effective tax rate for the nine months ended September 30, 2023 and 2022 differs from the U.S. federal statutory tax rate of </w:t>
      </w:r>
      <w:bookmarkStart w:id="314" w:name="xdx_900_eus-gaap--EffectiveIncomeTaxRate"/>
      <w:bookmarkStart w:id="315" w:name="xdx_90B_eus-gaap--EffectiveIncomeTaxRate"/>
      <w:bookmarkEnd w:id="314"/>
      <w:bookmarkEnd w:id="315"/>
      <w:r>
        <w:rPr>
          <w:rFonts w:ascii="Times New Roman;Times;Serif" w:hAnsi="Times New Roman;Times;Serif"/>
          <w:b w:val="false"/>
          <w:i w:val="false"/>
          <w:caps w:val="false"/>
          <w:smallCaps w:val="false"/>
          <w:color w:val="000000"/>
          <w:sz w:val="20"/>
        </w:rPr>
        <w:t>21% due to state taxes, permanent book-tax differences related to Internal Revenue Code of 1986, as amended (“IRC”), Section 162(m) excess officer compensation limitation and share-based compensation and the change in valuation allowance.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Company’s effective tax rate was </w:t>
      </w:r>
      <w:bookmarkStart w:id="316" w:name="xdx_909_eus-gaap--EffectiveIncomeTaxRate"/>
      <w:bookmarkEnd w:id="316"/>
      <w:r>
        <w:rPr>
          <w:rFonts w:ascii="Times New Roman;Times;Serif" w:hAnsi="Times New Roman;Times;Serif"/>
          <w:b w:val="false"/>
          <w:i w:val="false"/>
          <w:caps w:val="false"/>
          <w:smallCaps w:val="false"/>
          <w:color w:val="000000"/>
          <w:sz w:val="20"/>
        </w:rPr>
        <w:t xml:space="preserve">(53.96)% and </w:t>
      </w:r>
      <w:bookmarkStart w:id="317" w:name="xdx_90C_eus-gaap--EffectiveIncomeTaxRate"/>
      <w:bookmarkEnd w:id="317"/>
      <w:r>
        <w:rPr>
          <w:rFonts w:ascii="Times New Roman;Times;Serif" w:hAnsi="Times New Roman;Times;Serif"/>
          <w:b w:val="false"/>
          <w:i w:val="false"/>
          <w:caps w:val="false"/>
          <w:smallCaps w:val="false"/>
          <w:color w:val="000000"/>
          <w:sz w:val="20"/>
        </w:rPr>
        <w:t xml:space="preserve">(0.54)% for the three months ended September 30, 2023, and 2022, respectively. The Company’s effective tax rate for the three months ended September 30, 2023, and 2022 differs from the U.S. federal statutory tax rate of </w:t>
      </w:r>
      <w:bookmarkStart w:id="318" w:name="xdx_906_eus-gaap--EffectiveIncomeTaxRate"/>
      <w:bookmarkStart w:id="319" w:name="xdx_907_eus-gaap--EffectiveIncomeTaxRate"/>
      <w:bookmarkEnd w:id="318"/>
      <w:bookmarkEnd w:id="319"/>
      <w:r>
        <w:rPr>
          <w:rFonts w:ascii="Times New Roman;Times;Serif" w:hAnsi="Times New Roman;Times;Serif"/>
          <w:b w:val="false"/>
          <w:i w:val="false"/>
          <w:caps w:val="false"/>
          <w:smallCaps w:val="false"/>
          <w:color w:val="000000"/>
          <w:sz w:val="20"/>
        </w:rPr>
        <w:t>21% due to state taxes, permanent book-tax differences related to IRC Section 162(m) excess officer compensation limitation and share-based compensation and change in valuation allowance.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September 30, 2023 and December 31, 2022, there were </w:t>
      </w:r>
      <w:bookmarkStart w:id="320" w:name="xdx_901_eus-gaap--UnrecognizedTaxBenefit"/>
      <w:bookmarkStart w:id="321" w:name="xdx_90F_eus-gaap--UnrecognizedTaxBenefit"/>
      <w:bookmarkEnd w:id="320"/>
      <w:bookmarkEnd w:id="321"/>
      <w:r>
        <w:rPr>
          <w:rFonts w:ascii="Times New Roman;Times;Serif" w:hAnsi="Times New Roman;Times;Serif"/>
          <w:b w:val="false"/>
          <w:i w:val="false"/>
          <w:caps w:val="false"/>
          <w:smallCaps w:val="false"/>
          <w:color w:val="000000"/>
          <w:sz w:val="20"/>
        </w:rPr>
        <w:t>no unrecognized tax benefits included in the condensed consolidated balance sheets that would, if recognized, affect the effective tax rate.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322" w:name="xdx_868_z7cBmIFGqlJ3"/>
      <w:bookmarkStart w:id="323" w:name="xdx_84C_eus-gaap--InvestmentPolicyTextBl"/>
      <w:bookmarkEnd w:id="322"/>
      <w:bookmarkEnd w:id="323"/>
      <w:r>
        <w:rPr>
          <w:rFonts w:ascii="Times New Roman;Times;Serif" w:hAnsi="Times New Roman;Times;Serif"/>
          <w:b/>
          <w:i w:val="false"/>
          <w:caps w:val="false"/>
          <w:smallCaps w:val="false"/>
          <w:color w:val="000000"/>
          <w:sz w:val="20"/>
        </w:rPr>
        <w:t xml:space="preserve">Investment in Eton Pharmaceuticals, Inc.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September 30, 2023, the Company owned </w:t>
      </w:r>
      <w:bookmarkStart w:id="324" w:name="xdx_909_eus-gaap--InvestmentOwnedBalance"/>
      <w:bookmarkEnd w:id="324"/>
      <w:r>
        <w:rPr>
          <w:rFonts w:ascii="Times New Roman;Times;Serif" w:hAnsi="Times New Roman;Times;Serif"/>
          <w:b w:val="false"/>
          <w:i w:val="false"/>
          <w:caps w:val="false"/>
          <w:smallCaps w:val="false"/>
          <w:color w:val="000000"/>
          <w:sz w:val="20"/>
        </w:rPr>
        <w:t xml:space="preserve">1,982,000 shares of Eton common stock (representing less than </w:t>
      </w:r>
      <w:bookmarkStart w:id="325" w:name="xdx_90C_eus-gaap--EquityMethodInvestment"/>
      <w:bookmarkEnd w:id="325"/>
      <w:r>
        <w:rPr>
          <w:rFonts w:ascii="Times New Roman;Times;Serif" w:hAnsi="Times New Roman;Times;Serif"/>
          <w:b w:val="false"/>
          <w:i w:val="false"/>
          <w:caps w:val="false"/>
          <w:smallCaps w:val="false"/>
          <w:color w:val="000000"/>
          <w:sz w:val="20"/>
        </w:rPr>
        <w:t>10% of the equity interests of Eton as of such date). At September 30, 2023, the fair market value of Eton’s common stock was $</w:t>
      </w:r>
      <w:bookmarkStart w:id="326" w:name="xdx_900_eus-gaap--SharePrice_iI_pid_c202"/>
      <w:bookmarkEnd w:id="326"/>
      <w:r>
        <w:rPr>
          <w:rFonts w:ascii="Times New Roman;Times;Serif" w:hAnsi="Times New Roman;Times;Serif"/>
          <w:b w:val="false"/>
          <w:i w:val="false"/>
          <w:caps w:val="false"/>
          <w:smallCaps w:val="false"/>
          <w:color w:val="000000"/>
          <w:sz w:val="20"/>
        </w:rPr>
        <w:t xml:space="preserve">4.17 per share. In accordance with ASC 321, </w:t>
      </w:r>
      <w:r>
        <w:rPr>
          <w:rFonts w:ascii="Times New Roman;Times;Serif" w:hAnsi="Times New Roman;Times;Serif"/>
          <w:b w:val="false"/>
          <w:i/>
          <w:caps w:val="false"/>
          <w:smallCaps w:val="false"/>
          <w:color w:val="000000"/>
          <w:sz w:val="20"/>
        </w:rPr>
        <w:t>Investments — Equity Securities</w:t>
      </w:r>
      <w:r>
        <w:rPr>
          <w:rFonts w:ascii="Times New Roman;Times;Serif" w:hAnsi="Times New Roman;Times;Serif"/>
          <w:b w:val="false"/>
          <w:i w:val="false"/>
          <w:caps w:val="false"/>
          <w:smallCaps w:val="false"/>
          <w:color w:val="000000"/>
          <w:sz w:val="20"/>
        </w:rPr>
        <w:t>, the Company recorded unrealized holding gains (losses) from its Eton common stock position of $</w:t>
      </w:r>
      <w:bookmarkStart w:id="327" w:name="xdx_909_eus-gaap--UnrealizedGainLossOnIn"/>
      <w:bookmarkEnd w:id="327"/>
      <w:r>
        <w:rPr>
          <w:rFonts w:ascii="Times New Roman;Times;Serif" w:hAnsi="Times New Roman;Times;Serif"/>
          <w:b w:val="false"/>
          <w:i w:val="false"/>
          <w:caps w:val="false"/>
          <w:smallCaps w:val="false"/>
          <w:color w:val="000000"/>
          <w:sz w:val="20"/>
        </w:rPr>
        <w:t>1,348,000 and $</w:t>
      </w:r>
      <w:bookmarkStart w:id="328" w:name="xdx_905_eus-gaap--UnrealizedGainLossOnIn"/>
      <w:bookmarkEnd w:id="328"/>
      <w:r>
        <w:rPr>
          <w:rFonts w:ascii="Times New Roman;Times;Serif" w:hAnsi="Times New Roman;Times;Serif"/>
          <w:b w:val="false"/>
          <w:i w:val="false"/>
          <w:caps w:val="false"/>
          <w:smallCaps w:val="false"/>
          <w:color w:val="000000"/>
          <w:sz w:val="20"/>
        </w:rPr>
        <w:t>2,676,000 during the three and nine months ended September 30, 2023, respectively, and $</w:t>
      </w:r>
      <w:bookmarkStart w:id="329" w:name="xdx_903_eus-gaap--UnrealizedGainLossOnIn"/>
      <w:bookmarkEnd w:id="329"/>
      <w:r>
        <w:rPr>
          <w:rFonts w:ascii="Times New Roman;Times;Serif" w:hAnsi="Times New Roman;Times;Serif"/>
          <w:b w:val="false"/>
          <w:i w:val="false"/>
          <w:caps w:val="false"/>
          <w:smallCaps w:val="false"/>
          <w:color w:val="000000"/>
          <w:sz w:val="20"/>
        </w:rPr>
        <w:t>(1,031,000) and $</w:t>
      </w:r>
      <w:bookmarkStart w:id="330" w:name="xdx_90D_eus-gaap--UnrealizedGainLossOnIn"/>
      <w:bookmarkEnd w:id="330"/>
      <w:r>
        <w:rPr>
          <w:rFonts w:ascii="Times New Roman;Times;Serif" w:hAnsi="Times New Roman;Times;Serif"/>
          <w:b w:val="false"/>
          <w:i w:val="false"/>
          <w:caps w:val="false"/>
          <w:smallCaps w:val="false"/>
          <w:color w:val="000000"/>
          <w:sz w:val="20"/>
        </w:rPr>
        <w:t>(4,341,000) during the same periods in 2022, respectively, related to the change in fair market value of its investment in Eton during the measurement period. As of September 30, 2023, the fair market value of the Company’s investment in Eton was $</w:t>
      </w:r>
      <w:bookmarkStart w:id="331" w:name="xdx_904_eus-gaap--InvestmentOwnedAtFairV"/>
      <w:bookmarkEnd w:id="331"/>
      <w:r>
        <w:rPr>
          <w:rFonts w:ascii="Times New Roman;Times;Serif" w:hAnsi="Times New Roman;Times;Serif"/>
          <w:b w:val="false"/>
          <w:i w:val="false"/>
          <w:caps w:val="false"/>
          <w:smallCaps w:val="false"/>
          <w:color w:val="000000"/>
          <w:sz w:val="20"/>
        </w:rPr>
        <w:t>8,265,000.</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332" w:name="xdx_864_z65LSmApI8ch"/>
      <w:bookmarkStart w:id="333" w:name="xdx_848_ecustom--InvestmentOnePolicyText"/>
      <w:bookmarkEnd w:id="332"/>
      <w:bookmarkEnd w:id="333"/>
      <w:r>
        <w:rPr>
          <w:rFonts w:ascii="Times New Roman;Times;Serif" w:hAnsi="Times New Roman;Times;Serif"/>
          <w:b/>
          <w:i w:val="false"/>
          <w:caps w:val="false"/>
          <w:smallCaps w:val="false"/>
          <w:color w:val="000000"/>
          <w:sz w:val="20"/>
        </w:rPr>
        <w:t>Investment in Melt Pharmaceuticals, Inc. – Related Party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September 30, 2023, the Company owns </w:t>
      </w:r>
      <w:bookmarkStart w:id="334" w:name="xdx_90C_eus-gaap--InvestmentOwnedBalance"/>
      <w:bookmarkEnd w:id="334"/>
      <w:r>
        <w:rPr>
          <w:rFonts w:ascii="Times New Roman;Times;Serif" w:hAnsi="Times New Roman;Times;Serif"/>
          <w:b w:val="false"/>
          <w:i w:val="false"/>
          <w:caps w:val="false"/>
          <w:smallCaps w:val="false"/>
          <w:color w:val="000000"/>
          <w:sz w:val="20"/>
        </w:rPr>
        <w:t xml:space="preserve">3,500,000 shares of common stock of Melt (representing approximately </w:t>
      </w:r>
      <w:bookmarkStart w:id="335" w:name="xdx_90F_eus-gaap--EquityMethodInvestment"/>
      <w:bookmarkEnd w:id="335"/>
      <w:r>
        <w:rPr>
          <w:rFonts w:ascii="Times New Roman;Times;Serif" w:hAnsi="Times New Roman;Times;Serif"/>
          <w:b w:val="false"/>
          <w:i w:val="false"/>
          <w:caps w:val="false"/>
          <w:smallCaps w:val="false"/>
          <w:color w:val="000000"/>
          <w:sz w:val="20"/>
        </w:rPr>
        <w:t>36% of the equity interests of Melt as of such date).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condensed consolidated financial statements and adjusts the carrying amount of its investment in Melt accordingly. Any intra-entity profits and losses are eliminated. During the year ended December 31, 2021, the Company reduced the carrying value of its common stock investment in Melt to $</w:t>
      </w:r>
      <w:bookmarkStart w:id="336" w:name="xdx_90D_ecustom--ReductionInCommonStockI"/>
      <w:bookmarkEnd w:id="336"/>
      <w:r>
        <w:rPr>
          <w:rFonts w:ascii="Times New Roman;Times;Serif" w:hAnsi="Times New Roman;Times;Serif"/>
          <w:b w:val="false"/>
          <w:i w:val="false"/>
          <w:caps w:val="false"/>
          <w:smallCaps w:val="false"/>
          <w:color w:val="000000"/>
          <w:sz w:val="20"/>
        </w:rPr>
        <w:t xml:space="preserve">0 as a result of the Company recording its share of equity losses in Melt since its deconsolidation in 2019. As of September 30, 2023, and at the time of entering into the Melt Loan Agreement (see Note 5), the Company owned </w:t>
      </w:r>
      <w:bookmarkStart w:id="337" w:name="xdx_906_eus-gaap--InvestmentInterestRate"/>
      <w:bookmarkEnd w:id="337"/>
      <w:r>
        <w:rPr>
          <w:rFonts w:ascii="Times New Roman;Times;Serif" w:hAnsi="Times New Roman;Times;Serif"/>
          <w:b w:val="false"/>
          <w:i w:val="false"/>
          <w:caps w:val="false"/>
          <w:smallCaps w:val="false"/>
          <w:color w:val="000000"/>
          <w:sz w:val="20"/>
        </w:rPr>
        <w:t>100% of Melt’s indebtedness. Following the reduction of the carrying value of the Company’s common stock investment in Melt to $</w:t>
      </w:r>
      <w:bookmarkStart w:id="338" w:name="xdx_90B_ecustom--ReductionInCommonStockI"/>
      <w:bookmarkEnd w:id="338"/>
      <w:r>
        <w:rPr>
          <w:rFonts w:ascii="Times New Roman;Times;Serif" w:hAnsi="Times New Roman;Times;Serif"/>
          <w:b w:val="false"/>
          <w:i w:val="false"/>
          <w:caps w:val="false"/>
          <w:smallCaps w:val="false"/>
          <w:color w:val="000000"/>
          <w:sz w:val="20"/>
        </w:rPr>
        <w:t xml:space="preserve">0, the Company began recording </w:t>
      </w:r>
      <w:bookmarkStart w:id="339" w:name="xdx_907_eus-gaap--InvestmentInterestRate"/>
      <w:bookmarkEnd w:id="339"/>
      <w:r>
        <w:rPr>
          <w:rFonts w:ascii="Times New Roman;Times;Serif" w:hAnsi="Times New Roman;Times;Serif"/>
          <w:b w:val="false"/>
          <w:i w:val="false"/>
          <w:caps w:val="false"/>
          <w:smallCaps w:val="false"/>
          <w:color w:val="000000"/>
          <w:sz w:val="20"/>
        </w:rPr>
        <w:t>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40" w:name="xdx_894_eus-gaap--InvestmentTableTextBlo"/>
      <w:bookmarkEnd w:id="340"/>
      <w:r>
        <w:rPr>
          <w:rFonts w:ascii="Times New Roman;Times;Serif" w:hAnsi="Times New Roman;Times;Serif"/>
          <w:b w:val="false"/>
          <w:i w:val="false"/>
          <w:caps w:val="false"/>
          <w:smallCaps w:val="false"/>
          <w:color w:val="000000"/>
          <w:sz w:val="20"/>
        </w:rPr>
        <w:t>The following table summarizes the Company’s investments in Melt as of September 30, 2023:</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41" w:name="xdx_8B5_ze0Hx93Zx7Rb"/>
      <w:bookmarkEnd w:id="341"/>
      <w:r>
        <w:rPr>
          <w:rFonts w:ascii="Times New Roman;Times;Serif" w:hAnsi="Times New Roman;Times;Serif"/>
          <w:b w:val="false"/>
          <w:i w:val="false"/>
          <w:caps w:val="false"/>
          <w:smallCaps w:val="false"/>
          <w:color w:val="000000"/>
          <w:sz w:val="20"/>
        </w:rPr>
        <w:t>SCHEDULE OF INVESTMENT</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9852" w:type="dxa"/>
        <w:jc w:val="left"/>
        <w:tblInd w:w="0" w:type="dxa"/>
        <w:tblLayout w:type="fixed"/>
        <w:tblCellMar>
          <w:top w:w="0" w:type="dxa"/>
          <w:left w:w="0" w:type="dxa"/>
          <w:bottom w:w="0" w:type="dxa"/>
          <w:right w:w="0" w:type="dxa"/>
        </w:tblCellMar>
      </w:tblPr>
      <w:tblGrid>
        <w:gridCol w:w="1520"/>
        <w:gridCol w:w="60"/>
        <w:gridCol w:w="140"/>
        <w:gridCol w:w="1100"/>
        <w:gridCol w:w="60"/>
        <w:gridCol w:w="60"/>
        <w:gridCol w:w="244"/>
        <w:gridCol w:w="2055"/>
        <w:gridCol w:w="95"/>
        <w:gridCol w:w="60"/>
        <w:gridCol w:w="156"/>
        <w:gridCol w:w="1094"/>
        <w:gridCol w:w="60"/>
        <w:gridCol w:w="60"/>
        <w:gridCol w:w="227"/>
        <w:gridCol w:w="1712"/>
        <w:gridCol w:w="95"/>
        <w:gridCol w:w="60"/>
        <w:gridCol w:w="270"/>
        <w:gridCol w:w="649"/>
        <w:gridCol w:w="75"/>
      </w:tblGrid>
      <w:tr>
        <w:trPr/>
        <w:tc>
          <w:tcPr>
            <w:tcW w:w="15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center"/>
              <w:rPr>
                <w:color w:val="000000"/>
              </w:rPr>
            </w:pPr>
            <w:r>
              <w:rPr>
                <w:color w:val="000000"/>
              </w:rPr>
              <w:t>Cost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99" w:type="dxa"/>
            <w:gridSpan w:val="2"/>
            <w:tcBorders/>
            <w:vAlign w:val="center"/>
          </w:tcPr>
          <w:p>
            <w:pPr>
              <w:pStyle w:val="TableContents"/>
              <w:bidi w:val="0"/>
              <w:spacing w:before="0" w:after="283"/>
              <w:jc w:val="center"/>
              <w:rPr>
                <w:color w:val="000000"/>
              </w:rPr>
            </w:pPr>
            <w:r>
              <w:rPr>
                <w:color w:val="000000"/>
              </w:rPr>
              <w:t>Share of Equity Method</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50" w:type="dxa"/>
            <w:gridSpan w:val="2"/>
            <w:tcBorders/>
            <w:vAlign w:val="center"/>
          </w:tcPr>
          <w:p>
            <w:pPr>
              <w:pStyle w:val="TableContents"/>
              <w:bidi w:val="0"/>
              <w:spacing w:before="0" w:after="283"/>
              <w:jc w:val="center"/>
              <w:rPr>
                <w:color w:val="000000"/>
              </w:rPr>
            </w:pPr>
            <w:r>
              <w:rPr>
                <w:color w:val="000000"/>
              </w:rPr>
              <w:t>Paid-in-Kind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939" w:type="dxa"/>
            <w:gridSpan w:val="2"/>
            <w:tcBorders/>
            <w:vAlign w:val="center"/>
          </w:tcPr>
          <w:p>
            <w:pPr>
              <w:pStyle w:val="TableContents"/>
              <w:bidi w:val="0"/>
              <w:spacing w:before="0" w:after="283"/>
              <w:jc w:val="center"/>
              <w:rPr>
                <w:color w:val="000000"/>
              </w:rPr>
            </w:pPr>
            <w:r>
              <w:rPr>
                <w:color w:val="000000"/>
              </w:rPr>
              <w:t>In-substance Capital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19" w:type="dxa"/>
            <w:gridSpan w:val="2"/>
            <w:tcBorders/>
            <w:vAlign w:val="center"/>
          </w:tcPr>
          <w:p>
            <w:pPr>
              <w:pStyle w:val="TableContents"/>
              <w:bidi w:val="0"/>
              <w:jc w:val="center"/>
              <w:rPr>
                <w:color w:val="000000"/>
              </w:rPr>
            </w:pPr>
            <w:r>
              <w:rPr>
                <w:color w:val="000000"/>
              </w:rPr>
              <w:t>Net</w:t>
            </w:r>
          </w:p>
          <w:p>
            <w:pPr>
              <w:pStyle w:val="TableContents"/>
              <w:bidi w:val="0"/>
              <w:spacing w:before="0" w:after="283"/>
              <w:jc w:val="center"/>
              <w:rPr>
                <w:color w:val="000000"/>
              </w:rPr>
            </w:pPr>
            <w:r>
              <w:rPr>
                <w:color w:val="000000"/>
              </w:rPr>
              <w:t xml:space="preserve">Carrying </w:t>
            </w:r>
          </w:p>
        </w:tc>
        <w:tc>
          <w:tcPr>
            <w:tcW w:w="75" w:type="dxa"/>
            <w:tcBorders/>
            <w:vAlign w:val="center"/>
          </w:tcPr>
          <w:p>
            <w:pPr>
              <w:pStyle w:val="TableContents"/>
              <w:bidi w:val="0"/>
              <w:spacing w:before="0" w:after="283"/>
              <w:jc w:val="left"/>
              <w:rPr>
                <w:color w:val="000000"/>
              </w:rPr>
            </w:pPr>
            <w:r>
              <w:rPr>
                <w:color w:val="000000"/>
              </w:rPr>
              <w:t> </w:t>
            </w:r>
          </w:p>
        </w:tc>
      </w:tr>
      <w:tr>
        <w:trPr/>
        <w:tc>
          <w:tcPr>
            <w:tcW w:w="15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Basis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Losses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Interest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Contributions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1520" w:type="dxa"/>
            <w:tcBorders/>
            <w:shd w:fill="CCEEFF" w:val="clear"/>
            <w:vAlign w:val="center"/>
          </w:tcPr>
          <w:p>
            <w:pPr>
              <w:pStyle w:val="TableContents"/>
              <w:bidi w:val="0"/>
              <w:spacing w:before="0" w:after="283"/>
              <w:jc w:val="both"/>
              <w:rPr>
                <w:color w:val="000000"/>
              </w:rPr>
            </w:pPr>
            <w:r>
              <w:rPr>
                <w:color w:val="000000"/>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42" w:name="xdx_98A_eus-gaap--InvestmentOwnedAtCost_"/>
            <w:bookmarkEnd w:id="342"/>
          </w:p>
        </w:tc>
        <w:tc>
          <w:tcPr>
            <w:tcW w:w="1100" w:type="dxa"/>
            <w:tcBorders/>
            <w:shd w:fill="CCEEFF" w:val="clear"/>
            <w:vAlign w:val="center"/>
          </w:tcPr>
          <w:p>
            <w:pPr>
              <w:pStyle w:val="TableContents"/>
              <w:bidi w:val="0"/>
              <w:spacing w:before="0" w:after="283"/>
              <w:jc w:val="right"/>
              <w:rPr/>
            </w:pPr>
            <w:r>
              <w:rPr/>
              <w:t>5,810,000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w:t>
            </w:r>
            <w:bookmarkStart w:id="343" w:name="xdx_98F_eus-gaap--EquityMethodInvestment"/>
            <w:bookmarkEnd w:id="343"/>
          </w:p>
        </w:tc>
        <w:tc>
          <w:tcPr>
            <w:tcW w:w="2055" w:type="dxa"/>
            <w:tcBorders/>
            <w:shd w:fill="CCEEFF" w:val="clear"/>
            <w:vAlign w:val="center"/>
          </w:tcPr>
          <w:p>
            <w:pPr>
              <w:pStyle w:val="TableContents"/>
              <w:bidi w:val="0"/>
              <w:spacing w:before="0" w:after="283"/>
              <w:jc w:val="right"/>
              <w:rPr>
                <w:color w:val="000000"/>
              </w:rPr>
            </w:pPr>
            <w:r>
              <w:rPr>
                <w:color w:val="000000"/>
              </w:rPr>
              <w:t>(5,810,000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bookmarkStart w:id="344" w:name="xdx_98F_ecustom--InvestmentPaidInKindInt"/>
            <w:bookmarkEnd w:id="344"/>
          </w:p>
        </w:tc>
        <w:tc>
          <w:tcPr>
            <w:tcW w:w="10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64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both"/>
              <w:rPr>
                <w:color w:val="000000"/>
              </w:rPr>
            </w:pPr>
            <w:r>
              <w:rPr>
                <w:color w:val="000000"/>
              </w:rPr>
              <w:t>Note receivable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45" w:name="xdx_982_eus-gaap--InvestmentOwnedAtCost_"/>
            <w:bookmarkEnd w:id="345"/>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13,500,000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46" w:name="xdx_981_eus-gaap--EquityMethodInvestment"/>
            <w:bookmarkEnd w:id="346"/>
          </w:p>
        </w:tc>
        <w:tc>
          <w:tcPr>
            <w:tcW w:w="205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(13,500,000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47" w:name="xdx_988_ecustom--InvestmentPaidInKindInt"/>
            <w:bookmarkEnd w:id="347"/>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4,265,000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48" w:name="xdx_98D_eus-gaap--InvestmentCompanyCommi"/>
            <w:bookmarkEnd w:id="348"/>
          </w:p>
        </w:tc>
        <w:tc>
          <w:tcPr>
            <w:tcW w:w="1712"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(4,265,000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7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349" w:name="xdx_980_eus-gaap--Investments_iI_c202309"/>
            <w:bookmarkEnd w:id="349"/>
          </w:p>
        </w:tc>
        <w:tc>
          <w:tcPr>
            <w:tcW w:w="64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152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350" w:name="xdx_98D_eus-gaap--InvestmentOwnedAtCost_"/>
            <w:bookmarkEnd w:id="35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19,310,000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351" w:name="xdx_983_eus-gaap--EquityMethodInvestment"/>
            <w:bookmarkEnd w:id="351"/>
          </w:p>
        </w:tc>
        <w:tc>
          <w:tcPr>
            <w:tcW w:w="205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(19,310,000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52" w:name="xdx_987_ecustom--InvestmentPaidInKindInt"/>
            <w:bookmarkEnd w:id="352"/>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pPr>
            <w:r>
              <w:rPr/>
              <w:t>4,265,000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53" w:name="xdx_988_eus-gaap--InvestmentCompanyCommi"/>
            <w:bookmarkEnd w:id="353"/>
          </w:p>
        </w:tc>
        <w:tc>
          <w:tcPr>
            <w:tcW w:w="1712" w:type="dxa"/>
            <w:tcBorders>
              <w:bottom w:val="double" w:sz="6" w:space="0" w:color="000000"/>
            </w:tcBorders>
            <w:shd w:fill="CCEEFF" w:val="clear"/>
            <w:tcMar>
              <w:bottom w:w="28" w:type="dxa"/>
            </w:tcMar>
            <w:vAlign w:val="center"/>
          </w:tcPr>
          <w:p>
            <w:pPr>
              <w:pStyle w:val="TableContents"/>
              <w:bidi w:val="0"/>
              <w:spacing w:before="0" w:after="283"/>
              <w:jc w:val="right"/>
              <w:rPr/>
            </w:pPr>
            <w:r>
              <w:rPr/>
              <w:t>(4,265,000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54" w:name="xdx_985_eus-gaap--Investments_iI_c202309"/>
            <w:bookmarkEnd w:id="354"/>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color w:val="000000"/>
        </w:rPr>
      </w:pPr>
      <w:bookmarkStart w:id="355" w:name="xdx_8A7_zneVKhzVVwvk"/>
      <w:bookmarkEnd w:id="355"/>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Note 5 for more information and related party disclosure regarding Melt.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56" w:name="xdx_868_zwJG9KnqVUdh"/>
      <w:bookmarkStart w:id="357" w:name="xdx_848_ecustom--InvestmentTwoPolicyText"/>
      <w:bookmarkEnd w:id="356"/>
      <w:bookmarkEnd w:id="357"/>
      <w:r>
        <w:rPr>
          <w:rFonts w:ascii="Times New Roman;Times;Serif" w:hAnsi="Times New Roman;Times;Serif"/>
          <w:b/>
          <w:i w:val="false"/>
          <w:caps w:val="false"/>
          <w:smallCaps w:val="false"/>
          <w:color w:val="000000"/>
          <w:sz w:val="20"/>
        </w:rPr>
        <w:t xml:space="preserve">Investment in Surface Ophthalmics, Inc. – Related Party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September 30, 2023, the Company owned </w:t>
      </w:r>
      <w:bookmarkStart w:id="358" w:name="xdx_900_eus-gaap--InvestmentOwnedBalance"/>
      <w:bookmarkEnd w:id="358"/>
      <w:r>
        <w:rPr>
          <w:rFonts w:ascii="Times New Roman;Times;Serif" w:hAnsi="Times New Roman;Times;Serif"/>
          <w:b w:val="false"/>
          <w:i w:val="false"/>
          <w:caps w:val="false"/>
          <w:smallCaps w:val="false"/>
          <w:color w:val="000000"/>
          <w:sz w:val="20"/>
        </w:rPr>
        <w:t xml:space="preserve">3,500,000 common shares of Surface (representing approximately </w:t>
      </w:r>
      <w:bookmarkStart w:id="359" w:name="xdx_904_eus-gaap--EquityMethodInvestment"/>
      <w:bookmarkEnd w:id="359"/>
      <w:r>
        <w:rPr>
          <w:rFonts w:ascii="Times New Roman;Times;Serif" w:hAnsi="Times New Roman;Times;Serif"/>
          <w:b w:val="false"/>
          <w:i w:val="false"/>
          <w:caps w:val="false"/>
          <w:smallCaps w:val="false"/>
          <w:color w:val="000000"/>
          <w:sz w:val="20"/>
        </w:rPr>
        <w:t>20% of the equity interests of Surface as of such date)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w:t>
      </w:r>
      <w:bookmarkStart w:id="360" w:name="xdx_90E_ecustom--ReductionInCommonStockI"/>
      <w:bookmarkEnd w:id="360"/>
      <w:r>
        <w:rPr>
          <w:rFonts w:ascii="Times New Roman;Times;Serif" w:hAnsi="Times New Roman;Times;Serif"/>
          <w:b w:val="false"/>
          <w:i w:val="false"/>
          <w:caps w:val="false"/>
          <w:smallCaps w:val="false"/>
          <w:color w:val="000000"/>
          <w:sz w:val="20"/>
        </w:rPr>
        <w:t>0 as a result of the Company recording its share of equity losses of Surface. The Company has no other investments in Surface and no other requirements to advance funds to Surface.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61" w:name="xdx_895_eus-gaap--InvestmentTableTextBlo"/>
      <w:bookmarkEnd w:id="361"/>
      <w:r>
        <w:rPr>
          <w:rFonts w:ascii="Times New Roman;Times;Serif" w:hAnsi="Times New Roman;Times;Serif"/>
          <w:b w:val="false"/>
          <w:i w:val="false"/>
          <w:caps w:val="false"/>
          <w:smallCaps w:val="false"/>
          <w:color w:val="000000"/>
          <w:sz w:val="20"/>
        </w:rPr>
        <w:t>The following table summarizes the Company’s investment in Surface as of September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62" w:name="xdx_8B2_zOSD8JwISnnf"/>
      <w:bookmarkEnd w:id="362"/>
      <w:r>
        <w:rPr>
          <w:rFonts w:ascii="Times New Roman;Times;Serif" w:hAnsi="Times New Roman;Times;Serif"/>
          <w:b w:val="false"/>
          <w:i w:val="false"/>
          <w:caps w:val="false"/>
          <w:smallCaps w:val="false"/>
          <w:color w:val="000000"/>
          <w:sz w:val="20"/>
        </w:rPr>
        <w:t>SCHEDULE OF INVESTMENT</w:t>
      </w:r>
    </w:p>
    <w:tbl>
      <w:tblPr>
        <w:tblW w:w="5833" w:type="dxa"/>
        <w:jc w:val="left"/>
        <w:tblInd w:w="0" w:type="dxa"/>
        <w:tblLayout w:type="fixed"/>
        <w:tblCellMar>
          <w:top w:w="0" w:type="dxa"/>
          <w:left w:w="0" w:type="dxa"/>
          <w:bottom w:w="0" w:type="dxa"/>
          <w:right w:w="0" w:type="dxa"/>
        </w:tblCellMar>
      </w:tblPr>
      <w:tblGrid>
        <w:gridCol w:w="1475"/>
        <w:gridCol w:w="60"/>
        <w:gridCol w:w="140"/>
        <w:gridCol w:w="980"/>
        <w:gridCol w:w="60"/>
        <w:gridCol w:w="60"/>
        <w:gridCol w:w="176"/>
        <w:gridCol w:w="1328"/>
        <w:gridCol w:w="95"/>
        <w:gridCol w:w="60"/>
        <w:gridCol w:w="346"/>
        <w:gridCol w:w="978"/>
        <w:gridCol w:w="75"/>
      </w:tblGrid>
      <w:tr>
        <w:trPr/>
        <w:tc>
          <w:tcPr>
            <w:tcW w:w="14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center"/>
              <w:rPr>
                <w:color w:val="000000"/>
              </w:rPr>
            </w:pPr>
            <w:r>
              <w:rPr>
                <w:color w:val="000000"/>
              </w:rPr>
              <w:t>Cost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04" w:type="dxa"/>
            <w:gridSpan w:val="2"/>
            <w:tcBorders/>
            <w:vAlign w:val="center"/>
          </w:tcPr>
          <w:p>
            <w:pPr>
              <w:pStyle w:val="TableContents"/>
              <w:bidi w:val="0"/>
              <w:spacing w:before="0" w:after="283"/>
              <w:jc w:val="center"/>
              <w:rPr>
                <w:color w:val="000000"/>
              </w:rPr>
            </w:pPr>
            <w:r>
              <w:rPr>
                <w:color w:val="000000"/>
              </w:rPr>
              <w:t>Share of Equity</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24" w:type="dxa"/>
            <w:gridSpan w:val="2"/>
            <w:tcBorders/>
            <w:vAlign w:val="center"/>
          </w:tcPr>
          <w:p>
            <w:pPr>
              <w:pStyle w:val="TableContents"/>
              <w:bidi w:val="0"/>
              <w:spacing w:before="0" w:after="283"/>
              <w:jc w:val="center"/>
              <w:rPr>
                <w:color w:val="000000"/>
              </w:rPr>
            </w:pPr>
            <w:r>
              <w:rPr>
                <w:color w:val="000000"/>
              </w:rPr>
              <w:t xml:space="preserve">Net Carrying </w:t>
            </w:r>
          </w:p>
        </w:tc>
        <w:tc>
          <w:tcPr>
            <w:tcW w:w="75" w:type="dxa"/>
            <w:tcBorders/>
            <w:vAlign w:val="center"/>
          </w:tcPr>
          <w:p>
            <w:pPr>
              <w:pStyle w:val="TableContents"/>
              <w:bidi w:val="0"/>
              <w:spacing w:before="0" w:after="283"/>
              <w:jc w:val="left"/>
              <w:rPr>
                <w:color w:val="000000"/>
              </w:rPr>
            </w:pPr>
            <w:r>
              <w:rPr>
                <w:color w:val="000000"/>
              </w:rPr>
              <w:t> </w:t>
            </w:r>
          </w:p>
        </w:tc>
      </w:tr>
      <w:tr>
        <w:trPr/>
        <w:tc>
          <w:tcPr>
            <w:tcW w:w="14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Basis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Method Losses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1475" w:type="dxa"/>
            <w:tcBorders/>
            <w:shd w:fill="CCEEFF" w:val="clear"/>
            <w:vAlign w:val="center"/>
          </w:tcPr>
          <w:p>
            <w:pPr>
              <w:pStyle w:val="TableContents"/>
              <w:bidi w:val="0"/>
              <w:spacing w:before="0" w:after="283"/>
              <w:jc w:val="both"/>
              <w:rPr>
                <w:color w:val="000000"/>
              </w:rPr>
            </w:pPr>
            <w:r>
              <w:rPr>
                <w:color w:val="000000"/>
              </w:rPr>
              <w:t>Common stock</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363" w:name="xdx_989_eus-gaap--InvestmentOwnedAtCost_"/>
            <w:bookmarkEnd w:id="36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5,320,000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364" w:name="xdx_984_eus-gaap--EquityMethodInvestment"/>
            <w:bookmarkEnd w:id="364"/>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(5,320,000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365" w:name="xdx_98A_eus-gaap--Investments_iI_c202309"/>
            <w:bookmarkEnd w:id="365"/>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     </w:t>
            </w:r>
            <w:r>
              <w:rPr>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366" w:name="xdx_8A5_zGFSYOu1ufDa"/>
      <w:bookmarkEnd w:id="366"/>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Note 6 for more information and related party disclosure regarding Surface.</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367" w:name="xdx_866_zSRhTgLibiah"/>
      <w:bookmarkStart w:id="368" w:name="xdx_840_eus-gaap--NewAccountingPronounce"/>
      <w:bookmarkEnd w:id="367"/>
      <w:bookmarkEnd w:id="368"/>
      <w:r>
        <w:rPr>
          <w:rFonts w:ascii="Times New Roman;Times;Serif" w:hAnsi="Times New Roman;Times;Serif"/>
          <w:b/>
          <w:i w:val="false"/>
          <w:caps w:val="false"/>
          <w:smallCaps w:val="false"/>
          <w:color w:val="000000"/>
          <w:sz w:val="20"/>
        </w:rPr>
        <w:t>Recently Adopted Accounting Pronouncements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September 2016, FASB issued Accounting Standards Update (“ASU”) 2016-13, </w:t>
      </w:r>
      <w:r>
        <w:rPr>
          <w:rFonts w:ascii="Times New Roman;Times;Serif" w:hAnsi="Times New Roman;Times;Serif"/>
          <w:b w:val="false"/>
          <w:i/>
          <w:caps w:val="false"/>
          <w:smallCaps w:val="false"/>
          <w:color w:val="000000"/>
          <w:sz w:val="20"/>
        </w:rPr>
        <w:t>Measurement of Credit Losses on Financial Instruments</w:t>
      </w:r>
      <w:r>
        <w:rPr>
          <w:rFonts w:ascii="Times New Roman;Times;Serif" w:hAnsi="Times New Roman;Times;Serif"/>
          <w:b w:val="false"/>
          <w:i w:val="false"/>
          <w:caps w:val="false"/>
          <w:smallCaps w:val="false"/>
          <w:color w:val="000000"/>
          <w:sz w:val="20"/>
        </w:rPr>
        <w:t>. This ASU replaces the incurred loss impairment methodology in current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the fiscal years beginning after December 15, 2022. The Company adopted ASU 2016-13 on January 1, 2023. Based on the composition of the Company’s accounts receivable, investment portfolio, and other financial assets, including current market conditions and historical credit loss activity, the adoption of this standard did not have a material impact on the Company’s consolidated financial statements or disclosures. Specifically, the Company’s estimate of expected credit losses as of September 30, 2023, using its expected credit loss evaluation process described above, resulted in no adjustments to the provision for credit losses and no cumulative-effect adjustment to accumulated deficit on the adoption date of the standard.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Accounting Guidance Issued but Not Adopted at September 30, 2023</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August 2023, FASB issued ASU 2023-05, </w:t>
      </w:r>
      <w:r>
        <w:rPr>
          <w:rFonts w:ascii="Times New Roman;Times;Serif" w:hAnsi="Times New Roman;Times;Serif"/>
          <w:b w:val="false"/>
          <w:i/>
          <w:caps w:val="false"/>
          <w:smallCaps w:val="false"/>
          <w:color w:val="000000"/>
          <w:sz w:val="20"/>
        </w:rPr>
        <w:t>Business Combinations—Joint Venture Formations (Subtopic 805-60): Recognition and Initial Measurement</w:t>
      </w:r>
      <w:r>
        <w:rPr>
          <w:rFonts w:ascii="Times New Roman;Times;Serif" w:hAnsi="Times New Roman;Times;Serif"/>
          <w:b w:val="false"/>
          <w:i w:val="false"/>
          <w:caps w:val="false"/>
          <w:smallCaps w:val="false"/>
          <w:color w:val="000000"/>
          <w:sz w:val="20"/>
        </w:rPr>
        <w:t>, which applies to the formation of entities that meet the definition of a joint venture (or a corporate joint venture) and requires joint ventures to initially measure all contributions received upon formation at fair value. The new guidance does not impact accounting by the venturers. The new guidance is applicable to joint venture entities with a formation date on or after January 1, 2025 on a prospective basis. Joint ventures formed prior to the effective date may elect to apply the new guidance retrospectively back to their original formation date. We will apply the guidance in ASU 2023-05 prospectively to any future arrangements meeting the definition of a joint venture.</w:t>
      </w:r>
    </w:p>
    <w:p>
      <w:pPr>
        <w:pStyle w:val="TextBody"/>
        <w:bidi w:val="0"/>
        <w:spacing w:before="0" w:after="0"/>
        <w:ind w:left="0" w:right="0" w:hanging="0"/>
        <w:jc w:val="both"/>
        <w:rPr>
          <w:caps w:val="false"/>
          <w:smallCaps w:val="false"/>
          <w:color w:val="000000"/>
        </w:rPr>
      </w:pPr>
      <w:bookmarkStart w:id="369" w:name="xdx_852_zMAR4sm3hq6g"/>
      <w:bookmarkEnd w:id="369"/>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370" w:name="xdx_803_eus-gaap--RevenueFromContractWit"/>
      <w:bookmarkEnd w:id="370"/>
      <w:r>
        <w:rPr>
          <w:rFonts w:ascii="Times New Roman;Times;Serif" w:hAnsi="Times New Roman;Times;Serif"/>
          <w:b/>
          <w:i w:val="false"/>
          <w:caps w:val="false"/>
          <w:smallCaps w:val="false"/>
          <w:color w:val="000000"/>
          <w:sz w:val="20"/>
        </w:rPr>
        <w:t xml:space="preserve">NOTE 3. </w:t>
      </w:r>
      <w:bookmarkStart w:id="371" w:name="xdx_820_zl4aC0EJ4Wpi"/>
      <w:bookmarkEnd w:id="371"/>
      <w:r>
        <w:rPr>
          <w:rFonts w:ascii="Times New Roman;Times;Serif" w:hAnsi="Times New Roman;Times;Serif"/>
          <w:b/>
          <w:i w:val="false"/>
          <w:caps w:val="false"/>
          <w:smallCaps w:val="false"/>
          <w:color w:val="000000"/>
          <w:sz w:val="20"/>
        </w:rPr>
        <w:t xml:space="preserve">REVENUES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accounts for contracts with customers in accordance with ASC 606, </w:t>
      </w:r>
      <w:r>
        <w:rPr>
          <w:rFonts w:ascii="Times New Roman;Times;Serif" w:hAnsi="Times New Roman;Times;Serif"/>
          <w:b w:val="false"/>
          <w:i/>
          <w:caps w:val="false"/>
          <w:smallCaps w:val="false"/>
          <w:color w:val="000000"/>
          <w:sz w:val="20"/>
        </w:rPr>
        <w:t>Revenue from Contracts with Customers</w:t>
      </w:r>
      <w:r>
        <w:rPr>
          <w:rFonts w:ascii="Times New Roman;Times;Serif" w:hAnsi="Times New Roman;Times;Serif"/>
          <w:b w:val="false"/>
          <w:i w:val="false"/>
          <w:caps w:val="false"/>
          <w:smallCaps w:val="false"/>
          <w:color w:val="000000"/>
          <w:sz w:val="20"/>
        </w:rPr>
        <w:t>. The Company has three primary streams of revenue: (1) revenue recognized from sales of products through its pharmacy and outsourcing facility and sales of branded products to wholesalers through a third-party logistics (“3PL”) partner, (2) revenue recognized from a commission agreement with a third party, and (3) revenue recognized from intellectual property licenses and asset purchase agreements.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Product Revenues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Identify the contract(s) with a customer:</w:t>
            </w:r>
            <w:r>
              <w:rPr>
                <w:rFonts w:ascii="Times New Roman;Times;Serif" w:hAnsi="Times New Roman;Times;Serif"/>
                <w:b w:val="false"/>
                <w:i w:val="false"/>
                <w:caps w:val="false"/>
                <w:smallCaps w:val="false"/>
                <w:color w:val="000000"/>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r>
        <w:trPr/>
        <w:tc>
          <w:tcPr>
            <w:tcW w:w="146"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005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Identify the performance obligations in the contract:</w:t>
            </w:r>
            <w:r>
              <w:rPr>
                <w:rFonts w:ascii="Times New Roman;Times;Serif" w:hAnsi="Times New Roman;Times;Serif"/>
                <w:b w:val="false"/>
                <w:i w:val="false"/>
                <w:caps w:val="false"/>
                <w:smallCaps w:val="false"/>
                <w:color w:val="000000"/>
                <w:sz w:val="20"/>
              </w:rPr>
              <w:t xml:space="preserve">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r>
        <w:trPr/>
        <w:tc>
          <w:tcPr>
            <w:tcW w:w="146"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0059"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Determine the transaction price:</w:t>
            </w:r>
            <w:r>
              <w:rPr>
                <w:rFonts w:ascii="Times New Roman;Times;Serif" w:hAnsi="Times New Roman;Times;Serif"/>
                <w:b w:val="false"/>
                <w:i w:val="false"/>
                <w:caps w:val="false"/>
                <w:smallCaps w:val="false"/>
                <w:color w:val="000000"/>
                <w:sz w:val="20"/>
              </w:rPr>
              <w:t xml:space="preserve"> The transaction price is based on an amount that reflects the consideration to which the Company expects to be entitled, net of accruals for estimated rebates, wholesaler chargebacks, discounts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Allocate the transaction price to the performance obligations in the contract:</w:t>
            </w:r>
            <w:r>
              <w:rPr>
                <w:rFonts w:ascii="Times New Roman;Times;Serif" w:hAnsi="Times New Roman;Times;Serif"/>
                <w:b w:val="false"/>
                <w:i w:val="false"/>
                <w:caps w:val="false"/>
                <w:smallCaps w:val="false"/>
                <w:color w:val="000000"/>
                <w:sz w:val="20"/>
              </w:rPr>
              <w:t xml:space="preserve"> Because there is only one performance obligation for product sales, no allocation is necessary.</w:t>
            </w:r>
          </w:p>
        </w:tc>
      </w:tr>
      <w:tr>
        <w:trPr/>
        <w:tc>
          <w:tcPr>
            <w:tcW w:w="157"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0048"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Recognize revenue when (or as) the entity satisfies a performance obligation:</w:t>
            </w:r>
            <w:r>
              <w:rPr>
                <w:rFonts w:ascii="Times New Roman;Times;Serif" w:hAnsi="Times New Roman;Times;Serif"/>
                <w:b w:val="false"/>
                <w:i w:val="false"/>
                <w:caps w:val="false"/>
                <w:smallCaps w:val="false"/>
                <w:color w:val="000000"/>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Commission Revenues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had entered into an agreement whereby it was paid a fee calculated based on sales the Company generates from a pharmaceutical product that is owned by a third party. The revenue earned from this arrangement was recognized, at which point there was no future performance obligation required by the Company and no consequential continuing involvement on the Company’s part to recognize the associated revenue.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Revenues From Transfer of Acquired Product Sales and Profits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has entered into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condensed consolidated statements of operations, and recorded as a reduction to accounts receivable in the condensed consolidated balance sheets, at the time the revenue is recognized.</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Intellectual Property License Revenues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372" w:name="xdx_892_eus-gaap--DisaggregationOfRevenu"/>
      <w:bookmarkEnd w:id="372"/>
      <w:r>
        <w:rPr>
          <w:rFonts w:ascii="Times New Roman;Times;Serif" w:hAnsi="Times New Roman;Times;Serif"/>
          <w:b w:val="false"/>
          <w:i w:val="false"/>
          <w:caps w:val="false"/>
          <w:smallCaps w:val="false"/>
          <w:color w:val="000000"/>
          <w:sz w:val="20"/>
        </w:rPr>
        <w:t>Revenue disaggregated by revenue source for the three and nine months ended September 30, 2023 and 2022 consisted of the following:</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bookmarkStart w:id="373" w:name="xdx_8BE_z7MKTTQ6ccoa"/>
      <w:bookmarkEnd w:id="373"/>
      <w:r>
        <w:rPr>
          <w:rFonts w:ascii="Times New Roman;Times;Serif" w:hAnsi="Times New Roman;Times;Serif"/>
          <w:b w:val="false"/>
          <w:i w:val="false"/>
          <w:caps w:val="false"/>
          <w:smallCaps w:val="false"/>
          <w:color w:val="000000"/>
          <w:sz w:val="20"/>
        </w:rPr>
        <w:t>SCHEDULE OF DISAGGREGATED REVENUE </w:t>
      </w:r>
    </w:p>
    <w:tbl>
      <w:tblPr>
        <w:tblW w:w="10205" w:type="dxa"/>
        <w:jc w:val="left"/>
        <w:tblInd w:w="0" w:type="dxa"/>
        <w:tblLayout w:type="fixed"/>
        <w:tblCellMar>
          <w:top w:w="0" w:type="dxa"/>
          <w:left w:w="0" w:type="dxa"/>
          <w:bottom w:w="0" w:type="dxa"/>
          <w:right w:w="0" w:type="dxa"/>
        </w:tblCellMar>
      </w:tblPr>
      <w:tblGrid>
        <w:gridCol w:w="4075"/>
        <w:gridCol w:w="60"/>
        <w:gridCol w:w="161"/>
        <w:gridCol w:w="1270"/>
        <w:gridCol w:w="68"/>
        <w:gridCol w:w="68"/>
        <w:gridCol w:w="161"/>
        <w:gridCol w:w="1270"/>
        <w:gridCol w:w="60"/>
        <w:gridCol w:w="60"/>
        <w:gridCol w:w="154"/>
        <w:gridCol w:w="1215"/>
        <w:gridCol w:w="65"/>
        <w:gridCol w:w="65"/>
        <w:gridCol w:w="154"/>
        <w:gridCol w:w="1215"/>
        <w:gridCol w:w="84"/>
      </w:tblGrid>
      <w:tr>
        <w:trPr/>
        <w:tc>
          <w:tcPr>
            <w:tcW w:w="40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374" w:name="xdx_492_20230701__20230930_zuzdJTIBuEMj"/>
            <w:bookmarkEnd w:id="374"/>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8" w:type="dxa"/>
            <w:tcBorders/>
            <w:vAlign w:val="center"/>
          </w:tcPr>
          <w:p>
            <w:pPr>
              <w:pStyle w:val="TableContents"/>
              <w:bidi w:val="0"/>
              <w:spacing w:before="0" w:after="283"/>
              <w:jc w:val="left"/>
              <w:rPr>
                <w:color w:val="000000"/>
              </w:rPr>
            </w:pPr>
            <w:r>
              <w:rPr>
                <w:color w:val="000000"/>
              </w:rPr>
              <w:t> </w:t>
            </w:r>
          </w:p>
        </w:tc>
        <w:tc>
          <w:tcPr>
            <w:tcW w:w="68" w:type="dxa"/>
            <w:tcBorders/>
            <w:vAlign w:val="center"/>
          </w:tcPr>
          <w:p>
            <w:pPr>
              <w:pStyle w:val="TableContents"/>
              <w:bidi w:val="0"/>
              <w:spacing w:before="0" w:after="283"/>
              <w:jc w:val="left"/>
              <w:rPr>
                <w:color w:val="000000"/>
              </w:rPr>
            </w:pPr>
            <w:r>
              <w:rPr>
                <w:color w:val="000000"/>
              </w:rPr>
              <w:t> </w:t>
            </w:r>
            <w:bookmarkStart w:id="375" w:name="xdx_49D_20220701__20220930_zvphjj3aoX68"/>
            <w:bookmarkEnd w:id="375"/>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376" w:name="xdx_494_20230101__20230930_zFbdpGDYGcv9"/>
            <w:bookmarkEnd w:id="376"/>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5" w:type="dxa"/>
            <w:tcBorders/>
            <w:vAlign w:val="center"/>
          </w:tcPr>
          <w:p>
            <w:pPr>
              <w:pStyle w:val="TableContents"/>
              <w:bidi w:val="0"/>
              <w:spacing w:before="0" w:after="283"/>
              <w:jc w:val="left"/>
              <w:rPr>
                <w:color w:val="000000"/>
              </w:rPr>
            </w:pPr>
            <w:r>
              <w:rPr>
                <w:color w:val="000000"/>
              </w:rPr>
              <w:t> </w:t>
            </w:r>
          </w:p>
        </w:tc>
        <w:tc>
          <w:tcPr>
            <w:tcW w:w="65" w:type="dxa"/>
            <w:tcBorders/>
            <w:vAlign w:val="center"/>
          </w:tcPr>
          <w:p>
            <w:pPr>
              <w:pStyle w:val="TableContents"/>
              <w:bidi w:val="0"/>
              <w:spacing w:before="0" w:after="283"/>
              <w:jc w:val="left"/>
              <w:rPr>
                <w:color w:val="000000"/>
              </w:rPr>
            </w:pPr>
            <w:r>
              <w:rPr>
                <w:color w:val="000000"/>
              </w:rPr>
              <w:t> </w:t>
            </w:r>
            <w:bookmarkStart w:id="377" w:name="xdx_498_20220101__20220930_zqaRbjzRXWsa"/>
            <w:bookmarkEnd w:id="377"/>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84" w:type="dxa"/>
            <w:tcBorders/>
            <w:vAlign w:val="center"/>
          </w:tcPr>
          <w:p>
            <w:pPr>
              <w:pStyle w:val="TableContents"/>
              <w:bidi w:val="0"/>
              <w:spacing w:before="0" w:after="283"/>
              <w:jc w:val="left"/>
              <w:rPr>
                <w:color w:val="000000"/>
              </w:rPr>
            </w:pPr>
            <w:r>
              <w:rPr>
                <w:color w:val="000000"/>
              </w:rPr>
              <w:t> </w:t>
            </w:r>
          </w:p>
        </w:tc>
      </w:tr>
      <w:tr>
        <w:trPr/>
        <w:tc>
          <w:tcPr>
            <w:tcW w:w="40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998" w:type="dxa"/>
            <w:gridSpan w:val="6"/>
            <w:tcBorders/>
            <w:vAlign w:val="center"/>
          </w:tcPr>
          <w:p>
            <w:pPr>
              <w:pStyle w:val="TableContents"/>
              <w:bidi w:val="0"/>
              <w:spacing w:before="0" w:after="283"/>
              <w:jc w:val="center"/>
              <w:rPr>
                <w:b/>
                <w:color w:val="000000"/>
              </w:rPr>
            </w:pPr>
            <w:r>
              <w:rPr>
                <w:b/>
                <w:color w:val="000000"/>
              </w:rPr>
              <w:t>For the Three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68" w:type="dxa"/>
            <w:gridSpan w:val="6"/>
            <w:tcBorders/>
            <w:vAlign w:val="center"/>
          </w:tcPr>
          <w:p>
            <w:pPr>
              <w:pStyle w:val="TableContents"/>
              <w:bidi w:val="0"/>
              <w:spacing w:before="0" w:after="283"/>
              <w:jc w:val="center"/>
              <w:rPr>
                <w:b/>
                <w:color w:val="000000"/>
              </w:rPr>
            </w:pPr>
            <w:r>
              <w:rPr>
                <w:b/>
                <w:color w:val="000000"/>
              </w:rPr>
              <w:t>For the Nine Months Ended</w:t>
            </w:r>
          </w:p>
        </w:tc>
        <w:tc>
          <w:tcPr>
            <w:tcW w:w="84" w:type="dxa"/>
            <w:tcBorders/>
            <w:vAlign w:val="center"/>
          </w:tcPr>
          <w:p>
            <w:pPr>
              <w:pStyle w:val="TableContents"/>
              <w:bidi w:val="0"/>
              <w:spacing w:before="0" w:after="283"/>
              <w:jc w:val="left"/>
              <w:rPr>
                <w:color w:val="000000"/>
              </w:rPr>
            </w:pPr>
            <w:r>
              <w:rPr>
                <w:color w:val="000000"/>
              </w:rPr>
              <w:t> </w:t>
            </w:r>
          </w:p>
        </w:tc>
      </w:tr>
      <w:tr>
        <w:trPr/>
        <w:tc>
          <w:tcPr>
            <w:tcW w:w="40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998"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68"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84" w:type="dxa"/>
            <w:tcBorders/>
            <w:vAlign w:val="center"/>
          </w:tcPr>
          <w:p>
            <w:pPr>
              <w:pStyle w:val="TableContents"/>
              <w:bidi w:val="0"/>
              <w:spacing w:before="0" w:after="283"/>
              <w:jc w:val="left"/>
              <w:rPr>
                <w:color w:val="000000"/>
              </w:rPr>
            </w:pPr>
            <w:r>
              <w:rPr>
                <w:color w:val="000000"/>
              </w:rPr>
              <w:t> </w:t>
            </w:r>
          </w:p>
        </w:tc>
      </w:tr>
      <w:tr>
        <w:trPr/>
        <w:tc>
          <w:tcPr>
            <w:tcW w:w="40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8" w:type="dxa"/>
            <w:tcBorders/>
            <w:vAlign w:val="center"/>
          </w:tcPr>
          <w:p>
            <w:pPr>
              <w:pStyle w:val="TableContents"/>
              <w:bidi w:val="0"/>
              <w:spacing w:before="0" w:after="283"/>
              <w:jc w:val="left"/>
              <w:rPr>
                <w:color w:val="000000"/>
              </w:rPr>
            </w:pPr>
            <w:r>
              <w:rPr>
                <w:color w:val="000000"/>
              </w:rPr>
              <w:t> </w:t>
            </w:r>
          </w:p>
        </w:tc>
        <w:tc>
          <w:tcPr>
            <w:tcW w:w="68" w:type="dxa"/>
            <w:tcBorders/>
            <w:vAlign w:val="center"/>
          </w:tcPr>
          <w:p>
            <w:pPr>
              <w:pStyle w:val="TableContents"/>
              <w:bidi w:val="0"/>
              <w:spacing w:before="0" w:after="283"/>
              <w:jc w:val="left"/>
              <w:rPr>
                <w:color w:val="000000"/>
              </w:rPr>
            </w:pPr>
            <w:r>
              <w:rPr>
                <w:color w:val="000000"/>
              </w:rPr>
              <w:t> </w:t>
            </w:r>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5" w:type="dxa"/>
            <w:tcBorders/>
            <w:vAlign w:val="center"/>
          </w:tcPr>
          <w:p>
            <w:pPr>
              <w:pStyle w:val="TableContents"/>
              <w:bidi w:val="0"/>
              <w:spacing w:before="0" w:after="283"/>
              <w:jc w:val="left"/>
              <w:rPr>
                <w:color w:val="000000"/>
              </w:rPr>
            </w:pPr>
            <w:r>
              <w:rPr>
                <w:color w:val="000000"/>
              </w:rPr>
              <w:t> </w:t>
            </w:r>
          </w:p>
        </w:tc>
        <w:tc>
          <w:tcPr>
            <w:tcW w:w="65" w:type="dxa"/>
            <w:tcBorders/>
            <w:vAlign w:val="center"/>
          </w:tcPr>
          <w:p>
            <w:pPr>
              <w:pStyle w:val="TableContents"/>
              <w:bidi w:val="0"/>
              <w:spacing w:before="0" w:after="283"/>
              <w:jc w:val="left"/>
              <w:rPr>
                <w:color w:val="000000"/>
              </w:rPr>
            </w:pPr>
            <w:r>
              <w:rPr>
                <w:color w:val="000000"/>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84" w:type="dxa"/>
            <w:tcBorders/>
            <w:vAlign w:val="center"/>
          </w:tcPr>
          <w:p>
            <w:pPr>
              <w:pStyle w:val="TableContents"/>
              <w:bidi w:val="0"/>
              <w:spacing w:before="0" w:after="283"/>
              <w:jc w:val="left"/>
              <w:rPr>
                <w:color w:val="000000"/>
              </w:rPr>
            </w:pPr>
            <w:r>
              <w:rPr>
                <w:color w:val="000000"/>
              </w:rPr>
              <w:t> </w:t>
            </w:r>
            <w:bookmarkStart w:id="378" w:name="xdx_40A_eus-gaap--RevenueFromContractWit"/>
            <w:bookmarkEnd w:id="378"/>
          </w:p>
        </w:tc>
      </w:tr>
      <w:tr>
        <w:trPr/>
        <w:tc>
          <w:tcPr>
            <w:tcW w:w="4075" w:type="dxa"/>
            <w:tcBorders/>
            <w:shd w:fill="CCEEFF" w:val="clear"/>
            <w:vAlign w:val="center"/>
          </w:tcPr>
          <w:p>
            <w:pPr>
              <w:pStyle w:val="TableContents"/>
              <w:bidi w:val="0"/>
              <w:spacing w:before="0" w:after="283"/>
              <w:jc w:val="left"/>
              <w:rPr>
                <w:b/>
                <w:color w:val="000000"/>
              </w:rPr>
            </w:pPr>
            <w:r>
              <w:rPr>
                <w:b/>
                <w:color w:val="000000"/>
              </w:rPr>
              <w:t>Product sales,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1" w:type="dxa"/>
            <w:tcBorders/>
            <w:shd w:fill="CCEEFF" w:val="clear"/>
            <w:vAlign w:val="center"/>
          </w:tcPr>
          <w:p>
            <w:pPr>
              <w:pStyle w:val="TableContents"/>
              <w:bidi w:val="0"/>
              <w:spacing w:before="0" w:after="283"/>
              <w:jc w:val="left"/>
              <w:rPr>
                <w:color w:val="000000"/>
              </w:rPr>
            </w:pPr>
            <w:r>
              <w:rPr>
                <w:color w:val="000000"/>
              </w:rPr>
              <w:t>$</w:t>
            </w:r>
          </w:p>
        </w:tc>
        <w:tc>
          <w:tcPr>
            <w:tcW w:w="1270" w:type="dxa"/>
            <w:tcBorders/>
            <w:shd w:fill="CCEEFF" w:val="clear"/>
            <w:vAlign w:val="center"/>
          </w:tcPr>
          <w:p>
            <w:pPr>
              <w:pStyle w:val="TableContents"/>
              <w:bidi w:val="0"/>
              <w:spacing w:before="0" w:after="283"/>
              <w:jc w:val="right"/>
              <w:rPr>
                <w:color w:val="000000"/>
              </w:rPr>
            </w:pPr>
            <w:r>
              <w:rPr>
                <w:color w:val="000000"/>
              </w:rPr>
              <w:t>31,809,000</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61" w:type="dxa"/>
            <w:tcBorders/>
            <w:shd w:fill="CCEEFF" w:val="clear"/>
            <w:vAlign w:val="center"/>
          </w:tcPr>
          <w:p>
            <w:pPr>
              <w:pStyle w:val="TableContents"/>
              <w:bidi w:val="0"/>
              <w:spacing w:before="0" w:after="283"/>
              <w:jc w:val="left"/>
              <w:rPr>
                <w:color w:val="000000"/>
              </w:rPr>
            </w:pPr>
            <w:r>
              <w:rPr>
                <w:color w:val="000000"/>
              </w:rPr>
              <w:t>$</w:t>
            </w:r>
          </w:p>
        </w:tc>
        <w:tc>
          <w:tcPr>
            <w:tcW w:w="1270" w:type="dxa"/>
            <w:tcBorders/>
            <w:shd w:fill="CCEEFF" w:val="clear"/>
            <w:vAlign w:val="center"/>
          </w:tcPr>
          <w:p>
            <w:pPr>
              <w:pStyle w:val="TableContents"/>
              <w:bidi w:val="0"/>
              <w:spacing w:before="0" w:after="283"/>
              <w:jc w:val="right"/>
              <w:rPr>
                <w:color w:val="000000"/>
              </w:rPr>
            </w:pPr>
            <w:r>
              <w:rPr>
                <w:color w:val="000000"/>
              </w:rPr>
              <w:t>21,575,000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w:t>
            </w:r>
          </w:p>
        </w:tc>
        <w:tc>
          <w:tcPr>
            <w:tcW w:w="1215" w:type="dxa"/>
            <w:tcBorders/>
            <w:shd w:fill="CCEEFF" w:val="clear"/>
            <w:vAlign w:val="center"/>
          </w:tcPr>
          <w:p>
            <w:pPr>
              <w:pStyle w:val="TableContents"/>
              <w:bidi w:val="0"/>
              <w:spacing w:before="0" w:after="283"/>
              <w:jc w:val="right"/>
              <w:rPr>
                <w:color w:val="000000"/>
              </w:rPr>
            </w:pPr>
            <w:r>
              <w:rPr>
                <w:color w:val="000000"/>
              </w:rPr>
              <w:t>81,804,000</w:t>
            </w:r>
          </w:p>
        </w:tc>
        <w:tc>
          <w:tcPr>
            <w:tcW w:w="65" w:type="dxa"/>
            <w:tcBorders/>
            <w:shd w:fill="CCEEFF" w:val="clear"/>
            <w:vAlign w:val="center"/>
          </w:tcPr>
          <w:p>
            <w:pPr>
              <w:pStyle w:val="TableContents"/>
              <w:bidi w:val="0"/>
              <w:spacing w:before="0" w:after="283"/>
              <w:jc w:val="left"/>
              <w:rPr>
                <w:color w:val="000000"/>
              </w:rPr>
            </w:pPr>
            <w:r>
              <w:rPr>
                <w:color w:val="000000"/>
              </w:rPr>
              <w:t> </w:t>
            </w:r>
          </w:p>
        </w:tc>
        <w:tc>
          <w:tcPr>
            <w:tcW w:w="65"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w:t>
            </w:r>
          </w:p>
        </w:tc>
        <w:tc>
          <w:tcPr>
            <w:tcW w:w="1215" w:type="dxa"/>
            <w:tcBorders/>
            <w:shd w:fill="CCEEFF" w:val="clear"/>
            <w:vAlign w:val="center"/>
          </w:tcPr>
          <w:p>
            <w:pPr>
              <w:pStyle w:val="TableContents"/>
              <w:bidi w:val="0"/>
              <w:spacing w:before="0" w:after="283"/>
              <w:jc w:val="right"/>
              <w:rPr>
                <w:color w:val="000000"/>
              </w:rPr>
            </w:pPr>
            <w:r>
              <w:rPr>
                <w:color w:val="000000"/>
              </w:rPr>
              <w:t>63,433,000</w:t>
            </w:r>
          </w:p>
        </w:tc>
        <w:tc>
          <w:tcPr>
            <w:tcW w:w="84" w:type="dxa"/>
            <w:tcBorders/>
            <w:shd w:fill="CCEEFF" w:val="clear"/>
            <w:vAlign w:val="center"/>
          </w:tcPr>
          <w:p>
            <w:pPr>
              <w:pStyle w:val="TableContents"/>
              <w:bidi w:val="0"/>
              <w:spacing w:before="0" w:after="283"/>
              <w:jc w:val="left"/>
              <w:rPr>
                <w:color w:val="000000"/>
              </w:rPr>
            </w:pPr>
            <w:r>
              <w:rPr>
                <w:color w:val="000000"/>
              </w:rPr>
              <w:t> </w:t>
            </w:r>
            <w:bookmarkStart w:id="379" w:name="xdx_40F_eus-gaap--RevenueFromContractWit"/>
            <w:bookmarkEnd w:id="379"/>
          </w:p>
        </w:tc>
      </w:tr>
      <w:tr>
        <w:trPr/>
        <w:tc>
          <w:tcPr>
            <w:tcW w:w="4075" w:type="dxa"/>
            <w:tcBorders/>
            <w:shd w:fill="FFFFFF" w:val="clear"/>
            <w:vAlign w:val="center"/>
          </w:tcPr>
          <w:p>
            <w:pPr>
              <w:pStyle w:val="TableContents"/>
              <w:bidi w:val="0"/>
              <w:spacing w:before="0" w:after="283"/>
              <w:jc w:val="left"/>
              <w:rPr>
                <w:b/>
                <w:color w:val="000000"/>
              </w:rPr>
            </w:pPr>
            <w:r>
              <w:rPr>
                <w:b/>
                <w:color w:val="000000"/>
              </w:rPr>
              <w:t>Commission revenues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1" w:type="dxa"/>
            <w:tcBorders/>
            <w:shd w:fill="FFFFFF" w:val="clear"/>
            <w:vAlign w:val="center"/>
          </w:tcPr>
          <w:p>
            <w:pPr>
              <w:pStyle w:val="TableContents"/>
              <w:bidi w:val="0"/>
              <w:spacing w:before="0" w:after="283"/>
              <w:jc w:val="left"/>
              <w:rPr>
                <w:color w:val="000000"/>
              </w:rPr>
            </w:pPr>
            <w:r>
              <w:rPr>
                <w:color w:val="000000"/>
              </w:rPr>
              <w:t> </w:t>
            </w:r>
          </w:p>
        </w:tc>
        <w:tc>
          <w:tcPr>
            <w:tcW w:w="1270" w:type="dxa"/>
            <w:tcBorders/>
            <w:shd w:fill="FFFFFF" w:val="clear"/>
            <w:vAlign w:val="center"/>
          </w:tcPr>
          <w:p>
            <w:pPr>
              <w:pStyle w:val="TableContents"/>
              <w:bidi w:val="0"/>
              <w:spacing w:before="0" w:after="283"/>
              <w:jc w:val="right"/>
              <w:rPr>
                <w:color w:val="000000"/>
              </w:rPr>
            </w:pPr>
            <w:r>
              <w:rPr>
                <w:color w:val="000000"/>
              </w:rPr>
              <w:t>-</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161" w:type="dxa"/>
            <w:tcBorders/>
            <w:shd w:fill="FFFFFF" w:val="clear"/>
            <w:vAlign w:val="center"/>
          </w:tcPr>
          <w:p>
            <w:pPr>
              <w:pStyle w:val="TableContents"/>
              <w:bidi w:val="0"/>
              <w:spacing w:before="0" w:after="283"/>
              <w:jc w:val="left"/>
              <w:rPr>
                <w:color w:val="000000"/>
              </w:rPr>
            </w:pPr>
            <w:r>
              <w:rPr>
                <w:color w:val="000000"/>
              </w:rPr>
              <w:t> </w:t>
            </w:r>
          </w:p>
        </w:tc>
        <w:tc>
          <w:tcPr>
            <w:tcW w:w="1270" w:type="dxa"/>
            <w:tcBorders/>
            <w:shd w:fill="FFFFFF" w:val="clear"/>
            <w:vAlign w:val="center"/>
          </w:tcPr>
          <w:p>
            <w:pPr>
              <w:pStyle w:val="TableContents"/>
              <w:bidi w:val="0"/>
              <w:spacing w:before="0" w:after="283"/>
              <w:jc w:val="right"/>
              <w:rPr>
                <w:color w:val="000000"/>
              </w:rPr>
            </w:pPr>
            <w:r>
              <w:rPr>
                <w:color w:val="000000"/>
              </w:rPr>
              <w:t>1,044,000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1215" w:type="dxa"/>
            <w:tcBorders/>
            <w:shd w:fill="FFFFFF" w:val="clear"/>
            <w:vAlign w:val="center"/>
          </w:tcPr>
          <w:p>
            <w:pPr>
              <w:pStyle w:val="TableContents"/>
              <w:bidi w:val="0"/>
              <w:spacing w:before="0" w:after="283"/>
              <w:jc w:val="right"/>
              <w:rPr>
                <w:color w:val="000000"/>
              </w:rPr>
            </w:pPr>
            <w:r>
              <w:rPr>
                <w:color w:val="000000"/>
              </w:rPr>
              <w:t>-</w:t>
            </w:r>
          </w:p>
        </w:tc>
        <w:tc>
          <w:tcPr>
            <w:tcW w:w="65" w:type="dxa"/>
            <w:tcBorders/>
            <w:shd w:fill="FFFFFF" w:val="clear"/>
            <w:vAlign w:val="center"/>
          </w:tcPr>
          <w:p>
            <w:pPr>
              <w:pStyle w:val="TableContents"/>
              <w:bidi w:val="0"/>
              <w:spacing w:before="0" w:after="283"/>
              <w:jc w:val="left"/>
              <w:rPr>
                <w:color w:val="000000"/>
              </w:rPr>
            </w:pPr>
            <w:r>
              <w:rPr>
                <w:color w:val="000000"/>
              </w:rPr>
              <w:t> </w:t>
            </w:r>
          </w:p>
        </w:tc>
        <w:tc>
          <w:tcPr>
            <w:tcW w:w="65"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color w:val="000000"/>
              </w:rPr>
            </w:pPr>
            <w:r>
              <w:rPr>
                <w:color w:val="000000"/>
              </w:rPr>
              <w:t> </w:t>
            </w:r>
          </w:p>
        </w:tc>
        <w:tc>
          <w:tcPr>
            <w:tcW w:w="1215" w:type="dxa"/>
            <w:tcBorders/>
            <w:shd w:fill="FFFFFF" w:val="clear"/>
            <w:vAlign w:val="center"/>
          </w:tcPr>
          <w:p>
            <w:pPr>
              <w:pStyle w:val="TableContents"/>
              <w:bidi w:val="0"/>
              <w:spacing w:before="0" w:after="283"/>
              <w:jc w:val="right"/>
              <w:rPr>
                <w:color w:val="000000"/>
              </w:rPr>
            </w:pPr>
            <w:r>
              <w:rPr>
                <w:color w:val="000000"/>
              </w:rPr>
              <w:t>3,576,000</w:t>
            </w:r>
          </w:p>
        </w:tc>
        <w:tc>
          <w:tcPr>
            <w:tcW w:w="84" w:type="dxa"/>
            <w:tcBorders/>
            <w:shd w:fill="FFFFFF" w:val="clear"/>
            <w:vAlign w:val="center"/>
          </w:tcPr>
          <w:p>
            <w:pPr>
              <w:pStyle w:val="TableContents"/>
              <w:bidi w:val="0"/>
              <w:spacing w:before="0" w:after="283"/>
              <w:jc w:val="left"/>
              <w:rPr>
                <w:color w:val="000000"/>
              </w:rPr>
            </w:pPr>
            <w:r>
              <w:rPr>
                <w:color w:val="000000"/>
              </w:rPr>
              <w:t> </w:t>
            </w:r>
            <w:bookmarkStart w:id="380" w:name="xdx_40F_eus-gaap--RevenueFromContractWit"/>
            <w:bookmarkEnd w:id="380"/>
          </w:p>
        </w:tc>
      </w:tr>
      <w:tr>
        <w:trPr/>
        <w:tc>
          <w:tcPr>
            <w:tcW w:w="4075" w:type="dxa"/>
            <w:tcBorders/>
            <w:shd w:fill="CCEEFF" w:val="clear"/>
            <w:vAlign w:val="center"/>
          </w:tcPr>
          <w:p>
            <w:pPr>
              <w:pStyle w:val="TableContents"/>
              <w:bidi w:val="0"/>
              <w:spacing w:before="0" w:after="283"/>
              <w:jc w:val="left"/>
              <w:rPr>
                <w:b/>
                <w:color w:val="000000"/>
              </w:rPr>
            </w:pPr>
            <w:r>
              <w:rPr>
                <w:b/>
                <w:color w:val="000000"/>
              </w:rPr>
              <w:t>Transfer of acquired product sales/profit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7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2,456,000</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7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204,000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12,034,000</w:t>
            </w:r>
          </w:p>
        </w:tc>
        <w:tc>
          <w:tcPr>
            <w:tcW w:w="65" w:type="dxa"/>
            <w:tcBorders/>
            <w:shd w:fill="CCEEFF" w:val="clear"/>
            <w:vAlign w:val="center"/>
          </w:tcPr>
          <w:p>
            <w:pPr>
              <w:pStyle w:val="TableContents"/>
              <w:bidi w:val="0"/>
              <w:spacing w:before="0" w:after="283"/>
              <w:jc w:val="left"/>
              <w:rPr>
                <w:color w:val="000000"/>
              </w:rPr>
            </w:pPr>
            <w:r>
              <w:rPr>
                <w:color w:val="000000"/>
              </w:rPr>
              <w:t> </w:t>
            </w:r>
          </w:p>
        </w:tc>
        <w:tc>
          <w:tcPr>
            <w:tcW w:w="65"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1,257,000</w:t>
            </w:r>
          </w:p>
        </w:tc>
        <w:tc>
          <w:tcPr>
            <w:tcW w:w="84" w:type="dxa"/>
            <w:tcBorders/>
            <w:shd w:fill="CCEEFF" w:val="clear"/>
            <w:vAlign w:val="center"/>
          </w:tcPr>
          <w:p>
            <w:pPr>
              <w:pStyle w:val="TableContents"/>
              <w:bidi w:val="0"/>
              <w:spacing w:before="0" w:after="283"/>
              <w:jc w:val="left"/>
              <w:rPr>
                <w:color w:val="000000"/>
              </w:rPr>
            </w:pPr>
            <w:r>
              <w:rPr>
                <w:color w:val="000000"/>
              </w:rPr>
              <w:t> </w:t>
            </w:r>
            <w:bookmarkStart w:id="381" w:name="xdx_405_eus-gaap--RevenueFromContractWit"/>
            <w:bookmarkEnd w:id="381"/>
          </w:p>
        </w:tc>
      </w:tr>
      <w:tr>
        <w:trPr/>
        <w:tc>
          <w:tcPr>
            <w:tcW w:w="4075" w:type="dxa"/>
            <w:tcBorders/>
            <w:shd w:fill="FFFFFF" w:val="clear"/>
            <w:vAlign w:val="center"/>
          </w:tcPr>
          <w:p>
            <w:pPr>
              <w:pStyle w:val="TableContents"/>
              <w:bidi w:val="0"/>
              <w:spacing w:before="0" w:after="283"/>
              <w:jc w:val="left"/>
              <w:rPr>
                <w:b/>
                <w:color w:val="000000"/>
              </w:rPr>
            </w:pPr>
            <w:r>
              <w:rPr>
                <w:b/>
                <w:color w:val="000000"/>
              </w:rPr>
              <w:t>Total revenues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34,265,000</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22,823,000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93,838,000</w:t>
            </w:r>
          </w:p>
        </w:tc>
        <w:tc>
          <w:tcPr>
            <w:tcW w:w="65" w:type="dxa"/>
            <w:tcBorders/>
            <w:shd w:fill="FFFFFF" w:val="clear"/>
            <w:vAlign w:val="center"/>
          </w:tcPr>
          <w:p>
            <w:pPr>
              <w:pStyle w:val="TableContents"/>
              <w:bidi w:val="0"/>
              <w:spacing w:before="0" w:after="283"/>
              <w:jc w:val="left"/>
              <w:rPr>
                <w:color w:val="000000"/>
              </w:rPr>
            </w:pPr>
            <w:r>
              <w:rPr>
                <w:color w:val="000000"/>
              </w:rPr>
              <w:t> </w:t>
            </w:r>
          </w:p>
        </w:tc>
        <w:tc>
          <w:tcPr>
            <w:tcW w:w="65"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68,266,000</w:t>
            </w:r>
          </w:p>
        </w:tc>
        <w:tc>
          <w:tcPr>
            <w:tcW w:w="84"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382" w:name="xdx_8AE_zIz1Ht0ZzIDg"/>
      <w:bookmarkEnd w:id="382"/>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Deferred revenue and customer deposits at September 30, 2023 and December 31, 2022 were $</w:t>
      </w:r>
      <w:bookmarkStart w:id="383" w:name="xdx_909_eus-gaap--ContractWithCustomerLi"/>
      <w:bookmarkEnd w:id="383"/>
      <w:r>
        <w:rPr>
          <w:rFonts w:ascii="Times New Roman;Times;Serif" w:hAnsi="Times New Roman;Times;Serif"/>
          <w:b w:val="false"/>
          <w:i w:val="false"/>
          <w:caps w:val="false"/>
          <w:smallCaps w:val="false"/>
          <w:color w:val="000000"/>
          <w:sz w:val="20"/>
        </w:rPr>
        <w:t>153,000 and $</w:t>
      </w:r>
      <w:bookmarkStart w:id="384" w:name="xdx_90C_eus-gaap--ContractWithCustomerLi"/>
      <w:bookmarkEnd w:id="384"/>
      <w:r>
        <w:rPr>
          <w:rFonts w:ascii="Times New Roman;Times;Serif" w:hAnsi="Times New Roman;Times;Serif"/>
          <w:b w:val="false"/>
          <w:i w:val="false"/>
          <w:caps w:val="false"/>
          <w:smallCaps w:val="false"/>
          <w:color w:val="000000"/>
          <w:sz w:val="20"/>
        </w:rPr>
        <w:t>113,000, respectively. All deferred revenue and customer deposit amounts at December 31, 2022 were recognized as revenue during the nine months ended September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385" w:name="xdx_80F_ecustom--RecentProductAcquisitio"/>
      <w:bookmarkEnd w:id="385"/>
      <w:r>
        <w:rPr>
          <w:rFonts w:ascii="Times New Roman;Times;Serif" w:hAnsi="Times New Roman;Times;Serif"/>
          <w:b/>
          <w:i w:val="false"/>
          <w:caps w:val="false"/>
          <w:smallCaps w:val="false"/>
          <w:color w:val="000000"/>
          <w:sz w:val="20"/>
        </w:rPr>
        <w:t xml:space="preserve">NOTE 4. </w:t>
      </w:r>
      <w:bookmarkStart w:id="386" w:name="xdx_82F_z0GxpbeFxiVi"/>
      <w:bookmarkEnd w:id="386"/>
      <w:r>
        <w:rPr>
          <w:rFonts w:ascii="Times New Roman;Times;Serif" w:hAnsi="Times New Roman;Times;Serif"/>
          <w:b/>
          <w:i w:val="false"/>
          <w:caps w:val="false"/>
          <w:smallCaps w:val="false"/>
          <w:color w:val="000000"/>
          <w:sz w:val="20"/>
        </w:rPr>
        <w:t>RECENT PRODUCT ACQUISITIONS, LICENSES AND DIVESTITURES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Acquisition of VEVYE</w:t>
      </w:r>
      <w:r>
        <w:rPr>
          <w:rFonts w:ascii="Times New Roman;Times;Serif" w:hAnsi="Times New Roman;Times;Serif"/>
          <w:b w:val="false"/>
          <w:i/>
          <w:caps w:val="false"/>
          <w:smallCaps w:val="false"/>
          <w:color w:val="000000"/>
          <w:position w:val="7"/>
          <w:sz w:val="16"/>
          <w:sz w:val="20"/>
        </w:rPr>
        <w:t>TM</w:t>
      </w:r>
      <w:r>
        <w:rPr>
          <w:rFonts w:ascii="Times New Roman;Times;Serif" w:hAnsi="Times New Roman;Times;Serif"/>
          <w:b w:val="false"/>
          <w:i/>
          <w:caps w:val="false"/>
          <w:smallCaps w:val="false"/>
          <w:color w:val="000000"/>
          <w:sz w:val="20"/>
        </w:rPr>
        <w:t xml:space="preserve"> U.S. and Canadian Commercial Rights</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July 2023, the Company acquired commercial rights of VEVYE (cyclosporine ophthalmic solution) </w:t>
      </w:r>
      <w:bookmarkStart w:id="387" w:name="xdx_901_eus-gaap--BusinessAcquisitionPer"/>
      <w:bookmarkEnd w:id="387"/>
      <w:r>
        <w:rPr>
          <w:rFonts w:ascii="Times New Roman;Times;Serif" w:hAnsi="Times New Roman;Times;Serif"/>
          <w:b w:val="false"/>
          <w:i w:val="false"/>
          <w:caps w:val="false"/>
          <w:smallCaps w:val="false"/>
          <w:color w:val="000000"/>
          <w:sz w:val="20"/>
        </w:rPr>
        <w:t>0.1%, an ophthalmic drug product, for the U.S. and Canadian markets (the “VEVYE Acquisition”). The Company acquired the commercial rights to VEVYE by entering into a license agreement with Novaliq GmbH (“Novaliq”). As consideration, the Company made initial payments to Novaliq totaling $</w:t>
      </w:r>
      <w:bookmarkStart w:id="388" w:name="xdx_906_eus-gaap--PaymentsForRoyalties_c"/>
      <w:bookmarkEnd w:id="388"/>
      <w:r>
        <w:rPr>
          <w:rFonts w:ascii="Times New Roman;Times;Serif" w:hAnsi="Times New Roman;Times;Serif"/>
          <w:b w:val="false"/>
          <w:i w:val="false"/>
          <w:caps w:val="false"/>
          <w:smallCaps w:val="false"/>
          <w:color w:val="000000"/>
          <w:sz w:val="20"/>
        </w:rPr>
        <w:t>8,000,000 and will pay low double-digit royalties on net sales of VEVYE along with potential commercial milestone payments.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accounted for the VEVYE Acquisition as an acquisition of assets and capitalized the initial payments of $</w:t>
      </w:r>
      <w:bookmarkStart w:id="389" w:name="xdx_909_eus-gaap--BusinessCombinationSep"/>
      <w:bookmarkEnd w:id="389"/>
      <w:r>
        <w:rPr>
          <w:rFonts w:ascii="Times New Roman;Times;Serif" w:hAnsi="Times New Roman;Times;Serif"/>
          <w:b w:val="false"/>
          <w:i w:val="false"/>
          <w:caps w:val="false"/>
          <w:smallCaps w:val="false"/>
          <w:color w:val="000000"/>
          <w:sz w:val="20"/>
        </w:rPr>
        <w:t>8,000,000 and costs of $</w:t>
      </w:r>
      <w:bookmarkStart w:id="390" w:name="xdx_90E_eus-gaap--BusinessCombinationRec"/>
      <w:bookmarkEnd w:id="390"/>
      <w:r>
        <w:rPr>
          <w:rFonts w:ascii="Times New Roman;Times;Serif" w:hAnsi="Times New Roman;Times;Serif"/>
          <w:b w:val="false"/>
          <w:i w:val="false"/>
          <w:caps w:val="false"/>
          <w:smallCaps w:val="false"/>
          <w:color w:val="000000"/>
          <w:sz w:val="20"/>
        </w:rPr>
        <w:t>70,000 associated with the transaction.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Acquisition of Certain U.S. and Canadian Commercial Rights to Santen and Eyevance Products</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the Company entered into an Asset Purchase Agreement with Eyevance Pharmaceuticals, LLC and a License Agreement with Santen S.A.S. (collectively, the “Santen Agreements”), each a subsidiary of Santen Pharmaceuticals Co., Ltd. (collectively, “Santen”). Pursuant to the Santen Agreements, the Company acquired the exclusive commercial rights to assets associated with the following ophthalmic products (collectively, the “Santen Products”): FLAREX, NATACYN, ZERVIATE, VERKAZIA and FRESHKOTE in the US, and VERKAZIA and CATIONORM PLUS in Canada.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transactions pursuant to the Santen Agreements are referred to in these notes as the “Santen Products Acquisition.”</w:t>
      </w:r>
    </w:p>
    <w:p>
      <w:pPr>
        <w:pStyle w:val="TextBody"/>
        <w:bidi w:val="0"/>
        <w:spacing w:before="0" w:after="0"/>
        <w:ind w:left="36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the terms of the Santen Agreements, the Company made an initial one-time payment of $</w:t>
      </w:r>
      <w:bookmarkStart w:id="391" w:name="xdx_904_eus-gaap--PaymentsForRoyalties_c"/>
      <w:bookmarkEnd w:id="391"/>
      <w:r>
        <w:rPr>
          <w:rFonts w:ascii="Times New Roman;Times;Serif" w:hAnsi="Times New Roman;Times;Serif"/>
          <w:b w:val="false"/>
          <w:i w:val="false"/>
          <w:caps w:val="false"/>
          <w:smallCaps w:val="false"/>
          <w:color w:val="000000"/>
          <w:sz w:val="20"/>
        </w:rPr>
        <w:t>8,000,000. In addition, the Santen Agreements provide for various one-time contingent milestone payments associated with certain manufacturing-related events as well as low-double digit royalty payments on net sales of VERKAZIA and high-single digit royalty payments on net sales of CATIONORM PLUS. Under the Santen Agreements, the Company also assumed certain obligations associated with other third parties that require mid-single digit royalties on sales of FRESHKOTE and ZERVIATE. Immediately following the closing and subject to certain conditions, prior to the transfer of the Santen Products new drug applications (“NDAs”) and other marketing authorizations to the Company, Santen continued to sell the Santen Products on the Company’s behalf and transfer the net profit from the sale of the Santen Products to the Company. See Note 18 regarding the transfer of certain marketing authorizations of the Santen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assets acquired in the Santen Products Acquisition are identifiable intangible asset groups in similar asset classes and all directly related to the product NDAs and marketing authorizations acquired. The developed technology is within one major intangible asset class. No workforce/employees were included in the Santen Products Acquisition and the Company is required to utilize its own business inputs/processes to transfer and commercialize the Santen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incurred $</w:t>
      </w:r>
      <w:bookmarkStart w:id="392" w:name="xdx_90D_eus-gaap--BusinessAcquisitionCos"/>
      <w:bookmarkEnd w:id="392"/>
      <w:r>
        <w:rPr>
          <w:rFonts w:ascii="Times New Roman;Times;Serif" w:hAnsi="Times New Roman;Times;Serif"/>
          <w:b w:val="false"/>
          <w:i w:val="false"/>
          <w:caps w:val="false"/>
          <w:smallCaps w:val="false"/>
          <w:color w:val="000000"/>
          <w:sz w:val="20"/>
        </w:rPr>
        <w:t>139,000 in costs associated with the Santen Products Acquisition, and including such acquisition costs, the payment of $</w:t>
      </w:r>
      <w:bookmarkStart w:id="393" w:name="xdx_906_ecustom--MilestonePayment_c20230"/>
      <w:bookmarkEnd w:id="393"/>
      <w:r>
        <w:rPr>
          <w:rFonts w:ascii="Times New Roman;Times;Serif" w:hAnsi="Times New Roman;Times;Serif"/>
          <w:b w:val="false"/>
          <w:i w:val="false"/>
          <w:caps w:val="false"/>
          <w:smallCaps w:val="false"/>
          <w:color w:val="000000"/>
          <w:sz w:val="20"/>
        </w:rPr>
        <w:t>8,000,000 at closing and a near term milestone of $</w:t>
      </w:r>
      <w:bookmarkStart w:id="394" w:name="xdx_90B_ecustom--TermMilestonePayment_c2"/>
      <w:bookmarkEnd w:id="394"/>
      <w:r>
        <w:rPr>
          <w:rFonts w:ascii="Times New Roman;Times;Serif" w:hAnsi="Times New Roman;Times;Serif"/>
          <w:b w:val="false"/>
          <w:i w:val="false"/>
          <w:caps w:val="false"/>
          <w:smallCaps w:val="false"/>
          <w:color w:val="000000"/>
          <w:sz w:val="20"/>
        </w:rPr>
        <w:t>500,000. The total purchase price of the Santen Products Acquisition was $</w:t>
      </w:r>
      <w:bookmarkStart w:id="395" w:name="xdx_902_eus-gaap--BusinessCombinationCon"/>
      <w:bookmarkEnd w:id="395"/>
      <w:r>
        <w:rPr>
          <w:rFonts w:ascii="Times New Roman;Times;Serif" w:hAnsi="Times New Roman;Times;Serif"/>
          <w:b w:val="false"/>
          <w:i w:val="false"/>
          <w:caps w:val="false"/>
          <w:smallCaps w:val="false"/>
          <w:color w:val="000000"/>
          <w:sz w:val="20"/>
        </w:rPr>
        <w:t>8,639,000 and was accounted for as an asset acquisition. At the time of the Santen Products Acquisition and as of September 30, 2023, the remaining contingent consideration due was not considered probable and reasonably estimable and therefore, no amount was included in the purchase price of the Santen Products Acquisition. At the time the contingent consideration due becomes probable and reasonably estimable the additional consideration, if any, paid will be allocated to all of the assets on a pro rata basis based on their initial estimated fair values as a percent of the total purchase price.</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Acquisition of ILEVRO, NEVANAC, VIGAMOX, MAXIDEX, and TRIESENCE</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December 2022, the Company entered into an Asset Purchase Agreement (the “Fab 5 APA”)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 ILEVRO, NEVANAC, VIGAMOX, MAXIDEX, and TRIESENCE.</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the terms of the Fab 5 APA, the Company made a one-time payment of $</w:t>
      </w:r>
      <w:bookmarkStart w:id="396" w:name="xdx_90E_ecustom--MilestonePayment_c20230"/>
      <w:bookmarkEnd w:id="396"/>
      <w:r>
        <w:rPr>
          <w:rFonts w:ascii="Times New Roman;Times;Serif" w:hAnsi="Times New Roman;Times;Serif"/>
          <w:b w:val="false"/>
          <w:i w:val="false"/>
          <w:caps w:val="false"/>
          <w:smallCaps w:val="false"/>
          <w:color w:val="000000"/>
          <w:sz w:val="20"/>
        </w:rPr>
        <w:t>130,000,000 at closing in January 2023, with up to another $</w:t>
      </w:r>
      <w:bookmarkStart w:id="397" w:name="xdx_902_ecustom--MilestonePayment_c20230"/>
      <w:bookmarkEnd w:id="397"/>
      <w:r>
        <w:rPr>
          <w:rFonts w:ascii="Times New Roman;Times;Serif" w:hAnsi="Times New Roman;Times;Serif"/>
          <w:b w:val="false"/>
          <w:i w:val="false"/>
          <w:caps w:val="false"/>
          <w:smallCaps w:val="false"/>
          <w:color w:val="000000"/>
          <w:sz w:val="20"/>
        </w:rPr>
        <w:t>45,000,000 due in a milestone payment related to the timing of the commercial availability of TRIESENCE. Pursuant to the Fab 5 APA and various ancillary agreements, immediately following the closing and subject to certain conditions and prior to the transfer of the Fab 5 Products NDAs to the Company, Novartis will continue to sell the Fab 5 Products on the Company’s behalf and transfer the net profit from the sale of the Fab 5 Products to the Company. Novartis has agreed to supply certain Fab 5 Products to the Company for a period of time after the NDAs are transferred and to assist with technology transfer of the Fab 5 Products manufacturing to other third-party manufacturers, if needed.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assets acquired in the Fab 5 Acquisition are identifiable intangible asset groups in similar asset classes and all directly related to the five product NDAs acquired. The developed technology is within one major intangible asset class. No workforce/employees were included in the Fab 5 Acquisition and the Company is required to utilize its own business inputs/processes to transfer and commercialize the Fab 5 Products and NDAs.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incurred $</w:t>
      </w:r>
      <w:bookmarkStart w:id="398" w:name="xdx_90E_eus-gaap--BusinessAcquisitionCos"/>
      <w:bookmarkEnd w:id="398"/>
      <w:r>
        <w:rPr>
          <w:rFonts w:ascii="Times New Roman;Times;Serif" w:hAnsi="Times New Roman;Times;Serif"/>
          <w:b w:val="false"/>
          <w:i w:val="false"/>
          <w:caps w:val="false"/>
          <w:smallCaps w:val="false"/>
          <w:color w:val="000000"/>
          <w:sz w:val="20"/>
        </w:rPr>
        <w:t>558,000 in costs associated with the Fab 5 Acquisition and including such acquisition costs and the payment of $</w:t>
      </w:r>
      <w:bookmarkStart w:id="399" w:name="xdx_901_ecustom--MilestonePayment_c20230"/>
      <w:bookmarkEnd w:id="399"/>
      <w:r>
        <w:rPr>
          <w:rFonts w:ascii="Times New Roman;Times;Serif" w:hAnsi="Times New Roman;Times;Serif"/>
          <w:b w:val="false"/>
          <w:i w:val="false"/>
          <w:caps w:val="false"/>
          <w:smallCaps w:val="false"/>
          <w:color w:val="000000"/>
          <w:sz w:val="20"/>
        </w:rPr>
        <w:t>130,000,000 at closing. The total purchase price of the Fab 5 Acquisition was $</w:t>
      </w:r>
      <w:bookmarkStart w:id="400" w:name="xdx_902_eus-gaap--BusinessCombinationPri"/>
      <w:bookmarkEnd w:id="400"/>
      <w:r>
        <w:rPr>
          <w:rFonts w:ascii="Times New Roman;Times;Serif" w:hAnsi="Times New Roman;Times;Serif"/>
          <w:b w:val="false"/>
          <w:i w:val="false"/>
          <w:caps w:val="false"/>
          <w:smallCaps w:val="false"/>
          <w:color w:val="000000"/>
          <w:sz w:val="20"/>
        </w:rPr>
        <w:t xml:space="preserve">130,558,000 and was accounted for as an asset acquisition. At the time of the Fab 5 Acquisition and as of September 30, 2023, the contingent consideration due related to the commercial availability of TRIESENCE was not considered probable and reasonably estimable and, therefore, no amount was included in the purchase price of the Fab 5 Acquisition. At the time the contingent consideration due related to the commercial availability of TRIESENCE becomes probable and reasonably estimable the additional consideration, if any, paid will be allocated to all of the assets on a pro rata basis based on their initial estimated fair values as a percent of the total purchase price. The Company does not consider any amounts related to TRIESENCE to be in-process research and development (IPR&amp;D) as considered within the scope of ASC 730, </w:t>
      </w:r>
      <w:r>
        <w:rPr>
          <w:rFonts w:ascii="Times New Roman;Times;Serif" w:hAnsi="Times New Roman;Times;Serif"/>
          <w:b w:val="false"/>
          <w:i/>
          <w:caps w:val="false"/>
          <w:smallCaps w:val="false"/>
          <w:color w:val="000000"/>
          <w:sz w:val="20"/>
        </w:rPr>
        <w:t>Research and Development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Divestiture of Non-Ophthalmic Assets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October 2022, wholly-owned subsidiaries of the Company (collectively, “Imprimis”) entered into an Asset Purchase Agreement (the “RPC Agreement”) with Innovation Compounding Pharmacy, LLC (the “Buyer”). Under the terms of the RPC Agreement, Imprimis agreed to sell substantially all of its assets associated with its non-ophthalmology related compounding product line, including but not limited to, certain intellectual property rights, customer lists, databases, and formulations (the “RPC Assets”). The Buyer agreed to make offers of employment to nine of the Company’s employees that were responsible for the sales activities associated with the RPC Assets. Under the terms of the RPC Agreement, the Buyer paid Imprimis an aggregate cash amount of $</w:t>
      </w:r>
      <w:bookmarkStart w:id="401" w:name="xdx_908_eus-gaap--ProceedsFromCollaborat"/>
      <w:bookmarkEnd w:id="401"/>
      <w:r>
        <w:rPr>
          <w:rFonts w:ascii="Times New Roman;Times;Serif" w:hAnsi="Times New Roman;Times;Serif"/>
          <w:b w:val="false"/>
          <w:i w:val="false"/>
          <w:caps w:val="false"/>
          <w:smallCaps w:val="false"/>
          <w:color w:val="000000"/>
          <w:sz w:val="20"/>
        </w:rPr>
        <w:t>6,000,000 in October 2022. In addition, the Buyer is obligated to pay up to $</w:t>
      </w:r>
      <w:bookmarkStart w:id="402" w:name="xdx_903_ecustom--MilestonesReceivableBas"/>
      <w:bookmarkEnd w:id="402"/>
      <w:r>
        <w:rPr>
          <w:rFonts w:ascii="Times New Roman;Times;Serif" w:hAnsi="Times New Roman;Times;Serif"/>
          <w:b w:val="false"/>
          <w:i w:val="false"/>
          <w:caps w:val="false"/>
          <w:smallCaps w:val="false"/>
          <w:color w:val="000000"/>
          <w:sz w:val="20"/>
        </w:rPr>
        <w:t>4,500,000 to Imprimis based on mutually agreed upon revenue milestones during the calendar year 2023 (the “Contingent Amount”). During the year ended December 31, 2022, no amount related to the Contingent Amount was recognized by the Company. The Company will recognize a gain related to the Contingent Amount if/when the contingency (in this case, revenue thresholds for 2023) become likely and reasonably estimable.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connection with the RPC Agreement, Imprimis entered into a separate transition services agreement (the “RPC TSA”) with the Buyer related to providing ongoing services associated with the RPC Assets, such as procuring and dispensing prescription orders, providing accounting and billing services and collecting accounts receivable. Imprimis provided transition services to the Buyer for approximately nine months following the effective date of the RPC Agreement and expects to wind down transition services in subsequent periods. The Company collected and will continue to collect cash on behalf of the Buyer for revenue generated by sales of RPC Assets from October 2022 through the transition period and the Company is obligated to transfer cash generated by such sales to the Buyer. The Company’s condensed consolidated balance sheet as of September 30, 2023 includes accounts receivable of $</w:t>
      </w:r>
      <w:bookmarkStart w:id="403" w:name="xdx_90D_eus-gaap--Cash_iI_c20230930__us-"/>
      <w:bookmarkEnd w:id="403"/>
      <w:r>
        <w:rPr>
          <w:rFonts w:ascii="Times New Roman;Times;Serif" w:hAnsi="Times New Roman;Times;Serif"/>
          <w:b w:val="false"/>
          <w:i w:val="false"/>
          <w:caps w:val="false"/>
          <w:smallCaps w:val="false"/>
          <w:color w:val="000000"/>
          <w:sz w:val="20"/>
        </w:rPr>
        <w:t>59,000 for cash to be collected on behalf of the Buyer for sales of RPC Assets sold through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amount due from the Buyer for reimbursement of services performed under the RPC TSA as of September 30, 2023. The receivable amount of $</w:t>
      </w:r>
      <w:bookmarkStart w:id="404" w:name="xdx_901_eus-gaap--AccruedLiabilitiesCurr"/>
      <w:bookmarkEnd w:id="404"/>
      <w:r>
        <w:rPr>
          <w:rFonts w:ascii="Times New Roman;Times;Serif" w:hAnsi="Times New Roman;Times;Serif"/>
          <w:b w:val="false"/>
          <w:i w:val="false"/>
          <w:caps w:val="false"/>
          <w:smallCaps w:val="false"/>
          <w:color w:val="000000"/>
          <w:sz w:val="20"/>
        </w:rPr>
        <w:t>59,000 was additionally recorded within accrued expenses on the condensed consolidated balance sheet as of September 30, 2023, and represents a payable to the Buyer. The Company recorded a loss from the RPC TSA and disposition and sale of certain related assets and unusable inventory of $</w:t>
      </w:r>
      <w:bookmarkStart w:id="405" w:name="xdx_902_eus-gaap--GainLossOnDispositionO"/>
      <w:bookmarkEnd w:id="405"/>
      <w:r>
        <w:rPr>
          <w:rFonts w:ascii="Times New Roman;Times;Serif" w:hAnsi="Times New Roman;Times;Serif"/>
          <w:b w:val="false"/>
          <w:i w:val="false"/>
          <w:caps w:val="false"/>
          <w:smallCaps w:val="false"/>
          <w:color w:val="000000"/>
          <w:sz w:val="20"/>
        </w:rPr>
        <w:t>159,000 and $</w:t>
      </w:r>
      <w:bookmarkStart w:id="406" w:name="xdx_904_eus-gaap--InventoryGross_iI_c202"/>
      <w:bookmarkEnd w:id="406"/>
      <w:r>
        <w:rPr>
          <w:rFonts w:ascii="Times New Roman;Times;Serif" w:hAnsi="Times New Roman;Times;Serif"/>
          <w:b w:val="false"/>
          <w:i w:val="false"/>
          <w:caps w:val="false"/>
          <w:smallCaps w:val="false"/>
          <w:color w:val="000000"/>
          <w:sz w:val="20"/>
        </w:rPr>
        <w:t>330,000 during the three and nine months ended September 30, 2023, respectively, which is presented in other expense, net on the condensed consolidated statements of operations.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bookmarkStart w:id="407" w:name="xdx_80F_eus-gaap--InvestmentsInDebtAndMa"/>
      <w:bookmarkEnd w:id="407"/>
      <w:r>
        <w:rPr>
          <w:rFonts w:ascii="Times New Roman;Times;Serif" w:hAnsi="Times New Roman;Times;Serif"/>
          <w:b/>
          <w:i w:val="false"/>
          <w:caps w:val="false"/>
          <w:smallCaps w:val="false"/>
          <w:color w:val="000000"/>
          <w:sz w:val="20"/>
        </w:rPr>
        <w:t xml:space="preserve">NOTE 5. </w:t>
      </w:r>
      <w:bookmarkStart w:id="408" w:name="xdx_827_zMkdQasHjSD5"/>
      <w:bookmarkEnd w:id="408"/>
      <w:r>
        <w:rPr>
          <w:rFonts w:ascii="Times New Roman;Times;Serif" w:hAnsi="Times New Roman;Times;Serif"/>
          <w:b/>
          <w:i w:val="false"/>
          <w:caps w:val="false"/>
          <w:smallCaps w:val="false"/>
          <w:color w:val="000000"/>
          <w:sz w:val="20"/>
        </w:rPr>
        <w:t>INVESTMENT IN AND NOTE RECEIVABLE FROM MELT PHARMACEUTICALS, INC. - RELATED PARTY TRANSACTIONS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December 2018, the Company entered into an asset purchase agreement (the “Melt APA”) with Melt.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February 2019, the Company entered into a Management Service Agreement with Melt (the “Melt MSA”), whereby the Company provided to Melt certain administrative services and support, including bookkeeping, web services and human resources related activities, and Melt was required to pay the Company a monthly amount of $</w:t>
      </w:r>
      <w:bookmarkStart w:id="409" w:name="xdx_90B_eus-gaap--AdministrativeFeesExpe"/>
      <w:bookmarkEnd w:id="409"/>
      <w:r>
        <w:rPr>
          <w:rFonts w:ascii="Times New Roman;Times;Serif" w:hAnsi="Times New Roman;Times;Serif"/>
          <w:b w:val="false"/>
          <w:i w:val="false"/>
          <w:caps w:val="false"/>
          <w:smallCaps w:val="false"/>
          <w:color w:val="000000"/>
          <w:sz w:val="20"/>
        </w:rPr>
        <w:t>10,000. The Melt MSA was terminated effective July 1, 2023. During the three and nine months ended September 30, 2023 and 2022, the Company recorded $</w:t>
      </w:r>
      <w:bookmarkStart w:id="410" w:name="xdx_90F_eus-gaap--OtherExpenses_c2023070"/>
      <w:bookmarkEnd w:id="410"/>
      <w:r>
        <w:rPr>
          <w:rFonts w:ascii="Times New Roman;Times;Serif" w:hAnsi="Times New Roman;Times;Serif"/>
          <w:b w:val="false"/>
          <w:i w:val="false"/>
          <w:caps w:val="false"/>
          <w:smallCaps w:val="false"/>
          <w:color w:val="000000"/>
          <w:sz w:val="20"/>
        </w:rPr>
        <w:t>0 and $</w:t>
      </w:r>
      <w:bookmarkStart w:id="411" w:name="xdx_904_eus-gaap--OtherExpenses_c2022070"/>
      <w:bookmarkEnd w:id="411"/>
      <w:r>
        <w:rPr>
          <w:rFonts w:ascii="Times New Roman;Times;Serif" w:hAnsi="Times New Roman;Times;Serif"/>
          <w:b w:val="false"/>
          <w:i w:val="false"/>
          <w:caps w:val="false"/>
          <w:smallCaps w:val="false"/>
          <w:color w:val="000000"/>
          <w:sz w:val="20"/>
        </w:rPr>
        <w:t>89,000, and $</w:t>
      </w:r>
      <w:bookmarkStart w:id="412" w:name="xdx_906_eus-gaap--OtherExpenses_c2023010"/>
      <w:bookmarkEnd w:id="412"/>
      <w:r>
        <w:rPr>
          <w:rFonts w:ascii="Times New Roman;Times;Serif" w:hAnsi="Times New Roman;Times;Serif"/>
          <w:b w:val="false"/>
          <w:i w:val="false"/>
          <w:caps w:val="false"/>
          <w:smallCaps w:val="false"/>
          <w:color w:val="000000"/>
          <w:sz w:val="20"/>
        </w:rPr>
        <w:t>30,000 and $</w:t>
      </w:r>
      <w:bookmarkStart w:id="413" w:name="xdx_901_eus-gaap--OtherExpenses_c2022010"/>
      <w:bookmarkEnd w:id="413"/>
      <w:r>
        <w:rPr>
          <w:rFonts w:ascii="Times New Roman;Times;Serif" w:hAnsi="Times New Roman;Times;Serif"/>
          <w:b w:val="false"/>
          <w:i w:val="false"/>
          <w:caps w:val="false"/>
          <w:smallCaps w:val="false"/>
          <w:color w:val="000000"/>
          <w:sz w:val="20"/>
        </w:rPr>
        <w:t>100,000, respectively, due from Melt for reimbursable expenses and amounts payable pursuant to the Melt MSA, which are included in prepaid expenses and other current assets in the accompanying condensed consolidated balance sheets. As of September 30, 2023 and December 31, 2022, the Company was due $</w:t>
      </w:r>
      <w:bookmarkStart w:id="414" w:name="xdx_90E_eus-gaap--RepaymentsOfRelatedPar"/>
      <w:bookmarkEnd w:id="414"/>
      <w:r>
        <w:rPr>
          <w:rFonts w:ascii="Times New Roman;Times;Serif" w:hAnsi="Times New Roman;Times;Serif"/>
          <w:b w:val="false"/>
          <w:i w:val="false"/>
          <w:caps w:val="false"/>
          <w:smallCaps w:val="false"/>
          <w:color w:val="000000"/>
          <w:sz w:val="20"/>
        </w:rPr>
        <w:t>228,000 and $</w:t>
      </w:r>
      <w:bookmarkStart w:id="415" w:name="xdx_904_eus-gaap--RepaymentsOfRelatedPar"/>
      <w:bookmarkEnd w:id="415"/>
      <w:r>
        <w:rPr>
          <w:rFonts w:ascii="Times New Roman;Times;Serif" w:hAnsi="Times New Roman;Times;Serif"/>
          <w:b w:val="false"/>
          <w:i w:val="false"/>
          <w:caps w:val="false"/>
          <w:smallCaps w:val="false"/>
          <w:color w:val="000000"/>
          <w:sz w:val="20"/>
        </w:rPr>
        <w:t>139,000, respectively, from Melt for reimbursable expenses and amounts due under the Melt MSA. The Company made a cash advance to Melt of $</w:t>
      </w:r>
      <w:bookmarkStart w:id="416" w:name="xdx_907_eus-gaap--ProceedsFromRelatedPar"/>
      <w:bookmarkEnd w:id="416"/>
      <w:r>
        <w:rPr>
          <w:rFonts w:ascii="Times New Roman;Times;Serif" w:hAnsi="Times New Roman;Times;Serif"/>
          <w:b w:val="false"/>
          <w:i w:val="false"/>
          <w:caps w:val="false"/>
          <w:smallCaps w:val="false"/>
          <w:color w:val="000000"/>
          <w:sz w:val="20"/>
        </w:rPr>
        <w:t>500,000 and Melt repaid the $</w:t>
      </w:r>
      <w:bookmarkStart w:id="417" w:name="xdx_900_eus-gaap--RepaymentsOfRelatedPar"/>
      <w:bookmarkEnd w:id="417"/>
      <w:r>
        <w:rPr>
          <w:rFonts w:ascii="Times New Roman;Times;Serif" w:hAnsi="Times New Roman;Times;Serif"/>
          <w:b w:val="false"/>
          <w:i w:val="false"/>
          <w:caps w:val="false"/>
          <w:smallCaps w:val="false"/>
          <w:color w:val="000000"/>
          <w:sz w:val="20"/>
        </w:rPr>
        <w:t>500,000 cash advance during the nine months ended September 30, 2023.</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Melt sold approximately </w:t>
      </w:r>
      <w:bookmarkStart w:id="418" w:name="xdx_907_eus-gaap--StockRepurchasedDuring"/>
      <w:bookmarkEnd w:id="418"/>
      <w:r>
        <w:rPr>
          <w:rFonts w:ascii="Times New Roman;Times;Serif" w:hAnsi="Times New Roman;Times;Serif"/>
          <w:b w:val="false"/>
          <w:i w:val="false"/>
          <w:caps w:val="false"/>
          <w:smallCaps w:val="false"/>
          <w:color w:val="000000"/>
          <w:sz w:val="20"/>
        </w:rPr>
        <w:t>2,000,000 shares of its Series B Preferred Stock and raised over $</w:t>
      </w:r>
      <w:bookmarkStart w:id="419" w:name="xdx_90A_eus-gaap--ProceedsFromRelatedPar"/>
      <w:bookmarkEnd w:id="419"/>
      <w:r>
        <w:rPr>
          <w:rFonts w:ascii="Times New Roman;Times;Serif" w:hAnsi="Times New Roman;Times;Serif"/>
          <w:b w:val="false"/>
          <w:i w:val="false"/>
          <w:caps w:val="false"/>
          <w:smallCaps w:val="false"/>
          <w:color w:val="000000"/>
          <w:sz w:val="20"/>
        </w:rPr>
        <w:t>17,000,000 in gross proceeds from third party investors.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Chief Executive Officer, Mark L. Baum, was previously a member of the Melt board of directors until his resignation during the year ended December 31, 2021. Mr. Baum re-joined the Melt board of directors in January 2023. At the time Mr. Baum re-joined, the Melt board of directors consisted of five members, including Mr. Baum, who is the only representative of the Company on Melt’s board of directors.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20" w:name="xdx_892_ecustom--ScheduleOfCondensedInco"/>
      <w:bookmarkEnd w:id="420"/>
      <w:r>
        <w:rPr>
          <w:rFonts w:ascii="Times New Roman;Times;Serif" w:hAnsi="Times New Roman;Times;Serif"/>
          <w:b w:val="false"/>
          <w:i w:val="false"/>
          <w:caps w:val="false"/>
          <w:smallCaps w:val="false"/>
          <w:color w:val="000000"/>
          <w:sz w:val="20"/>
        </w:rPr>
        <w:t>The unaudited condensed results of operations information of Melt is summarized below: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21" w:name="xdx_8B4_zIMVoGk9T58a"/>
      <w:bookmarkEnd w:id="421"/>
      <w:r>
        <w:rPr>
          <w:rFonts w:ascii="Times New Roman;Times;Serif" w:hAnsi="Times New Roman;Times;Serif"/>
          <w:b w:val="false"/>
          <w:i w:val="false"/>
          <w:caps w:val="false"/>
          <w:smallCaps w:val="false"/>
          <w:color w:val="000000"/>
          <w:sz w:val="20"/>
        </w:rPr>
        <w:t>SCHEDULE OF CONDENSED INCOME STATEMENT</w:t>
      </w:r>
    </w:p>
    <w:tbl>
      <w:tblPr>
        <w:tblW w:w="4865" w:type="dxa"/>
        <w:jc w:val="left"/>
        <w:tblInd w:w="0" w:type="dxa"/>
        <w:tblLayout w:type="fixed"/>
        <w:tblCellMar>
          <w:top w:w="0" w:type="dxa"/>
          <w:left w:w="0" w:type="dxa"/>
          <w:bottom w:w="0" w:type="dxa"/>
          <w:right w:w="0" w:type="dxa"/>
        </w:tblCellMar>
      </w:tblPr>
      <w:tblGrid>
        <w:gridCol w:w="2030"/>
        <w:gridCol w:w="60"/>
        <w:gridCol w:w="140"/>
        <w:gridCol w:w="1055"/>
        <w:gridCol w:w="95"/>
        <w:gridCol w:w="60"/>
        <w:gridCol w:w="140"/>
        <w:gridCol w:w="1175"/>
        <w:gridCol w:w="110"/>
      </w:tblGrid>
      <w:tr>
        <w:trPr/>
        <w:tc>
          <w:tcPr>
            <w:tcW w:w="2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22" w:name="xdx_49B_20230101__20230930__dei--LegalEn"/>
            <w:bookmarkEnd w:id="422"/>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23" w:name="xdx_494_20220101__20220930__dei--LegalEn"/>
            <w:bookmarkEnd w:id="423"/>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2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6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 the Nine Months Ended</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September 30,</w:t>
            </w:r>
          </w:p>
        </w:tc>
        <w:tc>
          <w:tcPr>
            <w:tcW w:w="110" w:type="dxa"/>
            <w:tcBorders/>
            <w:vAlign w:val="center"/>
          </w:tcPr>
          <w:p>
            <w:pPr>
              <w:pStyle w:val="TableContents"/>
              <w:bidi w:val="0"/>
              <w:spacing w:before="0" w:after="283"/>
              <w:jc w:val="left"/>
              <w:rPr>
                <w:color w:val="000000"/>
              </w:rPr>
            </w:pPr>
            <w:r>
              <w:rPr>
                <w:color w:val="000000"/>
              </w:rPr>
              <w:t> </w:t>
            </w:r>
          </w:p>
        </w:tc>
      </w:tr>
      <w:tr>
        <w:trPr/>
        <w:tc>
          <w:tcPr>
            <w:tcW w:w="2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bookmarkStart w:id="424" w:name="xdx_406_eus-gaap--RevenueFromContractWit"/>
            <w:bookmarkEnd w:id="424"/>
          </w:p>
        </w:tc>
      </w:tr>
      <w:tr>
        <w:trPr/>
        <w:tc>
          <w:tcPr>
            <w:tcW w:w="2030" w:type="dxa"/>
            <w:tcBorders/>
            <w:shd w:fill="CCEEFF" w:val="clear"/>
            <w:vAlign w:val="center"/>
          </w:tcPr>
          <w:p>
            <w:pPr>
              <w:pStyle w:val="TableContents"/>
              <w:bidi w:val="0"/>
              <w:spacing w:before="0" w:after="283"/>
              <w:jc w:val="both"/>
              <w:rPr>
                <w:color w:val="000000"/>
              </w:rPr>
            </w:pPr>
            <w:r>
              <w:rPr>
                <w:color w:val="000000"/>
              </w:rPr>
              <w:t>Revenues,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05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75"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25" w:name="xdx_403_eus-gaap--OperatingIncomeLoss_zA"/>
            <w:bookmarkEnd w:id="425"/>
          </w:p>
        </w:tc>
      </w:tr>
      <w:tr>
        <w:trPr/>
        <w:tc>
          <w:tcPr>
            <w:tcW w:w="2030" w:type="dxa"/>
            <w:tcBorders/>
            <w:shd w:fill="FFFFFF" w:val="clear"/>
            <w:vAlign w:val="center"/>
          </w:tcPr>
          <w:p>
            <w:pPr>
              <w:pStyle w:val="TableContents"/>
              <w:bidi w:val="0"/>
              <w:spacing w:before="0" w:after="283"/>
              <w:jc w:val="both"/>
              <w:rPr>
                <w:color w:val="000000"/>
              </w:rPr>
            </w:pPr>
            <w:r>
              <w:rPr>
                <w:color w:val="000000"/>
              </w:rPr>
              <w:t>Loss from operations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055" w:type="dxa"/>
            <w:tcBorders/>
            <w:shd w:fill="FFFFFF" w:val="clear"/>
            <w:vAlign w:val="center"/>
          </w:tcPr>
          <w:p>
            <w:pPr>
              <w:pStyle w:val="TableContents"/>
              <w:bidi w:val="0"/>
              <w:spacing w:before="0" w:after="283"/>
              <w:jc w:val="right"/>
              <w:rPr>
                <w:color w:val="000000"/>
              </w:rPr>
            </w:pPr>
            <w:r>
              <w:rPr>
                <w:color w:val="000000"/>
              </w:rPr>
              <w:t>(3,663,000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w:t>
            </w:r>
          </w:p>
        </w:tc>
        <w:tc>
          <w:tcPr>
            <w:tcW w:w="1175" w:type="dxa"/>
            <w:tcBorders/>
            <w:shd w:fill="FFFFFF" w:val="clear"/>
            <w:vAlign w:val="center"/>
          </w:tcPr>
          <w:p>
            <w:pPr>
              <w:pStyle w:val="TableContents"/>
              <w:bidi w:val="0"/>
              <w:spacing w:before="0" w:after="283"/>
              <w:jc w:val="right"/>
              <w:rPr>
                <w:color w:val="000000"/>
              </w:rPr>
            </w:pPr>
            <w:r>
              <w:rPr>
                <w:color w:val="000000"/>
              </w:rPr>
              <w:t>(9,064,000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426" w:name="xdx_40D_eus-gaap--NetIncomeLoss_zB427WKc"/>
            <w:bookmarkEnd w:id="426"/>
          </w:p>
        </w:tc>
      </w:tr>
      <w:tr>
        <w:trPr/>
        <w:tc>
          <w:tcPr>
            <w:tcW w:w="2030" w:type="dxa"/>
            <w:tcBorders/>
            <w:shd w:fill="CCEEFF" w:val="clear"/>
            <w:vAlign w:val="center"/>
          </w:tcPr>
          <w:p>
            <w:pPr>
              <w:pStyle w:val="TableContents"/>
              <w:bidi w:val="0"/>
              <w:spacing w:before="0" w:after="283"/>
              <w:jc w:val="both"/>
              <w:rPr>
                <w:color w:val="000000"/>
              </w:rPr>
            </w:pPr>
            <w:r>
              <w:rPr>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055" w:type="dxa"/>
            <w:tcBorders/>
            <w:shd w:fill="CCEEFF" w:val="clear"/>
            <w:vAlign w:val="center"/>
          </w:tcPr>
          <w:p>
            <w:pPr>
              <w:pStyle w:val="TableContents"/>
              <w:bidi w:val="0"/>
              <w:spacing w:before="0" w:after="283"/>
              <w:jc w:val="right"/>
              <w:rPr>
                <w:color w:val="000000"/>
              </w:rPr>
            </w:pPr>
            <w:r>
              <w:rPr>
                <w:color w:val="000000"/>
              </w:rPr>
              <w:t>(5,407,000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75" w:type="dxa"/>
            <w:tcBorders/>
            <w:shd w:fill="CCEEFF" w:val="clear"/>
            <w:vAlign w:val="center"/>
          </w:tcPr>
          <w:p>
            <w:pPr>
              <w:pStyle w:val="TableContents"/>
              <w:bidi w:val="0"/>
              <w:spacing w:before="0" w:after="283"/>
              <w:jc w:val="right"/>
              <w:rPr>
                <w:color w:val="000000"/>
              </w:rPr>
            </w:pPr>
            <w:r>
              <w:rPr>
                <w:color w:val="000000"/>
              </w:rPr>
              <w:t>(10,562,000</w:t>
            </w:r>
          </w:p>
        </w:tc>
        <w:tc>
          <w:tcPr>
            <w:tcW w:w="110" w:type="dxa"/>
            <w:tcBorders/>
            <w:shd w:fill="CCEEFF" w:val="clear"/>
            <w:vAlign w:val="center"/>
          </w:tcPr>
          <w:p>
            <w:pPr>
              <w:pStyle w:val="TableContents"/>
              <w:bidi w:val="0"/>
              <w:spacing w:before="0" w:after="283"/>
              <w:jc w:val="left"/>
              <w:rPr>
                <w:color w:val="000000"/>
              </w:rPr>
            </w:pPr>
            <w:r>
              <w:rPr>
                <w:color w:val="000000"/>
              </w:rPr>
              <w:t>)</w:t>
            </w:r>
          </w:p>
        </w:tc>
      </w:tr>
    </w:tbl>
    <w:p>
      <w:pPr>
        <w:pStyle w:val="TextBody"/>
        <w:bidi w:val="0"/>
        <w:spacing w:before="0" w:after="0"/>
        <w:ind w:left="0" w:right="0" w:hanging="0"/>
        <w:jc w:val="both"/>
        <w:rPr>
          <w:caps w:val="false"/>
          <w:smallCaps w:val="false"/>
          <w:color w:val="000000"/>
        </w:rPr>
      </w:pPr>
      <w:bookmarkStart w:id="427" w:name="xdx_8A6_zvwBqJa2NWel"/>
      <w:bookmarkEnd w:id="427"/>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28" w:name="xdx_890_ecustom--ScheduleOfCondensedBala"/>
      <w:bookmarkEnd w:id="428"/>
      <w:r>
        <w:rPr>
          <w:rFonts w:ascii="Times New Roman;Times;Serif" w:hAnsi="Times New Roman;Times;Serif"/>
          <w:b w:val="false"/>
          <w:i w:val="false"/>
          <w:caps w:val="false"/>
          <w:smallCaps w:val="false"/>
          <w:color w:val="000000"/>
          <w:sz w:val="20"/>
        </w:rPr>
        <w:t>The unaudited condensed balance sheet information of Melt is summarized below: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29" w:name="xdx_8B8_zmlk9FBF3On2"/>
      <w:bookmarkEnd w:id="429"/>
      <w:r>
        <w:rPr>
          <w:rFonts w:ascii="Times New Roman;Times;Serif" w:hAnsi="Times New Roman;Times;Serif"/>
          <w:b w:val="false"/>
          <w:i w:val="false"/>
          <w:caps w:val="false"/>
          <w:smallCaps w:val="false"/>
          <w:color w:val="000000"/>
          <w:sz w:val="20"/>
        </w:rPr>
        <w:t>SCHEDULE OF CONDENSED BALANCE SHEET</w:t>
      </w:r>
    </w:p>
    <w:tbl>
      <w:tblPr>
        <w:tblW w:w="8213" w:type="dxa"/>
        <w:jc w:val="left"/>
        <w:tblInd w:w="0" w:type="dxa"/>
        <w:tblLayout w:type="fixed"/>
        <w:tblCellMar>
          <w:top w:w="0" w:type="dxa"/>
          <w:left w:w="0" w:type="dxa"/>
          <w:bottom w:w="0" w:type="dxa"/>
          <w:right w:w="0" w:type="dxa"/>
        </w:tblCellMar>
      </w:tblPr>
      <w:tblGrid>
        <w:gridCol w:w="4370"/>
        <w:gridCol w:w="60"/>
        <w:gridCol w:w="202"/>
        <w:gridCol w:w="1587"/>
        <w:gridCol w:w="95"/>
        <w:gridCol w:w="60"/>
        <w:gridCol w:w="184"/>
        <w:gridCol w:w="1545"/>
        <w:gridCol w:w="110"/>
      </w:tblGrid>
      <w:tr>
        <w:trPr/>
        <w:tc>
          <w:tcPr>
            <w:tcW w:w="437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30" w:name="xdx_497_20230930__dei--LegalEntityAxis__"/>
            <w:bookmarkEnd w:id="430"/>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31" w:name="xdx_496_20221231__dei--LegalEntityAxis__"/>
            <w:bookmarkEnd w:id="431"/>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437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89" w:type="dxa"/>
            <w:gridSpan w:val="2"/>
            <w:tcBorders/>
            <w:vAlign w:val="center"/>
          </w:tcPr>
          <w:p>
            <w:pPr>
              <w:pStyle w:val="TableContents"/>
              <w:bidi w:val="0"/>
              <w:spacing w:before="0" w:after="283"/>
              <w:jc w:val="center"/>
              <w:rPr>
                <w:b/>
                <w:color w:val="000000"/>
              </w:rPr>
            </w:pPr>
            <w:r>
              <w:rPr>
                <w:b/>
                <w:color w:val="000000"/>
              </w:rPr>
              <w:t>At September 30,</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29" w:type="dxa"/>
            <w:gridSpan w:val="2"/>
            <w:tcBorders/>
            <w:vAlign w:val="center"/>
          </w:tcPr>
          <w:p>
            <w:pPr>
              <w:pStyle w:val="TableContents"/>
              <w:bidi w:val="0"/>
              <w:spacing w:before="0" w:after="283"/>
              <w:jc w:val="center"/>
              <w:rPr>
                <w:b/>
                <w:color w:val="000000"/>
              </w:rPr>
            </w:pPr>
            <w:r>
              <w:rPr>
                <w:b/>
                <w:color w:val="000000"/>
              </w:rPr>
              <w:t>At December 31,</w:t>
            </w:r>
          </w:p>
        </w:tc>
        <w:tc>
          <w:tcPr>
            <w:tcW w:w="110" w:type="dxa"/>
            <w:tcBorders/>
            <w:vAlign w:val="center"/>
          </w:tcPr>
          <w:p>
            <w:pPr>
              <w:pStyle w:val="TableContents"/>
              <w:bidi w:val="0"/>
              <w:spacing w:before="0" w:after="283"/>
              <w:jc w:val="left"/>
              <w:rPr>
                <w:color w:val="000000"/>
              </w:rPr>
            </w:pPr>
            <w:r>
              <w:rPr>
                <w:color w:val="000000"/>
              </w:rPr>
              <w:t> </w:t>
            </w:r>
          </w:p>
        </w:tc>
      </w:tr>
      <w:tr>
        <w:trPr/>
        <w:tc>
          <w:tcPr>
            <w:tcW w:w="437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bookmarkStart w:id="432" w:name="xdx_404_eus-gaap--AssetsCurrent_iI_zgC0Q"/>
            <w:bookmarkEnd w:id="432"/>
          </w:p>
        </w:tc>
      </w:tr>
      <w:tr>
        <w:trPr/>
        <w:tc>
          <w:tcPr>
            <w:tcW w:w="4370" w:type="dxa"/>
            <w:tcBorders/>
            <w:shd w:fill="CCEEFF" w:val="clear"/>
            <w:vAlign w:val="center"/>
          </w:tcPr>
          <w:p>
            <w:pPr>
              <w:pStyle w:val="TableContents"/>
              <w:bidi w:val="0"/>
              <w:spacing w:before="0" w:after="283"/>
              <w:jc w:val="both"/>
              <w:rPr>
                <w:color w:val="000000"/>
              </w:rPr>
            </w:pPr>
            <w:r>
              <w:rPr>
                <w:color w:val="000000"/>
              </w:rPr>
              <w:t>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w:t>
            </w:r>
          </w:p>
        </w:tc>
        <w:tc>
          <w:tcPr>
            <w:tcW w:w="1587" w:type="dxa"/>
            <w:tcBorders/>
            <w:shd w:fill="CCEEFF" w:val="clear"/>
            <w:vAlign w:val="center"/>
          </w:tcPr>
          <w:p>
            <w:pPr>
              <w:pStyle w:val="TableContents"/>
              <w:bidi w:val="0"/>
              <w:spacing w:before="0" w:after="283"/>
              <w:jc w:val="right"/>
              <w:rPr>
                <w:color w:val="000000"/>
              </w:rPr>
            </w:pPr>
            <w:r>
              <w:rPr>
                <w:color w:val="000000"/>
              </w:rPr>
              <w:t>13,011,000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84" w:type="dxa"/>
            <w:tcBorders/>
            <w:shd w:fill="CCEEFF" w:val="clear"/>
            <w:vAlign w:val="center"/>
          </w:tcPr>
          <w:p>
            <w:pPr>
              <w:pStyle w:val="TableContents"/>
              <w:bidi w:val="0"/>
              <w:spacing w:before="0" w:after="283"/>
              <w:jc w:val="left"/>
              <w:rPr>
                <w:color w:val="000000"/>
              </w:rPr>
            </w:pPr>
            <w:r>
              <w:rPr>
                <w:color w:val="000000"/>
              </w:rPr>
              <w:t>$</w:t>
            </w:r>
          </w:p>
        </w:tc>
        <w:tc>
          <w:tcPr>
            <w:tcW w:w="1545" w:type="dxa"/>
            <w:tcBorders/>
            <w:shd w:fill="CCEEFF" w:val="clear"/>
            <w:vAlign w:val="center"/>
          </w:tcPr>
          <w:p>
            <w:pPr>
              <w:pStyle w:val="TableContents"/>
              <w:bidi w:val="0"/>
              <w:spacing w:before="0" w:after="283"/>
              <w:jc w:val="right"/>
              <w:rPr>
                <w:color w:val="000000"/>
              </w:rPr>
            </w:pPr>
            <w:r>
              <w:rPr>
                <w:color w:val="000000"/>
              </w:rPr>
              <w:t>655,000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33" w:name="xdx_40C_eus-gaap--AssetsNoncurrent_iI_zB"/>
            <w:bookmarkEnd w:id="433"/>
          </w:p>
        </w:tc>
      </w:tr>
      <w:tr>
        <w:trPr/>
        <w:tc>
          <w:tcPr>
            <w:tcW w:w="4370" w:type="dxa"/>
            <w:tcBorders/>
            <w:shd w:fill="FFFFFF" w:val="clear"/>
            <w:vAlign w:val="center"/>
          </w:tcPr>
          <w:p>
            <w:pPr>
              <w:pStyle w:val="TableContents"/>
              <w:bidi w:val="0"/>
              <w:spacing w:before="0" w:after="283"/>
              <w:jc w:val="both"/>
              <w:rPr>
                <w:color w:val="000000"/>
              </w:rPr>
            </w:pPr>
            <w:r>
              <w:rPr>
                <w:color w:val="000000"/>
              </w:rPr>
              <w:t>Non-current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4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107,000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34" w:name="xdx_40A_eus-gaap--Assets_iI_zfvAMBJkZ8j9"/>
            <w:bookmarkEnd w:id="434"/>
          </w:p>
        </w:tc>
      </w:tr>
      <w:tr>
        <w:trPr/>
        <w:tc>
          <w:tcPr>
            <w:tcW w:w="4370" w:type="dxa"/>
            <w:tcBorders/>
            <w:shd w:fill="CCEEFF" w:val="clear"/>
            <w:vAlign w:val="center"/>
          </w:tcPr>
          <w:p>
            <w:pPr>
              <w:pStyle w:val="TableContents"/>
              <w:bidi w:val="0"/>
              <w:spacing w:before="0" w:after="283"/>
              <w:jc w:val="both"/>
              <w:rPr>
                <w:color w:val="000000"/>
              </w:rPr>
            </w:pPr>
            <w:r>
              <w:rPr>
                <w:color w:val="000000"/>
              </w:rPr>
              <w:t>Total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13,042,000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4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762,000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370"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shd w:fill="FFFFFF" w:val="clear"/>
            <w:vAlign w:val="center"/>
          </w:tcPr>
          <w:p>
            <w:pPr>
              <w:pStyle w:val="TableContents"/>
              <w:bidi w:val="0"/>
              <w:spacing w:before="0" w:after="283"/>
              <w:jc w:val="left"/>
              <w:rPr>
                <w:color w:val="000000"/>
              </w:rPr>
            </w:pPr>
            <w:r>
              <w:rPr>
                <w:color w:val="000000"/>
              </w:rPr>
              <w:t> </w:t>
            </w:r>
          </w:p>
        </w:tc>
        <w:tc>
          <w:tcPr>
            <w:tcW w:w="1587"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84" w:type="dxa"/>
            <w:tcBorders/>
            <w:shd w:fill="FFFFFF" w:val="clear"/>
            <w:vAlign w:val="center"/>
          </w:tcPr>
          <w:p>
            <w:pPr>
              <w:pStyle w:val="TableContents"/>
              <w:bidi w:val="0"/>
              <w:spacing w:before="0" w:after="283"/>
              <w:jc w:val="left"/>
              <w:rPr>
                <w:color w:val="000000"/>
              </w:rPr>
            </w:pPr>
            <w:r>
              <w:rPr>
                <w:color w:val="000000"/>
              </w:rPr>
              <w:t> </w:t>
            </w:r>
          </w:p>
        </w:tc>
        <w:tc>
          <w:tcPr>
            <w:tcW w:w="154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435" w:name="xdx_409_eus-gaap--Liabilities_iI_zr5dmJX"/>
            <w:bookmarkEnd w:id="435"/>
          </w:p>
        </w:tc>
      </w:tr>
      <w:tr>
        <w:trPr/>
        <w:tc>
          <w:tcPr>
            <w:tcW w:w="4370" w:type="dxa"/>
            <w:tcBorders/>
            <w:shd w:fill="CCEEFF" w:val="clear"/>
            <w:vAlign w:val="center"/>
          </w:tcPr>
          <w:p>
            <w:pPr>
              <w:pStyle w:val="TableContents"/>
              <w:bidi w:val="0"/>
              <w:spacing w:before="0" w:after="283"/>
              <w:jc w:val="both"/>
              <w:rPr>
                <w:color w:val="000000"/>
              </w:rPr>
            </w:pPr>
            <w:r>
              <w:rPr>
                <w:color w:val="000000"/>
              </w:rPr>
              <w:t>Total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w:t>
            </w:r>
          </w:p>
        </w:tc>
        <w:tc>
          <w:tcPr>
            <w:tcW w:w="1587" w:type="dxa"/>
            <w:tcBorders/>
            <w:shd w:fill="CCEEFF" w:val="clear"/>
            <w:vAlign w:val="center"/>
          </w:tcPr>
          <w:p>
            <w:pPr>
              <w:pStyle w:val="TableContents"/>
              <w:bidi w:val="0"/>
              <w:spacing w:before="0" w:after="283"/>
              <w:jc w:val="right"/>
              <w:rPr>
                <w:color w:val="000000"/>
              </w:rPr>
            </w:pPr>
            <w:r>
              <w:rPr>
                <w:color w:val="000000"/>
              </w:rPr>
              <w:t>20,733,000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84" w:type="dxa"/>
            <w:tcBorders/>
            <w:shd w:fill="CCEEFF" w:val="clear"/>
            <w:vAlign w:val="center"/>
          </w:tcPr>
          <w:p>
            <w:pPr>
              <w:pStyle w:val="TableContents"/>
              <w:bidi w:val="0"/>
              <w:spacing w:before="0" w:after="283"/>
              <w:jc w:val="left"/>
              <w:rPr>
                <w:color w:val="000000"/>
              </w:rPr>
            </w:pPr>
            <w:r>
              <w:rPr>
                <w:color w:val="000000"/>
              </w:rPr>
              <w:t>$</w:t>
            </w:r>
          </w:p>
        </w:tc>
        <w:tc>
          <w:tcPr>
            <w:tcW w:w="1545" w:type="dxa"/>
            <w:tcBorders/>
            <w:shd w:fill="CCEEFF" w:val="clear"/>
            <w:vAlign w:val="center"/>
          </w:tcPr>
          <w:p>
            <w:pPr>
              <w:pStyle w:val="TableContents"/>
              <w:bidi w:val="0"/>
              <w:spacing w:before="0" w:after="283"/>
              <w:jc w:val="right"/>
              <w:rPr>
                <w:color w:val="000000"/>
              </w:rPr>
            </w:pPr>
            <w:r>
              <w:rPr>
                <w:color w:val="000000"/>
              </w:rPr>
              <w:t>19,056,000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36" w:name="xdx_404_eus-gaap--StockholdersEquity_iI_"/>
            <w:bookmarkEnd w:id="436"/>
          </w:p>
        </w:tc>
      </w:tr>
      <w:tr>
        <w:trPr/>
        <w:tc>
          <w:tcPr>
            <w:tcW w:w="4370" w:type="dxa"/>
            <w:tcBorders/>
            <w:shd w:fill="FFFFFF" w:val="clear"/>
            <w:vAlign w:val="center"/>
          </w:tcPr>
          <w:p>
            <w:pPr>
              <w:pStyle w:val="TableContents"/>
              <w:bidi w:val="0"/>
              <w:spacing w:before="0" w:after="283"/>
              <w:jc w:val="both"/>
              <w:rPr>
                <w:color w:val="000000"/>
              </w:rPr>
            </w:pPr>
            <w:r>
              <w:rPr>
                <w:color w:val="000000"/>
              </w:rPr>
              <w:t>Total preferred stock and stockholders’ deficit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(7,691,000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4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(18,294,000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437" w:name="xdx_407_eus-gaap--LiabilitiesAndStockhol"/>
            <w:bookmarkEnd w:id="437"/>
          </w:p>
        </w:tc>
      </w:tr>
      <w:tr>
        <w:trPr/>
        <w:tc>
          <w:tcPr>
            <w:tcW w:w="4370" w:type="dxa"/>
            <w:tcBorders/>
            <w:shd w:fill="CCEEFF" w:val="clear"/>
            <w:vAlign w:val="center"/>
          </w:tcPr>
          <w:p>
            <w:pPr>
              <w:pStyle w:val="TableContents"/>
              <w:bidi w:val="0"/>
              <w:spacing w:before="0" w:after="283"/>
              <w:jc w:val="both"/>
              <w:rPr>
                <w:color w:val="000000"/>
              </w:rPr>
            </w:pPr>
            <w:r>
              <w:rPr>
                <w:color w:val="000000"/>
              </w:rPr>
              <w:t>Total liabilities and stockholders’ deficit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13,042,000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4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762,000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438" w:name="xdx_8A5_zdAqpszu0bxj"/>
      <w:bookmarkEnd w:id="438"/>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Melt Note Receivable</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September 1, 2021, the Company entered into a loan and security agreement in the principal amount of $</w:t>
      </w:r>
      <w:bookmarkStart w:id="439" w:name="xdx_901_eus-gaap--DebtInstrumentFaceAmou"/>
      <w:bookmarkEnd w:id="439"/>
      <w:r>
        <w:rPr>
          <w:rFonts w:ascii="Times New Roman;Times;Serif" w:hAnsi="Times New Roman;Times;Serif"/>
          <w:b w:val="false"/>
          <w:i w:val="false"/>
          <w:caps w:val="false"/>
          <w:smallCaps w:val="false"/>
          <w:color w:val="000000"/>
          <w:sz w:val="20"/>
        </w:rPr>
        <w:t xml:space="preserve">13,500,000 (the “Melt Loan Agreement”), as lender, with Melt, as borrower. Amounts borrowed under the Melt Loan Agreement bear interest at </w:t>
      </w:r>
      <w:bookmarkStart w:id="440" w:name="xdx_903_eus-gaap--DebtInstrumentInterest"/>
      <w:bookmarkEnd w:id="440"/>
      <w:r>
        <w:rPr>
          <w:rFonts w:ascii="Times New Roman;Times;Serif" w:hAnsi="Times New Roman;Times;Serif"/>
          <w:b w:val="false"/>
          <w:i w:val="false"/>
          <w:caps w:val="false"/>
          <w:smallCaps w:val="false"/>
          <w:color w:val="000000"/>
          <w:sz w:val="20"/>
        </w:rPr>
        <w:t>12.50% per annum, which interest can be paid in-kind at the option of Melt until the maturity date. The Melt Loan Agreement permits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September 1, 2023, which can be extended further to September 1, 2026 upon Melt completing a qualifying financing of a minimum amount of $</w:t>
      </w:r>
      <w:bookmarkStart w:id="441" w:name="xdx_900_eus-gaap--DebtInstrumentFaceAmou"/>
      <w:bookmarkEnd w:id="441"/>
      <w:r>
        <w:rPr>
          <w:rFonts w:ascii="Times New Roman;Times;Serif" w:hAnsi="Times New Roman;Times;Serif"/>
          <w:b w:val="false"/>
          <w:i w:val="false"/>
          <w:caps w:val="false"/>
          <w:smallCaps w:val="false"/>
          <w:color w:val="000000"/>
          <w:sz w:val="20"/>
        </w:rPr>
        <w:t>10,000,000 from third-party investors, (ii) added conditions related to minimum cash amounts following a qualifying financing, and (iii) clarified the definition of material adverse effects. Melt may elect to prepay all, but not less than all, of the amounts owed prior to the maturity date at any time without penalty.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w:t>
      </w:r>
      <w:bookmarkStart w:id="442" w:name="xdx_907_eus-gaap--DebtInstrumentInterest"/>
      <w:bookmarkEnd w:id="442"/>
      <w:r>
        <w:rPr>
          <w:rFonts w:ascii="Times New Roman;Times;Serif" w:hAnsi="Times New Roman;Times;Serif"/>
          <w:b w:val="false"/>
          <w:i w:val="false"/>
          <w:caps w:val="false"/>
          <w:smallCaps w:val="false"/>
          <w:color w:val="000000"/>
          <w:sz w:val="20"/>
        </w:rPr>
        <w:t>3% per annum. The Melt Loan Agreement is currently in default due to non-payment on September 1, 2023. The Company and Melt are involved in ongoing discussions to resolve the default.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net funds received by Melt excluded $</w:t>
      </w:r>
      <w:bookmarkStart w:id="443" w:name="xdx_90B_ecustom--ReimbursableExpenses_c2"/>
      <w:bookmarkEnd w:id="443"/>
      <w:r>
        <w:rPr>
          <w:rFonts w:ascii="Times New Roman;Times;Serif" w:hAnsi="Times New Roman;Times;Serif"/>
          <w:b w:val="false"/>
          <w:i w:val="false"/>
          <w:caps w:val="false"/>
          <w:smallCaps w:val="false"/>
          <w:color w:val="000000"/>
          <w:sz w:val="20"/>
        </w:rPr>
        <w:t>908,000 owed to the Company for reimbursable expenses and amounts due under the Melt MSA prior to the effective date of the note receivable. As of September 30, 2023 and December 31, 2022, aggregate principal and accrued interest payable to the Company pursuant to the Melt Loan Agreement amounted to $</w:t>
      </w:r>
      <w:bookmarkStart w:id="444" w:name="xdx_907_eus-gaap--NotesReceivableNet_iI_"/>
      <w:bookmarkEnd w:id="444"/>
      <w:r>
        <w:rPr>
          <w:rFonts w:ascii="Times New Roman;Times;Serif" w:hAnsi="Times New Roman;Times;Serif"/>
          <w:b w:val="false"/>
          <w:i w:val="false"/>
          <w:caps w:val="false"/>
          <w:smallCaps w:val="false"/>
          <w:color w:val="000000"/>
          <w:sz w:val="20"/>
        </w:rPr>
        <w:t>17,765,000 and $</w:t>
      </w:r>
      <w:bookmarkStart w:id="445" w:name="xdx_90B_eus-gaap--NotesReceivableNet_iI_"/>
      <w:bookmarkEnd w:id="445"/>
      <w:r>
        <w:rPr>
          <w:rFonts w:ascii="Times New Roman;Times;Serif" w:hAnsi="Times New Roman;Times;Serif"/>
          <w:b w:val="false"/>
          <w:i w:val="false"/>
          <w:caps w:val="false"/>
          <w:smallCaps w:val="false"/>
          <w:color w:val="000000"/>
          <w:sz w:val="20"/>
        </w:rPr>
        <w:t xml:space="preserve">15,984,000, respectively. In accordance with ASC 323, </w:t>
      </w:r>
      <w:r>
        <w:rPr>
          <w:rFonts w:ascii="Times New Roman;Times;Serif" w:hAnsi="Times New Roman;Times;Serif"/>
          <w:b w:val="false"/>
          <w:i/>
          <w:caps w:val="false"/>
          <w:smallCaps w:val="false"/>
          <w:color w:val="000000"/>
          <w:sz w:val="20"/>
        </w:rPr>
        <w:t>Investments – Equity Method and Joint Ventures</w:t>
      </w:r>
      <w:r>
        <w:rPr>
          <w:rFonts w:ascii="Times New Roman;Times;Serif" w:hAnsi="Times New Roman;Times;Serif"/>
          <w:b w:val="false"/>
          <w:i w:val="false"/>
          <w:caps w:val="false"/>
          <w:smallCaps w:val="false"/>
          <w:color w:val="000000"/>
          <w:sz w:val="20"/>
        </w:rPr>
        <w:t>, the carrying amount of the note receivable has been reduced by the Company’s allocated share of Melt’s losses based on its ownership of Melt’s total indebtedness (see Note 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446" w:name="xdx_804_ecustom--InvestmentsAndAgreement"/>
      <w:bookmarkEnd w:id="446"/>
      <w:r>
        <w:rPr>
          <w:rFonts w:ascii="Times New Roman;Times;Serif" w:hAnsi="Times New Roman;Times;Serif"/>
          <w:b/>
          <w:i w:val="false"/>
          <w:caps w:val="false"/>
          <w:smallCaps w:val="false"/>
          <w:color w:val="000000"/>
          <w:sz w:val="20"/>
        </w:rPr>
        <w:t xml:space="preserve">NOTE 6. </w:t>
      </w:r>
      <w:bookmarkStart w:id="447" w:name="xdx_82B_zr8wT0IL2RXh"/>
      <w:bookmarkEnd w:id="447"/>
      <w:r>
        <w:rPr>
          <w:rFonts w:ascii="Times New Roman;Times;Serif" w:hAnsi="Times New Roman;Times;Serif"/>
          <w:b/>
          <w:i w:val="false"/>
          <w:caps w:val="false"/>
          <w:smallCaps w:val="false"/>
          <w:color w:val="000000"/>
          <w:sz w:val="20"/>
        </w:rPr>
        <w:t>INVESTMENT IN SURFACE OPHTHALMICS, INC. - RELATED PARTY TRANSACTIONS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entered into an asset purchase and license agreement with Surface in 2017 and amended it in April 2018 (together,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September 30, 2023, the Company owned </w:t>
      </w:r>
      <w:bookmarkStart w:id="448" w:name="xdx_903_eus-gaap--InvestmentOwnedBalance"/>
      <w:bookmarkEnd w:id="448"/>
      <w:r>
        <w:rPr>
          <w:rFonts w:ascii="Times New Roman;Times;Serif" w:hAnsi="Times New Roman;Times;Serif"/>
          <w:b w:val="false"/>
          <w:i w:val="false"/>
          <w:caps w:val="false"/>
          <w:smallCaps w:val="false"/>
          <w:color w:val="000000"/>
          <w:sz w:val="20"/>
        </w:rPr>
        <w:t>3,500,000 shares of Surface common stock. Perry J. Sternberg, a director of the Company, is a director of Surface. Mark L. Baum, who is the Company’s Chief Executive Officer, was previously a member of the Surface board of directors and resigned from his position as a director of Surface on March 31,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49" w:name="xdx_899_esrt--ScheduleOfCondensedIncomeS"/>
      <w:bookmarkEnd w:id="449"/>
      <w:r>
        <w:rPr>
          <w:rFonts w:ascii="Times New Roman;Times;Serif" w:hAnsi="Times New Roman;Times;Serif"/>
          <w:b w:val="false"/>
          <w:i w:val="false"/>
          <w:caps w:val="false"/>
          <w:smallCaps w:val="false"/>
          <w:color w:val="000000"/>
          <w:sz w:val="20"/>
        </w:rPr>
        <w:t>The unaudited condensed results of operations information of Surface is summarized below: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50" w:name="xdx_8B3_zlJLi9PBfJ59"/>
      <w:bookmarkEnd w:id="450"/>
      <w:r>
        <w:rPr>
          <w:rFonts w:ascii="Times New Roman;Times;Serif" w:hAnsi="Times New Roman;Times;Serif"/>
          <w:b w:val="false"/>
          <w:i w:val="false"/>
          <w:caps w:val="false"/>
          <w:smallCaps w:val="false"/>
          <w:color w:val="000000"/>
          <w:sz w:val="20"/>
        </w:rPr>
        <w:t>SUMMARY OF CONDENSED INCOME STATEMENT</w:t>
      </w:r>
    </w:p>
    <w:tbl>
      <w:tblPr>
        <w:tblW w:w="5081" w:type="dxa"/>
        <w:jc w:val="left"/>
        <w:tblInd w:w="0" w:type="dxa"/>
        <w:tblLayout w:type="fixed"/>
        <w:tblCellMar>
          <w:top w:w="0" w:type="dxa"/>
          <w:left w:w="0" w:type="dxa"/>
          <w:bottom w:w="0" w:type="dxa"/>
          <w:right w:w="0" w:type="dxa"/>
        </w:tblCellMar>
      </w:tblPr>
      <w:tblGrid>
        <w:gridCol w:w="2030"/>
        <w:gridCol w:w="60"/>
        <w:gridCol w:w="158"/>
        <w:gridCol w:w="1195"/>
        <w:gridCol w:w="107"/>
        <w:gridCol w:w="68"/>
        <w:gridCol w:w="158"/>
        <w:gridCol w:w="1195"/>
        <w:gridCol w:w="110"/>
      </w:tblGrid>
      <w:tr>
        <w:trPr/>
        <w:tc>
          <w:tcPr>
            <w:tcW w:w="2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51" w:name="xdx_498_20230101__20230930__dei--LegalEn"/>
            <w:bookmarkEnd w:id="451"/>
          </w:p>
        </w:tc>
        <w:tc>
          <w:tcPr>
            <w:tcW w:w="135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107" w:type="dxa"/>
            <w:tcBorders/>
            <w:vAlign w:val="center"/>
          </w:tcPr>
          <w:p>
            <w:pPr>
              <w:pStyle w:val="TableContents"/>
              <w:bidi w:val="0"/>
              <w:spacing w:before="0" w:after="283"/>
              <w:jc w:val="left"/>
              <w:rPr>
                <w:color w:val="000000"/>
              </w:rPr>
            </w:pPr>
            <w:r>
              <w:rPr>
                <w:color w:val="000000"/>
              </w:rPr>
              <w:t> </w:t>
            </w:r>
          </w:p>
        </w:tc>
        <w:tc>
          <w:tcPr>
            <w:tcW w:w="68" w:type="dxa"/>
            <w:tcBorders/>
            <w:vAlign w:val="center"/>
          </w:tcPr>
          <w:p>
            <w:pPr>
              <w:pStyle w:val="TableContents"/>
              <w:bidi w:val="0"/>
              <w:spacing w:before="0" w:after="283"/>
              <w:jc w:val="left"/>
              <w:rPr>
                <w:color w:val="000000"/>
              </w:rPr>
            </w:pPr>
            <w:r>
              <w:rPr>
                <w:color w:val="000000"/>
              </w:rPr>
              <w:t> </w:t>
            </w:r>
            <w:bookmarkStart w:id="452" w:name="xdx_49F_20220101__20220930__dei--LegalEn"/>
            <w:bookmarkEnd w:id="452"/>
          </w:p>
        </w:tc>
        <w:tc>
          <w:tcPr>
            <w:tcW w:w="135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2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81"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For the Nine Months Ended</w:t>
              <w:br/>
              <w:t>September 30,</w:t>
            </w:r>
          </w:p>
        </w:tc>
        <w:tc>
          <w:tcPr>
            <w:tcW w:w="110" w:type="dxa"/>
            <w:tcBorders/>
            <w:vAlign w:val="center"/>
          </w:tcPr>
          <w:p>
            <w:pPr>
              <w:pStyle w:val="TableContents"/>
              <w:bidi w:val="0"/>
              <w:spacing w:before="0" w:after="283"/>
              <w:jc w:val="left"/>
              <w:rPr>
                <w:color w:val="000000"/>
              </w:rPr>
            </w:pPr>
            <w:r>
              <w:rPr>
                <w:color w:val="000000"/>
              </w:rPr>
              <w:t> </w:t>
            </w:r>
          </w:p>
        </w:tc>
      </w:tr>
      <w:tr>
        <w:trPr/>
        <w:tc>
          <w:tcPr>
            <w:tcW w:w="2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107" w:type="dxa"/>
            <w:tcBorders/>
            <w:vAlign w:val="center"/>
          </w:tcPr>
          <w:p>
            <w:pPr>
              <w:pStyle w:val="TableContents"/>
              <w:bidi w:val="0"/>
              <w:spacing w:before="0" w:after="283"/>
              <w:jc w:val="left"/>
              <w:rPr>
                <w:color w:val="000000"/>
              </w:rPr>
            </w:pPr>
            <w:r>
              <w:rPr>
                <w:color w:val="000000"/>
              </w:rPr>
              <w:t> </w:t>
            </w:r>
          </w:p>
        </w:tc>
        <w:tc>
          <w:tcPr>
            <w:tcW w:w="68" w:type="dxa"/>
            <w:tcBorders/>
            <w:vAlign w:val="center"/>
          </w:tcPr>
          <w:p>
            <w:pPr>
              <w:pStyle w:val="TableContents"/>
              <w:bidi w:val="0"/>
              <w:spacing w:before="0" w:after="283"/>
              <w:jc w:val="left"/>
              <w:rPr>
                <w:color w:val="000000"/>
              </w:rPr>
            </w:pPr>
            <w:r>
              <w:rPr>
                <w:color w:val="000000"/>
              </w:rP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bookmarkStart w:id="453" w:name="xdx_408_eus-gaap--RevenueFromContractWit"/>
            <w:bookmarkEnd w:id="453"/>
          </w:p>
        </w:tc>
      </w:tr>
      <w:tr>
        <w:trPr/>
        <w:tc>
          <w:tcPr>
            <w:tcW w:w="2030" w:type="dxa"/>
            <w:tcBorders/>
            <w:shd w:fill="CCEEFF" w:val="clear"/>
            <w:vAlign w:val="center"/>
          </w:tcPr>
          <w:p>
            <w:pPr>
              <w:pStyle w:val="TableContents"/>
              <w:bidi w:val="0"/>
              <w:spacing w:before="0" w:after="283"/>
              <w:jc w:val="both"/>
              <w:rPr>
                <w:color w:val="000000"/>
              </w:rPr>
            </w:pPr>
            <w:r>
              <w:rPr>
                <w:color w:val="000000"/>
              </w:rPr>
              <w:t>Revenues,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w:t>
            </w:r>
          </w:p>
        </w:tc>
        <w:tc>
          <w:tcPr>
            <w:tcW w:w="1195" w:type="dxa"/>
            <w:tcBorders/>
            <w:shd w:fill="CCEEFF" w:val="clear"/>
            <w:vAlign w:val="center"/>
          </w:tcPr>
          <w:p>
            <w:pPr>
              <w:pStyle w:val="TableContents"/>
              <w:bidi w:val="0"/>
              <w:spacing w:before="0" w:after="283"/>
              <w:jc w:val="right"/>
              <w:rPr>
                <w:color w:val="000000"/>
              </w:rPr>
            </w:pPr>
            <w:r>
              <w:rPr>
                <w:color w:val="000000"/>
              </w:rPr>
              <w:t>-</w:t>
            </w:r>
          </w:p>
        </w:tc>
        <w:tc>
          <w:tcPr>
            <w:tcW w:w="107"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w:t>
            </w:r>
          </w:p>
        </w:tc>
        <w:tc>
          <w:tcPr>
            <w:tcW w:w="1195"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54" w:name="xdx_406_eus-gaap--OperatingIncomeLoss_zz"/>
            <w:bookmarkEnd w:id="454"/>
          </w:p>
        </w:tc>
      </w:tr>
      <w:tr>
        <w:trPr/>
        <w:tc>
          <w:tcPr>
            <w:tcW w:w="2030" w:type="dxa"/>
            <w:tcBorders/>
            <w:shd w:fill="FFFFFF" w:val="clear"/>
            <w:vAlign w:val="center"/>
          </w:tcPr>
          <w:p>
            <w:pPr>
              <w:pStyle w:val="TableContents"/>
              <w:bidi w:val="0"/>
              <w:spacing w:before="0" w:after="283"/>
              <w:jc w:val="both"/>
              <w:rPr>
                <w:color w:val="000000"/>
              </w:rPr>
            </w:pPr>
            <w:r>
              <w:rPr>
                <w:color w:val="000000"/>
              </w:rPr>
              <w:t>Loss from operations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8" w:type="dxa"/>
            <w:tcBorders/>
            <w:shd w:fill="FFFFFF" w:val="clear"/>
            <w:vAlign w:val="center"/>
          </w:tcPr>
          <w:p>
            <w:pPr>
              <w:pStyle w:val="TableContents"/>
              <w:bidi w:val="0"/>
              <w:spacing w:before="0" w:after="283"/>
              <w:jc w:val="left"/>
              <w:rPr>
                <w:color w:val="000000"/>
              </w:rPr>
            </w:pPr>
            <w:r>
              <w:rPr>
                <w:color w:val="000000"/>
              </w:rPr>
              <w:t>$</w:t>
            </w:r>
          </w:p>
        </w:tc>
        <w:tc>
          <w:tcPr>
            <w:tcW w:w="1195" w:type="dxa"/>
            <w:tcBorders/>
            <w:shd w:fill="FFFFFF" w:val="clear"/>
            <w:vAlign w:val="center"/>
          </w:tcPr>
          <w:p>
            <w:pPr>
              <w:pStyle w:val="TableContents"/>
              <w:bidi w:val="0"/>
              <w:spacing w:before="0" w:after="283"/>
              <w:jc w:val="right"/>
              <w:rPr>
                <w:color w:val="000000"/>
              </w:rPr>
            </w:pPr>
            <w:r>
              <w:rPr>
                <w:color w:val="000000"/>
              </w:rPr>
              <w:t>(4,723,000</w:t>
            </w:r>
          </w:p>
        </w:tc>
        <w:tc>
          <w:tcPr>
            <w:tcW w:w="107" w:type="dxa"/>
            <w:tcBorders/>
            <w:shd w:fill="FFFFFF" w:val="clear"/>
            <w:vAlign w:val="center"/>
          </w:tcPr>
          <w:p>
            <w:pPr>
              <w:pStyle w:val="TableContents"/>
              <w:bidi w:val="0"/>
              <w:spacing w:before="0" w:after="283"/>
              <w:jc w:val="left"/>
              <w:rPr>
                <w:color w:val="000000"/>
              </w:rPr>
            </w:pPr>
            <w:r>
              <w:rPr>
                <w:color w:val="000000"/>
              </w:rPr>
              <w:t>)</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158" w:type="dxa"/>
            <w:tcBorders/>
            <w:shd w:fill="FFFFFF" w:val="clear"/>
            <w:vAlign w:val="center"/>
          </w:tcPr>
          <w:p>
            <w:pPr>
              <w:pStyle w:val="TableContents"/>
              <w:bidi w:val="0"/>
              <w:spacing w:before="0" w:after="283"/>
              <w:jc w:val="left"/>
              <w:rPr>
                <w:color w:val="000000"/>
              </w:rPr>
            </w:pPr>
            <w:r>
              <w:rPr>
                <w:color w:val="000000"/>
              </w:rPr>
              <w:t>$</w:t>
            </w:r>
          </w:p>
        </w:tc>
        <w:tc>
          <w:tcPr>
            <w:tcW w:w="1195" w:type="dxa"/>
            <w:tcBorders/>
            <w:shd w:fill="FFFFFF" w:val="clear"/>
            <w:vAlign w:val="center"/>
          </w:tcPr>
          <w:p>
            <w:pPr>
              <w:pStyle w:val="TableContents"/>
              <w:bidi w:val="0"/>
              <w:spacing w:before="0" w:after="283"/>
              <w:jc w:val="right"/>
              <w:rPr>
                <w:color w:val="000000"/>
              </w:rPr>
            </w:pPr>
            <w:r>
              <w:rPr>
                <w:color w:val="000000"/>
              </w:rPr>
              <w:t>(5,338,000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455" w:name="xdx_402_eus-gaap--NetIncomeLoss_zF8G114U"/>
            <w:bookmarkEnd w:id="455"/>
          </w:p>
        </w:tc>
      </w:tr>
      <w:tr>
        <w:trPr/>
        <w:tc>
          <w:tcPr>
            <w:tcW w:w="2030" w:type="dxa"/>
            <w:tcBorders/>
            <w:shd w:fill="CCEEFF" w:val="clear"/>
            <w:vAlign w:val="center"/>
          </w:tcPr>
          <w:p>
            <w:pPr>
              <w:pStyle w:val="TableContents"/>
              <w:bidi w:val="0"/>
              <w:spacing w:before="0" w:after="283"/>
              <w:jc w:val="both"/>
              <w:rPr>
                <w:color w:val="000000"/>
              </w:rPr>
            </w:pPr>
            <w:r>
              <w:rPr>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w:t>
            </w:r>
          </w:p>
        </w:tc>
        <w:tc>
          <w:tcPr>
            <w:tcW w:w="1195" w:type="dxa"/>
            <w:tcBorders/>
            <w:shd w:fill="CCEEFF" w:val="clear"/>
            <w:vAlign w:val="center"/>
          </w:tcPr>
          <w:p>
            <w:pPr>
              <w:pStyle w:val="TableContents"/>
              <w:bidi w:val="0"/>
              <w:spacing w:before="0" w:after="283"/>
              <w:jc w:val="right"/>
              <w:rPr>
                <w:color w:val="000000"/>
              </w:rPr>
            </w:pPr>
            <w:r>
              <w:rPr>
                <w:color w:val="000000"/>
              </w:rPr>
              <w:t>(4,463,000</w:t>
            </w:r>
          </w:p>
        </w:tc>
        <w:tc>
          <w:tcPr>
            <w:tcW w:w="107" w:type="dxa"/>
            <w:tcBorders/>
            <w:shd w:fill="CCEEFF" w:val="clear"/>
            <w:vAlign w:val="center"/>
          </w:tcPr>
          <w:p>
            <w:pPr>
              <w:pStyle w:val="TableContents"/>
              <w:bidi w:val="0"/>
              <w:spacing w:before="0" w:after="283"/>
              <w:jc w:val="left"/>
              <w:rPr>
                <w:color w:val="000000"/>
              </w:rPr>
            </w:pPr>
            <w:r>
              <w:rPr>
                <w:color w:val="000000"/>
              </w:rPr>
              <w:t>)</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w:t>
            </w:r>
          </w:p>
        </w:tc>
        <w:tc>
          <w:tcPr>
            <w:tcW w:w="1195" w:type="dxa"/>
            <w:tcBorders/>
            <w:shd w:fill="CCEEFF" w:val="clear"/>
            <w:vAlign w:val="center"/>
          </w:tcPr>
          <w:p>
            <w:pPr>
              <w:pStyle w:val="TableContents"/>
              <w:bidi w:val="0"/>
              <w:spacing w:before="0" w:after="283"/>
              <w:jc w:val="right"/>
              <w:rPr>
                <w:color w:val="000000"/>
              </w:rPr>
            </w:pPr>
            <w:r>
              <w:rPr>
                <w:color w:val="000000"/>
              </w:rPr>
              <w:t>(5,338,000</w:t>
            </w:r>
          </w:p>
        </w:tc>
        <w:tc>
          <w:tcPr>
            <w:tcW w:w="110" w:type="dxa"/>
            <w:tcBorders/>
            <w:shd w:fill="CCEEFF" w:val="clear"/>
            <w:vAlign w:val="center"/>
          </w:tcPr>
          <w:p>
            <w:pPr>
              <w:pStyle w:val="TableContents"/>
              <w:bidi w:val="0"/>
              <w:spacing w:before="0" w:after="283"/>
              <w:jc w:val="left"/>
              <w:rPr>
                <w:color w:val="000000"/>
              </w:rPr>
            </w:pPr>
            <w:r>
              <w:rPr>
                <w:color w:val="000000"/>
              </w:rPr>
              <w:t>)</w:t>
            </w:r>
          </w:p>
        </w:tc>
      </w:tr>
    </w:tbl>
    <w:p>
      <w:pPr>
        <w:pStyle w:val="TextBody"/>
        <w:bidi w:val="0"/>
        <w:spacing w:before="0" w:after="0"/>
        <w:ind w:left="0" w:right="0" w:hanging="0"/>
        <w:jc w:val="both"/>
        <w:rPr>
          <w:caps w:val="false"/>
          <w:smallCaps w:val="false"/>
          <w:color w:val="000000"/>
        </w:rPr>
      </w:pPr>
      <w:bookmarkStart w:id="456" w:name="xdx_8A9_zI9TfA249QZj"/>
      <w:bookmarkEnd w:id="456"/>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57" w:name="xdx_89F_esrt--ScheduleOfCondensedBalance"/>
      <w:bookmarkEnd w:id="457"/>
      <w:r>
        <w:rPr>
          <w:rFonts w:ascii="Times New Roman;Times;Serif" w:hAnsi="Times New Roman;Times;Serif"/>
          <w:b w:val="false"/>
          <w:i w:val="false"/>
          <w:caps w:val="false"/>
          <w:smallCaps w:val="false"/>
          <w:color w:val="000000"/>
          <w:sz w:val="20"/>
        </w:rPr>
        <w:t>The unaudited condensed balance sheet information of Surface is summarized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8" w:name="xdx_8BE_zFqA9tcwLMW8"/>
      <w:bookmarkEnd w:id="458"/>
      <w:r>
        <w:rPr>
          <w:rFonts w:ascii="Times New Roman;Times;Serif" w:hAnsi="Times New Roman;Times;Serif"/>
          <w:b w:val="false"/>
          <w:i w:val="false"/>
          <w:caps w:val="false"/>
          <w:smallCaps w:val="false"/>
          <w:sz w:val="20"/>
        </w:rPr>
        <w:t>SUMMARY OF CONDENSED BALANCE SHEET</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8143" w:type="dxa"/>
        <w:jc w:val="left"/>
        <w:tblInd w:w="0" w:type="dxa"/>
        <w:tblLayout w:type="fixed"/>
        <w:tblCellMar>
          <w:top w:w="0" w:type="dxa"/>
          <w:left w:w="0" w:type="dxa"/>
          <w:bottom w:w="0" w:type="dxa"/>
          <w:right w:w="0" w:type="dxa"/>
        </w:tblCellMar>
      </w:tblPr>
      <w:tblGrid>
        <w:gridCol w:w="4370"/>
        <w:gridCol w:w="60"/>
        <w:gridCol w:w="202"/>
        <w:gridCol w:w="1587"/>
        <w:gridCol w:w="60"/>
        <w:gridCol w:w="60"/>
        <w:gridCol w:w="195"/>
        <w:gridCol w:w="1534"/>
        <w:gridCol w:w="75"/>
      </w:tblGrid>
      <w:tr>
        <w:trPr/>
        <w:tc>
          <w:tcPr>
            <w:tcW w:w="437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59" w:name="xdx_493_20230930__dei--LegalEntityAxis__"/>
            <w:bookmarkEnd w:id="459"/>
          </w:p>
        </w:tc>
        <w:tc>
          <w:tcPr>
            <w:tcW w:w="1789" w:type="dxa"/>
            <w:gridSpan w:val="2"/>
            <w:tcBorders/>
            <w:vAlign w:val="center"/>
          </w:tcPr>
          <w:p>
            <w:pPr>
              <w:pStyle w:val="TableContents"/>
              <w:bidi w:val="0"/>
              <w:spacing w:before="0" w:after="283"/>
              <w:jc w:val="center"/>
              <w:rPr>
                <w:b/>
                <w:color w:val="000000"/>
              </w:rPr>
            </w:pPr>
            <w:r>
              <w:rPr>
                <w:b/>
                <w:color w:val="000000"/>
              </w:rPr>
              <w:t>At 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60" w:name="xdx_498_20221231__dei--LegalEntityAxis__"/>
            <w:bookmarkEnd w:id="460"/>
          </w:p>
        </w:tc>
        <w:tc>
          <w:tcPr>
            <w:tcW w:w="1729" w:type="dxa"/>
            <w:gridSpan w:val="2"/>
            <w:tcBorders/>
            <w:vAlign w:val="center"/>
          </w:tcPr>
          <w:p>
            <w:pPr>
              <w:pStyle w:val="TableContents"/>
              <w:bidi w:val="0"/>
              <w:spacing w:before="0" w:after="283"/>
              <w:jc w:val="center"/>
              <w:rPr>
                <w:b/>
                <w:color w:val="000000"/>
              </w:rPr>
            </w:pPr>
            <w:r>
              <w:rPr>
                <w:b/>
                <w:color w:val="000000"/>
              </w:rPr>
              <w:t>At December 31,</w:t>
            </w:r>
          </w:p>
        </w:tc>
        <w:tc>
          <w:tcPr>
            <w:tcW w:w="75" w:type="dxa"/>
            <w:tcBorders/>
            <w:vAlign w:val="center"/>
          </w:tcPr>
          <w:p>
            <w:pPr>
              <w:pStyle w:val="TableContents"/>
              <w:bidi w:val="0"/>
              <w:spacing w:before="0" w:after="283"/>
              <w:jc w:val="left"/>
              <w:rPr>
                <w:color w:val="000000"/>
              </w:rPr>
            </w:pPr>
            <w:r>
              <w:rPr>
                <w:color w:val="000000"/>
              </w:rPr>
              <w:t> </w:t>
            </w:r>
          </w:p>
        </w:tc>
      </w:tr>
      <w:tr>
        <w:trPr/>
        <w:tc>
          <w:tcPr>
            <w:tcW w:w="437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75" w:type="dxa"/>
            <w:tcBorders/>
            <w:vAlign w:val="center"/>
          </w:tcPr>
          <w:p>
            <w:pPr>
              <w:pStyle w:val="TableContents"/>
              <w:bidi w:val="0"/>
              <w:spacing w:before="0" w:after="283"/>
              <w:jc w:val="left"/>
              <w:rPr>
                <w:color w:val="000000"/>
              </w:rPr>
            </w:pPr>
            <w:r>
              <w:rPr>
                <w:color w:val="000000"/>
              </w:rPr>
              <w:t> </w:t>
            </w:r>
            <w:bookmarkStart w:id="461" w:name="xdx_406_eus-gaap--AssetsCurrent_iI_zBiex"/>
            <w:bookmarkEnd w:id="461"/>
          </w:p>
        </w:tc>
      </w:tr>
      <w:tr>
        <w:trPr/>
        <w:tc>
          <w:tcPr>
            <w:tcW w:w="4370" w:type="dxa"/>
            <w:tcBorders/>
            <w:shd w:fill="CCEEFF" w:val="clear"/>
            <w:vAlign w:val="center"/>
          </w:tcPr>
          <w:p>
            <w:pPr>
              <w:pStyle w:val="TableContents"/>
              <w:bidi w:val="0"/>
              <w:spacing w:before="0" w:after="283"/>
              <w:jc w:val="both"/>
              <w:rPr>
                <w:color w:val="000000"/>
              </w:rPr>
            </w:pPr>
            <w:r>
              <w:rPr>
                <w:color w:val="000000"/>
              </w:rPr>
              <w:t>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w:t>
            </w:r>
          </w:p>
        </w:tc>
        <w:tc>
          <w:tcPr>
            <w:tcW w:w="1587" w:type="dxa"/>
            <w:tcBorders/>
            <w:shd w:fill="CCEEFF" w:val="clear"/>
            <w:vAlign w:val="center"/>
          </w:tcPr>
          <w:p>
            <w:pPr>
              <w:pStyle w:val="TableContents"/>
              <w:bidi w:val="0"/>
              <w:spacing w:before="0" w:after="283"/>
              <w:jc w:val="right"/>
              <w:rPr>
                <w:color w:val="000000"/>
              </w:rPr>
            </w:pPr>
            <w:r>
              <w:rPr>
                <w:color w:val="000000"/>
              </w:rPr>
              <w:t>11,140,000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color w:val="000000"/>
              </w:rPr>
            </w:pPr>
            <w:r>
              <w:rPr>
                <w:color w:val="000000"/>
              </w:rPr>
              <w:t>$</w:t>
            </w:r>
          </w:p>
        </w:tc>
        <w:tc>
          <w:tcPr>
            <w:tcW w:w="1534" w:type="dxa"/>
            <w:tcBorders/>
            <w:shd w:fill="CCEEFF" w:val="clear"/>
            <w:vAlign w:val="center"/>
          </w:tcPr>
          <w:p>
            <w:pPr>
              <w:pStyle w:val="TableContents"/>
              <w:bidi w:val="0"/>
              <w:spacing w:before="0" w:after="283"/>
              <w:jc w:val="right"/>
              <w:rPr>
                <w:color w:val="000000"/>
              </w:rPr>
            </w:pPr>
            <w:r>
              <w:rPr>
                <w:color w:val="000000"/>
              </w:rPr>
              <w:t>15,350,000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62" w:name="xdx_40A_eus-gaap--AssetsNoncurrent_iI_z9"/>
            <w:bookmarkEnd w:id="462"/>
          </w:p>
        </w:tc>
      </w:tr>
      <w:tr>
        <w:trPr/>
        <w:tc>
          <w:tcPr>
            <w:tcW w:w="4370" w:type="dxa"/>
            <w:tcBorders/>
            <w:shd w:fill="FFFFFF" w:val="clear"/>
            <w:vAlign w:val="center"/>
          </w:tcPr>
          <w:p>
            <w:pPr>
              <w:pStyle w:val="TableContents"/>
              <w:bidi w:val="0"/>
              <w:spacing w:before="0" w:after="283"/>
              <w:jc w:val="both"/>
              <w:rPr>
                <w:color w:val="000000"/>
              </w:rPr>
            </w:pPr>
            <w:r>
              <w:rPr>
                <w:color w:val="000000"/>
              </w:rPr>
              <w:t>Non-current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780,000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652,000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63" w:name="xdx_40C_eus-gaap--Assets_iI_z7qjkwkMewo2"/>
            <w:bookmarkEnd w:id="463"/>
          </w:p>
        </w:tc>
      </w:tr>
      <w:tr>
        <w:trPr/>
        <w:tc>
          <w:tcPr>
            <w:tcW w:w="4370" w:type="dxa"/>
            <w:tcBorders/>
            <w:shd w:fill="CCEEFF" w:val="clear"/>
            <w:vAlign w:val="center"/>
          </w:tcPr>
          <w:p>
            <w:pPr>
              <w:pStyle w:val="TableContents"/>
              <w:bidi w:val="0"/>
              <w:spacing w:before="0" w:after="283"/>
              <w:jc w:val="both"/>
              <w:rPr>
                <w:color w:val="000000"/>
              </w:rPr>
            </w:pPr>
            <w:r>
              <w:rPr>
                <w:color w:val="000000"/>
              </w:rPr>
              <w:t>Total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11,920,000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16,002,000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370"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shd w:fill="FFFFFF" w:val="clear"/>
            <w:vAlign w:val="center"/>
          </w:tcPr>
          <w:p>
            <w:pPr>
              <w:pStyle w:val="TableContents"/>
              <w:bidi w:val="0"/>
              <w:spacing w:before="0" w:after="283"/>
              <w:jc w:val="left"/>
              <w:rPr>
                <w:color w:val="000000"/>
              </w:rPr>
            </w:pPr>
            <w:r>
              <w:rPr>
                <w:color w:val="000000"/>
              </w:rPr>
              <w:t> </w:t>
            </w:r>
          </w:p>
        </w:tc>
        <w:tc>
          <w:tcPr>
            <w:tcW w:w="1587"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shd w:fill="FFFFFF" w:val="clear"/>
            <w:vAlign w:val="center"/>
          </w:tcPr>
          <w:p>
            <w:pPr>
              <w:pStyle w:val="TableContents"/>
              <w:bidi w:val="0"/>
              <w:spacing w:before="0" w:after="283"/>
              <w:jc w:val="left"/>
              <w:rPr>
                <w:color w:val="000000"/>
              </w:rPr>
            </w:pPr>
            <w:r>
              <w:rPr>
                <w:color w:val="000000"/>
              </w:rPr>
              <w:t> </w:t>
            </w:r>
          </w:p>
        </w:tc>
        <w:tc>
          <w:tcPr>
            <w:tcW w:w="1534" w:type="dxa"/>
            <w:tcBorders/>
            <w:shd w:fill="FFFFFF" w:val="clear"/>
            <w:vAlign w:val="center"/>
          </w:tcPr>
          <w:p>
            <w:pPr>
              <w:pStyle w:val="TableContents"/>
              <w:bidi w:val="0"/>
              <w:spacing w:before="0" w:after="283"/>
              <w:jc w:val="right"/>
              <w:rPr>
                <w:color w:val="000000"/>
              </w:rPr>
            </w:pPr>
            <w:r>
              <w:rPr>
                <w:color w:val="000000"/>
              </w:rPr>
              <w:t> </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64" w:name="xdx_401_eus-gaap--Liabilities_iI_z9dWsAL"/>
            <w:bookmarkEnd w:id="464"/>
          </w:p>
        </w:tc>
      </w:tr>
      <w:tr>
        <w:trPr/>
        <w:tc>
          <w:tcPr>
            <w:tcW w:w="4370" w:type="dxa"/>
            <w:tcBorders/>
            <w:shd w:fill="CCEEFF" w:val="clear"/>
            <w:vAlign w:val="center"/>
          </w:tcPr>
          <w:p>
            <w:pPr>
              <w:pStyle w:val="TableContents"/>
              <w:bidi w:val="0"/>
              <w:spacing w:before="0" w:after="283"/>
              <w:jc w:val="both"/>
              <w:rPr>
                <w:color w:val="000000"/>
              </w:rPr>
            </w:pPr>
            <w:r>
              <w:rPr>
                <w:color w:val="000000"/>
              </w:rPr>
              <w:t>Total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w:t>
            </w:r>
          </w:p>
        </w:tc>
        <w:tc>
          <w:tcPr>
            <w:tcW w:w="1587" w:type="dxa"/>
            <w:tcBorders/>
            <w:shd w:fill="CCEEFF" w:val="clear"/>
            <w:vAlign w:val="center"/>
          </w:tcPr>
          <w:p>
            <w:pPr>
              <w:pStyle w:val="TableContents"/>
              <w:bidi w:val="0"/>
              <w:spacing w:before="0" w:after="283"/>
              <w:jc w:val="right"/>
              <w:rPr>
                <w:color w:val="000000"/>
              </w:rPr>
            </w:pPr>
            <w:r>
              <w:rPr>
                <w:color w:val="000000"/>
              </w:rPr>
              <w:t>1,392,000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color w:val="000000"/>
              </w:rPr>
            </w:pPr>
            <w:r>
              <w:rPr>
                <w:color w:val="000000"/>
              </w:rPr>
              <w:t>$</w:t>
            </w:r>
          </w:p>
        </w:tc>
        <w:tc>
          <w:tcPr>
            <w:tcW w:w="1534" w:type="dxa"/>
            <w:tcBorders/>
            <w:shd w:fill="CCEEFF" w:val="clear"/>
            <w:vAlign w:val="center"/>
          </w:tcPr>
          <w:p>
            <w:pPr>
              <w:pStyle w:val="TableContents"/>
              <w:bidi w:val="0"/>
              <w:spacing w:before="0" w:after="283"/>
              <w:jc w:val="right"/>
              <w:rPr>
                <w:color w:val="000000"/>
              </w:rPr>
            </w:pPr>
            <w:r>
              <w:rPr>
                <w:color w:val="000000"/>
              </w:rPr>
              <w:t>1,586,000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65" w:name="xdx_406_eus-gaap--StockholdersEquity_iI_"/>
            <w:bookmarkEnd w:id="465"/>
          </w:p>
        </w:tc>
      </w:tr>
      <w:tr>
        <w:trPr/>
        <w:tc>
          <w:tcPr>
            <w:tcW w:w="4370" w:type="dxa"/>
            <w:tcBorders/>
            <w:shd w:fill="FFFFFF" w:val="clear"/>
            <w:vAlign w:val="center"/>
          </w:tcPr>
          <w:p>
            <w:pPr>
              <w:pStyle w:val="TableContents"/>
              <w:bidi w:val="0"/>
              <w:spacing w:before="0" w:after="283"/>
              <w:jc w:val="both"/>
              <w:rPr>
                <w:color w:val="000000"/>
              </w:rPr>
            </w:pPr>
            <w:r>
              <w:rPr>
                <w:color w:val="000000"/>
              </w:rPr>
              <w:t>Total preferred stock and stockholders’ 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10,528,000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14,416,000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66" w:name="xdx_404_eus-gaap--LiabilitiesAndStockhol"/>
            <w:bookmarkEnd w:id="466"/>
          </w:p>
        </w:tc>
      </w:tr>
      <w:tr>
        <w:trPr/>
        <w:tc>
          <w:tcPr>
            <w:tcW w:w="4370" w:type="dxa"/>
            <w:tcBorders/>
            <w:shd w:fill="CCEEFF" w:val="clear"/>
            <w:vAlign w:val="center"/>
          </w:tcPr>
          <w:p>
            <w:pPr>
              <w:pStyle w:val="TableContents"/>
              <w:bidi w:val="0"/>
              <w:spacing w:before="0" w:after="283"/>
              <w:jc w:val="both"/>
              <w:rPr>
                <w:color w:val="000000"/>
              </w:rPr>
            </w:pPr>
            <w:r>
              <w:rPr>
                <w:color w:val="000000"/>
              </w:rPr>
              <w:t>Total liabilities and stockholders’ equity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11,920,000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16,002,000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467" w:name="xdx_8AE_zYxzR2szLDI5"/>
      <w:bookmarkEnd w:id="467"/>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468" w:name="xdx_804_eus-gaap--InventoryDisclosureTex"/>
      <w:bookmarkEnd w:id="468"/>
      <w:r>
        <w:rPr>
          <w:rFonts w:ascii="Times New Roman;Times;Serif" w:hAnsi="Times New Roman;Times;Serif"/>
          <w:b/>
          <w:i w:val="false"/>
          <w:caps w:val="false"/>
          <w:smallCaps w:val="false"/>
          <w:color w:val="000000"/>
          <w:sz w:val="20"/>
        </w:rPr>
        <w:t>NOTE 7.</w:t>
      </w:r>
      <w:bookmarkStart w:id="469" w:name="xdx_82C_z21MMcpbWDHl"/>
      <w:bookmarkEnd w:id="469"/>
      <w:r>
        <w:rPr>
          <w:rFonts w:ascii="Times New Roman;Times;Serif" w:hAnsi="Times New Roman;Times;Serif"/>
          <w:b/>
          <w:i w:val="false"/>
          <w:caps w:val="false"/>
          <w:smallCaps w:val="false"/>
          <w:color w:val="000000"/>
          <w:sz w:val="20"/>
        </w:rPr>
        <w:t xml:space="preserve"> INVENTORIES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Inventories are comprised of finished compounded formulations, over-the-counter and prescription retail pharmacy products, branded pharmaceutical products, including those held at the Company’s 3PL partner, related laboratory supplies and active pharmaceutical ingredients. The composition of inventories as of September 30, 2023 and December 31, 2022 was as follows: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bookmarkStart w:id="470" w:name="xdx_8B5_z1WscnQAov4i"/>
      <w:bookmarkStart w:id="471" w:name="xdx_89F_eus-gaap--ScheduleOfInventoryCur"/>
      <w:bookmarkEnd w:id="470"/>
      <w:bookmarkEnd w:id="471"/>
      <w:r>
        <w:rPr>
          <w:rFonts w:ascii="Times New Roman;Times;Serif" w:hAnsi="Times New Roman;Times;Serif"/>
          <w:b w:val="false"/>
          <w:i w:val="false"/>
          <w:caps w:val="false"/>
          <w:smallCaps w:val="false"/>
          <w:color w:val="000000"/>
          <w:sz w:val="20"/>
        </w:rPr>
        <w:t>SCHEDULE OF INVENTORIES</w:t>
      </w:r>
    </w:p>
    <w:tbl>
      <w:tblPr>
        <w:tblW w:w="5893" w:type="dxa"/>
        <w:jc w:val="left"/>
        <w:tblInd w:w="0" w:type="dxa"/>
        <w:tblLayout w:type="fixed"/>
        <w:tblCellMar>
          <w:top w:w="0" w:type="dxa"/>
          <w:left w:w="0" w:type="dxa"/>
          <w:bottom w:w="0" w:type="dxa"/>
          <w:right w:w="0" w:type="dxa"/>
        </w:tblCellMar>
      </w:tblPr>
      <w:tblGrid>
        <w:gridCol w:w="1670"/>
        <w:gridCol w:w="60"/>
        <w:gridCol w:w="251"/>
        <w:gridCol w:w="1763"/>
        <w:gridCol w:w="60"/>
        <w:gridCol w:w="60"/>
        <w:gridCol w:w="244"/>
        <w:gridCol w:w="1710"/>
        <w:gridCol w:w="75"/>
      </w:tblGrid>
      <w:tr>
        <w:trPr/>
        <w:tc>
          <w:tcPr>
            <w:tcW w:w="167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72" w:name="xdx_499_20230930_zOHVGGSmPl85"/>
            <w:bookmarkEnd w:id="472"/>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 2023</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73" w:name="xdx_499_20221231_zBn3xWzWG5E5"/>
            <w:bookmarkEnd w:id="473"/>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December 31, 2022</w:t>
            </w:r>
          </w:p>
        </w:tc>
        <w:tc>
          <w:tcPr>
            <w:tcW w:w="75" w:type="dxa"/>
            <w:tcBorders/>
            <w:vAlign w:val="center"/>
          </w:tcPr>
          <w:p>
            <w:pPr>
              <w:pStyle w:val="TableContents"/>
              <w:bidi w:val="0"/>
              <w:spacing w:before="0" w:after="283"/>
              <w:jc w:val="left"/>
              <w:rPr>
                <w:color w:val="000000"/>
              </w:rPr>
            </w:pPr>
            <w:r>
              <w:rPr>
                <w:color w:val="000000"/>
              </w:rPr>
              <w:t> </w:t>
            </w:r>
            <w:bookmarkStart w:id="474" w:name="xdx_40F_eus-gaap--InventoryRawMaterials_"/>
            <w:bookmarkEnd w:id="474"/>
          </w:p>
        </w:tc>
      </w:tr>
      <w:tr>
        <w:trPr/>
        <w:tc>
          <w:tcPr>
            <w:tcW w:w="1670" w:type="dxa"/>
            <w:tcBorders/>
            <w:shd w:fill="CCEEFF" w:val="clear"/>
            <w:vAlign w:val="center"/>
          </w:tcPr>
          <w:p>
            <w:pPr>
              <w:pStyle w:val="TableContents"/>
              <w:bidi w:val="0"/>
              <w:spacing w:before="0" w:after="283"/>
              <w:jc w:val="left"/>
              <w:rPr>
                <w:color w:val="000000"/>
              </w:rPr>
            </w:pPr>
            <w:r>
              <w:rPr>
                <w:color w:val="000000"/>
              </w:rPr>
              <w:t>Raw materials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1" w:type="dxa"/>
            <w:tcBorders/>
            <w:shd w:fill="CCEEFF" w:val="clear"/>
            <w:vAlign w:val="center"/>
          </w:tcPr>
          <w:p>
            <w:pPr>
              <w:pStyle w:val="TableContents"/>
              <w:bidi w:val="0"/>
              <w:spacing w:before="0" w:after="283"/>
              <w:jc w:val="left"/>
              <w:rPr>
                <w:color w:val="000000"/>
              </w:rPr>
            </w:pPr>
            <w:r>
              <w:rPr>
                <w:color w:val="000000"/>
              </w:rPr>
              <w:t>$</w:t>
            </w:r>
          </w:p>
        </w:tc>
        <w:tc>
          <w:tcPr>
            <w:tcW w:w="1763" w:type="dxa"/>
            <w:tcBorders/>
            <w:shd w:fill="CCEEFF" w:val="clear"/>
            <w:vAlign w:val="center"/>
          </w:tcPr>
          <w:p>
            <w:pPr>
              <w:pStyle w:val="TableContents"/>
              <w:bidi w:val="0"/>
              <w:spacing w:before="0" w:after="283"/>
              <w:jc w:val="right"/>
              <w:rPr>
                <w:color w:val="000000"/>
              </w:rPr>
            </w:pPr>
            <w:r>
              <w:rPr>
                <w:color w:val="000000"/>
              </w:rPr>
              <w:t>5,289,000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w:t>
            </w:r>
          </w:p>
        </w:tc>
        <w:tc>
          <w:tcPr>
            <w:tcW w:w="1710" w:type="dxa"/>
            <w:tcBorders/>
            <w:shd w:fill="CCEEFF" w:val="clear"/>
            <w:vAlign w:val="center"/>
          </w:tcPr>
          <w:p>
            <w:pPr>
              <w:pStyle w:val="TableContents"/>
              <w:bidi w:val="0"/>
              <w:spacing w:before="0" w:after="283"/>
              <w:jc w:val="right"/>
              <w:rPr>
                <w:color w:val="000000"/>
              </w:rPr>
            </w:pPr>
            <w:r>
              <w:rPr>
                <w:color w:val="000000"/>
              </w:rPr>
              <w:t>3,707,000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75" w:name="xdx_402_eus-gaap--InventoryWorkInProcess"/>
            <w:bookmarkEnd w:id="475"/>
          </w:p>
        </w:tc>
      </w:tr>
      <w:tr>
        <w:trPr/>
        <w:tc>
          <w:tcPr>
            <w:tcW w:w="1670" w:type="dxa"/>
            <w:tcBorders/>
            <w:shd w:fill="FFFFFF" w:val="clear"/>
            <w:vAlign w:val="center"/>
          </w:tcPr>
          <w:p>
            <w:pPr>
              <w:pStyle w:val="TableContents"/>
              <w:bidi w:val="0"/>
              <w:spacing w:before="0" w:after="283"/>
              <w:jc w:val="left"/>
              <w:rPr>
                <w:color w:val="000000"/>
              </w:rPr>
            </w:pPr>
            <w:r>
              <w:rPr>
                <w:color w:val="000000"/>
              </w:rPr>
              <w:t>Work in progress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1" w:type="dxa"/>
            <w:tcBorders/>
            <w:shd w:fill="FFFFFF" w:val="clear"/>
            <w:vAlign w:val="center"/>
          </w:tcPr>
          <w:p>
            <w:pPr>
              <w:pStyle w:val="TableContents"/>
              <w:bidi w:val="0"/>
              <w:spacing w:before="0" w:after="283"/>
              <w:jc w:val="left"/>
              <w:rPr>
                <w:color w:val="000000"/>
              </w:rPr>
            </w:pPr>
            <w:r>
              <w:rPr>
                <w:color w:val="000000"/>
              </w:rPr>
              <w:t> </w:t>
            </w:r>
          </w:p>
        </w:tc>
        <w:tc>
          <w:tcPr>
            <w:tcW w:w="1763" w:type="dxa"/>
            <w:tcBorders/>
            <w:shd w:fill="FFFFFF" w:val="clear"/>
            <w:vAlign w:val="center"/>
          </w:tcPr>
          <w:p>
            <w:pPr>
              <w:pStyle w:val="TableContents"/>
              <w:bidi w:val="0"/>
              <w:spacing w:before="0" w:after="283"/>
              <w:jc w:val="right"/>
              <w:rPr>
                <w:color w:val="000000"/>
              </w:rPr>
            </w:pPr>
            <w:r>
              <w:rPr>
                <w:color w:val="000000"/>
              </w:rPr>
              <w:t>113,000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shd w:fill="FFFFFF" w:val="clear"/>
            <w:vAlign w:val="center"/>
          </w:tcPr>
          <w:p>
            <w:pPr>
              <w:pStyle w:val="TableContents"/>
              <w:bidi w:val="0"/>
              <w:spacing w:before="0" w:after="283"/>
              <w:jc w:val="left"/>
              <w:rPr>
                <w:color w:val="000000"/>
              </w:rPr>
            </w:pPr>
            <w:r>
              <w:rPr>
                <w:color w:val="000000"/>
              </w:rPr>
              <w:t> </w:t>
            </w:r>
          </w:p>
        </w:tc>
        <w:tc>
          <w:tcPr>
            <w:tcW w:w="1710" w:type="dxa"/>
            <w:tcBorders/>
            <w:shd w:fill="FFFFFF" w:val="clear"/>
            <w:vAlign w:val="center"/>
          </w:tcPr>
          <w:p>
            <w:pPr>
              <w:pStyle w:val="TableContents"/>
              <w:bidi w:val="0"/>
              <w:spacing w:before="0" w:after="283"/>
              <w:jc w:val="right"/>
              <w:rPr>
                <w:color w:val="000000"/>
              </w:rPr>
            </w:pPr>
            <w:r>
              <w:rPr>
                <w:color w:val="000000"/>
              </w:rPr>
              <w:t>38,000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76" w:name="xdx_409_eus-gaap--InventoryFinishedGoods"/>
            <w:bookmarkEnd w:id="476"/>
          </w:p>
        </w:tc>
      </w:tr>
      <w:tr>
        <w:trPr/>
        <w:tc>
          <w:tcPr>
            <w:tcW w:w="1670" w:type="dxa"/>
            <w:tcBorders/>
            <w:shd w:fill="CCEEFF" w:val="clear"/>
            <w:vAlign w:val="center"/>
          </w:tcPr>
          <w:p>
            <w:pPr>
              <w:pStyle w:val="TableContents"/>
              <w:bidi w:val="0"/>
              <w:spacing w:before="0" w:after="283"/>
              <w:jc w:val="left"/>
              <w:rPr>
                <w:color w:val="000000"/>
              </w:rPr>
            </w:pPr>
            <w:r>
              <w:rPr>
                <w:color w:val="000000"/>
              </w:rPr>
              <w:t>Finished goods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63"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3,522,000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2,796,000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77" w:name="xdx_408_eus-gaap--InventoryNet_iTI_mtCzf"/>
            <w:bookmarkEnd w:id="477"/>
          </w:p>
        </w:tc>
      </w:tr>
      <w:tr>
        <w:trPr/>
        <w:tc>
          <w:tcPr>
            <w:tcW w:w="1670" w:type="dxa"/>
            <w:tcBorders/>
            <w:shd w:fill="FFFFFF" w:val="clear"/>
            <w:vAlign w:val="center"/>
          </w:tcPr>
          <w:p>
            <w:pPr>
              <w:pStyle w:val="TableContents"/>
              <w:bidi w:val="0"/>
              <w:spacing w:before="0" w:after="283"/>
              <w:jc w:val="left"/>
              <w:rPr>
                <w:color w:val="000000"/>
              </w:rPr>
            </w:pPr>
            <w:r>
              <w:rPr>
                <w:color w:val="000000"/>
              </w:rPr>
              <w:t>Total inventories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763"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8,924,000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6,541,000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bookmarkStart w:id="478" w:name="xdx_8AB_zZWDhtaNWqri"/>
      <w:bookmarkEnd w:id="478"/>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479" w:name="xdx_805_eus-gaap--OtherAssetsDisclosureT"/>
      <w:bookmarkEnd w:id="479"/>
      <w:r>
        <w:rPr>
          <w:rFonts w:ascii="Times New Roman;Times;Serif" w:hAnsi="Times New Roman;Times;Serif"/>
          <w:b/>
          <w:i w:val="false"/>
          <w:caps w:val="false"/>
          <w:smallCaps w:val="false"/>
          <w:color w:val="000000"/>
          <w:sz w:val="20"/>
        </w:rPr>
        <w:t xml:space="preserve">NOTE 8. </w:t>
      </w:r>
      <w:bookmarkStart w:id="480" w:name="xdx_825_zZltvbhNmNE9"/>
      <w:bookmarkEnd w:id="480"/>
      <w:r>
        <w:rPr>
          <w:rFonts w:ascii="Times New Roman;Times;Serif" w:hAnsi="Times New Roman;Times;Serif"/>
          <w:b/>
          <w:i w:val="false"/>
          <w:caps w:val="false"/>
          <w:smallCaps w:val="false"/>
          <w:color w:val="000000"/>
          <w:sz w:val="20"/>
        </w:rPr>
        <w:t>PREPAID EXPENSES AND OTHER CURRENT ASSETS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81" w:name="xdx_892_eus-gaap--DeferredCostsCapitaliz"/>
      <w:bookmarkEnd w:id="481"/>
      <w:r>
        <w:rPr>
          <w:rFonts w:ascii="Times New Roman;Times;Serif" w:hAnsi="Times New Roman;Times;Serif"/>
          <w:b w:val="false"/>
          <w:i w:val="false"/>
          <w:caps w:val="false"/>
          <w:smallCaps w:val="false"/>
          <w:color w:val="000000"/>
          <w:sz w:val="20"/>
        </w:rPr>
        <w:t>Prepaid expenses and other current assets at September 30, 2023 and December 31, 2022 consisted of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2" w:name="xdx_8BF_zadHarMbAUP1"/>
      <w:bookmarkEnd w:id="482"/>
      <w:r>
        <w:rPr>
          <w:rFonts w:ascii="Times New Roman;Times;Serif" w:hAnsi="Times New Roman;Times;Serif"/>
          <w:b w:val="false"/>
          <w:i w:val="false"/>
          <w:caps w:val="false"/>
          <w:smallCaps w:val="false"/>
          <w:sz w:val="20"/>
        </w:rPr>
        <w:t>SCHEDULE OF PREPAID EXPENSES AND OTHER CURRENT ASSETS</w:t>
      </w:r>
    </w:p>
    <w:tbl>
      <w:tblPr>
        <w:tblW w:w="9598" w:type="dxa"/>
        <w:jc w:val="left"/>
        <w:tblInd w:w="0" w:type="dxa"/>
        <w:tblLayout w:type="fixed"/>
        <w:tblCellMar>
          <w:top w:w="0" w:type="dxa"/>
          <w:left w:w="0" w:type="dxa"/>
          <w:bottom w:w="0" w:type="dxa"/>
          <w:right w:w="0" w:type="dxa"/>
        </w:tblCellMar>
      </w:tblPr>
      <w:tblGrid>
        <w:gridCol w:w="5375"/>
        <w:gridCol w:w="60"/>
        <w:gridCol w:w="251"/>
        <w:gridCol w:w="1763"/>
        <w:gridCol w:w="60"/>
        <w:gridCol w:w="60"/>
        <w:gridCol w:w="244"/>
        <w:gridCol w:w="1710"/>
        <w:gridCol w:w="75"/>
      </w:tblGrid>
      <w:tr>
        <w:trPr/>
        <w:tc>
          <w:tcPr>
            <w:tcW w:w="53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83" w:name="xdx_492_20230930_zMMdWNa32mhd"/>
            <w:bookmarkEnd w:id="483"/>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 2023</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84" w:name="xdx_499_20221231_zsgIb86TtoPg"/>
            <w:bookmarkEnd w:id="484"/>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December 31, 2022</w:t>
            </w:r>
          </w:p>
        </w:tc>
        <w:tc>
          <w:tcPr>
            <w:tcW w:w="75" w:type="dxa"/>
            <w:tcBorders/>
            <w:vAlign w:val="center"/>
          </w:tcPr>
          <w:p>
            <w:pPr>
              <w:pStyle w:val="TableContents"/>
              <w:bidi w:val="0"/>
              <w:spacing w:before="0" w:after="283"/>
              <w:jc w:val="left"/>
              <w:rPr>
                <w:color w:val="000000"/>
              </w:rPr>
            </w:pPr>
            <w:r>
              <w:rPr>
                <w:color w:val="000000"/>
              </w:rPr>
              <w:t> </w:t>
            </w:r>
            <w:bookmarkStart w:id="485" w:name="xdx_40A_eus-gaap--PrepaidInsurance_iI_ma"/>
            <w:bookmarkEnd w:id="485"/>
          </w:p>
        </w:tc>
      </w:tr>
      <w:tr>
        <w:trPr/>
        <w:tc>
          <w:tcPr>
            <w:tcW w:w="5375" w:type="dxa"/>
            <w:tcBorders/>
            <w:shd w:fill="CCEEFF" w:val="clear"/>
            <w:vAlign w:val="center"/>
          </w:tcPr>
          <w:p>
            <w:pPr>
              <w:pStyle w:val="TableContents"/>
              <w:bidi w:val="0"/>
              <w:spacing w:before="0" w:after="283"/>
              <w:jc w:val="left"/>
              <w:rPr>
                <w:color w:val="000000"/>
              </w:rPr>
            </w:pPr>
            <w:r>
              <w:rPr>
                <w:color w:val="000000"/>
              </w:rPr>
              <w:t>Prepaid insurance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1" w:type="dxa"/>
            <w:tcBorders/>
            <w:shd w:fill="CCEEFF" w:val="clear"/>
            <w:vAlign w:val="center"/>
          </w:tcPr>
          <w:p>
            <w:pPr>
              <w:pStyle w:val="TableContents"/>
              <w:bidi w:val="0"/>
              <w:spacing w:before="0" w:after="283"/>
              <w:jc w:val="left"/>
              <w:rPr>
                <w:color w:val="000000"/>
              </w:rPr>
            </w:pPr>
            <w:r>
              <w:rPr>
                <w:color w:val="000000"/>
              </w:rPr>
              <w:t>$</w:t>
            </w:r>
          </w:p>
        </w:tc>
        <w:tc>
          <w:tcPr>
            <w:tcW w:w="1763" w:type="dxa"/>
            <w:tcBorders/>
            <w:shd w:fill="CCEEFF" w:val="clear"/>
            <w:vAlign w:val="center"/>
          </w:tcPr>
          <w:p>
            <w:pPr>
              <w:pStyle w:val="TableContents"/>
              <w:bidi w:val="0"/>
              <w:spacing w:before="0" w:after="283"/>
              <w:jc w:val="right"/>
              <w:rPr>
                <w:color w:val="000000"/>
              </w:rPr>
            </w:pPr>
            <w:r>
              <w:rPr>
                <w:color w:val="000000"/>
              </w:rPr>
              <w:t>1,817,000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w:t>
            </w:r>
          </w:p>
        </w:tc>
        <w:tc>
          <w:tcPr>
            <w:tcW w:w="1710" w:type="dxa"/>
            <w:tcBorders/>
            <w:shd w:fill="CCEEFF" w:val="clear"/>
            <w:vAlign w:val="center"/>
          </w:tcPr>
          <w:p>
            <w:pPr>
              <w:pStyle w:val="TableContents"/>
              <w:bidi w:val="0"/>
              <w:spacing w:before="0" w:after="283"/>
              <w:jc w:val="right"/>
              <w:rPr>
                <w:color w:val="000000"/>
              </w:rPr>
            </w:pPr>
            <w:r>
              <w:rPr>
                <w:color w:val="000000"/>
              </w:rPr>
              <w:t>858,000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86" w:name="xdx_40D_eus-gaap--PrepaidRoyalties_iI_ma"/>
            <w:bookmarkEnd w:id="486"/>
          </w:p>
        </w:tc>
      </w:tr>
      <w:tr>
        <w:trPr/>
        <w:tc>
          <w:tcPr>
            <w:tcW w:w="5375" w:type="dxa"/>
            <w:tcBorders/>
            <w:shd w:fill="FFFFFF" w:val="clear"/>
            <w:vAlign w:val="center"/>
          </w:tcPr>
          <w:p>
            <w:pPr>
              <w:pStyle w:val="TableContents"/>
              <w:bidi w:val="0"/>
              <w:spacing w:before="0" w:after="283"/>
              <w:jc w:val="left"/>
              <w:rPr>
                <w:color w:val="000000"/>
              </w:rPr>
            </w:pPr>
            <w:r>
              <w:rPr>
                <w:color w:val="000000"/>
              </w:rPr>
              <w:t>Prepaid computer software licenses and related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1" w:type="dxa"/>
            <w:tcBorders/>
            <w:shd w:fill="FFFFFF" w:val="clear"/>
            <w:vAlign w:val="center"/>
          </w:tcPr>
          <w:p>
            <w:pPr>
              <w:pStyle w:val="TableContents"/>
              <w:bidi w:val="0"/>
              <w:spacing w:before="0" w:after="283"/>
              <w:jc w:val="left"/>
              <w:rPr>
                <w:color w:val="000000"/>
              </w:rPr>
            </w:pPr>
            <w:r>
              <w:rPr>
                <w:color w:val="000000"/>
              </w:rPr>
              <w:t> </w:t>
            </w:r>
          </w:p>
        </w:tc>
        <w:tc>
          <w:tcPr>
            <w:tcW w:w="1763" w:type="dxa"/>
            <w:tcBorders/>
            <w:shd w:fill="FFFFFF" w:val="clear"/>
            <w:vAlign w:val="center"/>
          </w:tcPr>
          <w:p>
            <w:pPr>
              <w:pStyle w:val="TableContents"/>
              <w:bidi w:val="0"/>
              <w:spacing w:before="0" w:after="283"/>
              <w:jc w:val="right"/>
              <w:rPr>
                <w:color w:val="000000"/>
              </w:rPr>
            </w:pPr>
            <w:r>
              <w:rPr>
                <w:color w:val="000000"/>
              </w:rPr>
              <w:t>768,000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shd w:fill="FFFFFF" w:val="clear"/>
            <w:vAlign w:val="center"/>
          </w:tcPr>
          <w:p>
            <w:pPr>
              <w:pStyle w:val="TableContents"/>
              <w:bidi w:val="0"/>
              <w:spacing w:before="0" w:after="283"/>
              <w:jc w:val="left"/>
              <w:rPr>
                <w:color w:val="000000"/>
              </w:rPr>
            </w:pPr>
            <w:r>
              <w:rPr>
                <w:color w:val="000000"/>
              </w:rPr>
              <w:t> </w:t>
            </w:r>
          </w:p>
        </w:tc>
        <w:tc>
          <w:tcPr>
            <w:tcW w:w="1710" w:type="dxa"/>
            <w:tcBorders/>
            <w:shd w:fill="FFFFFF" w:val="clear"/>
            <w:vAlign w:val="center"/>
          </w:tcPr>
          <w:p>
            <w:pPr>
              <w:pStyle w:val="TableContents"/>
              <w:bidi w:val="0"/>
              <w:spacing w:before="0" w:after="283"/>
              <w:jc w:val="right"/>
              <w:rPr>
                <w:color w:val="000000"/>
              </w:rPr>
            </w:pPr>
            <w:r>
              <w:rPr>
                <w:color w:val="000000"/>
              </w:rPr>
              <w:t>1,165,000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87" w:name="xdx_40D_eus-gaap--OtherReceivables_iI_ma"/>
            <w:bookmarkEnd w:id="487"/>
          </w:p>
        </w:tc>
      </w:tr>
      <w:tr>
        <w:trPr/>
        <w:tc>
          <w:tcPr>
            <w:tcW w:w="5375" w:type="dxa"/>
            <w:tcBorders/>
            <w:shd w:fill="CCEEFF" w:val="clear"/>
            <w:vAlign w:val="center"/>
          </w:tcPr>
          <w:p>
            <w:pPr>
              <w:pStyle w:val="TableContents"/>
              <w:bidi w:val="0"/>
              <w:spacing w:before="0" w:after="283"/>
              <w:jc w:val="left"/>
              <w:rPr>
                <w:color w:val="000000"/>
              </w:rPr>
            </w:pPr>
            <w:r>
              <w:rPr>
                <w:color w:val="000000"/>
              </w:rPr>
              <w:t>Due from Melt Pharmaceuticals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1" w:type="dxa"/>
            <w:tcBorders/>
            <w:shd w:fill="CCEEFF" w:val="clear"/>
            <w:vAlign w:val="center"/>
          </w:tcPr>
          <w:p>
            <w:pPr>
              <w:pStyle w:val="TableContents"/>
              <w:bidi w:val="0"/>
              <w:spacing w:before="0" w:after="283"/>
              <w:jc w:val="left"/>
              <w:rPr>
                <w:color w:val="000000"/>
              </w:rPr>
            </w:pPr>
            <w:r>
              <w:rPr>
                <w:color w:val="000000"/>
              </w:rPr>
              <w:t> </w:t>
            </w:r>
          </w:p>
        </w:tc>
        <w:tc>
          <w:tcPr>
            <w:tcW w:w="1763" w:type="dxa"/>
            <w:tcBorders/>
            <w:shd w:fill="CCEEFF" w:val="clear"/>
            <w:vAlign w:val="center"/>
          </w:tcPr>
          <w:p>
            <w:pPr>
              <w:pStyle w:val="TableContents"/>
              <w:bidi w:val="0"/>
              <w:spacing w:before="0" w:after="283"/>
              <w:jc w:val="right"/>
              <w:rPr>
                <w:color w:val="000000"/>
              </w:rPr>
            </w:pPr>
            <w:r>
              <w:rPr>
                <w:color w:val="000000"/>
              </w:rPr>
              <w:t>228,000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 </w:t>
            </w:r>
          </w:p>
        </w:tc>
        <w:tc>
          <w:tcPr>
            <w:tcW w:w="1710" w:type="dxa"/>
            <w:tcBorders/>
            <w:shd w:fill="CCEEFF" w:val="clear"/>
            <w:vAlign w:val="center"/>
          </w:tcPr>
          <w:p>
            <w:pPr>
              <w:pStyle w:val="TableContents"/>
              <w:bidi w:val="0"/>
              <w:spacing w:before="0" w:after="283"/>
              <w:jc w:val="right"/>
              <w:rPr>
                <w:color w:val="000000"/>
              </w:rPr>
            </w:pPr>
            <w:r>
              <w:rPr>
                <w:color w:val="000000"/>
              </w:rPr>
              <w:t>139,000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88" w:name="xdx_402_eus-gaap--OtherPrepaidExpenseCur"/>
            <w:bookmarkEnd w:id="488"/>
          </w:p>
        </w:tc>
      </w:tr>
      <w:tr>
        <w:trPr/>
        <w:tc>
          <w:tcPr>
            <w:tcW w:w="5375" w:type="dxa"/>
            <w:tcBorders/>
            <w:shd w:fill="FFFFFF" w:val="clear"/>
            <w:vAlign w:val="center"/>
          </w:tcPr>
          <w:p>
            <w:pPr>
              <w:pStyle w:val="TableContents"/>
              <w:bidi w:val="0"/>
              <w:spacing w:before="0" w:after="283"/>
              <w:jc w:val="left"/>
              <w:rPr>
                <w:color w:val="000000"/>
              </w:rPr>
            </w:pPr>
            <w:r>
              <w:rPr>
                <w:color w:val="000000"/>
              </w:rPr>
              <w:t>Other prepaid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1" w:type="dxa"/>
            <w:tcBorders/>
            <w:shd w:fill="FFFFFF" w:val="clear"/>
            <w:vAlign w:val="center"/>
          </w:tcPr>
          <w:p>
            <w:pPr>
              <w:pStyle w:val="TableContents"/>
              <w:bidi w:val="0"/>
              <w:spacing w:before="0" w:after="283"/>
              <w:jc w:val="left"/>
              <w:rPr>
                <w:color w:val="000000"/>
              </w:rPr>
            </w:pPr>
            <w:r>
              <w:rPr>
                <w:color w:val="000000"/>
              </w:rPr>
              <w:t> </w:t>
            </w:r>
          </w:p>
        </w:tc>
        <w:tc>
          <w:tcPr>
            <w:tcW w:w="1763" w:type="dxa"/>
            <w:tcBorders/>
            <w:shd w:fill="FFFFFF" w:val="clear"/>
            <w:vAlign w:val="center"/>
          </w:tcPr>
          <w:p>
            <w:pPr>
              <w:pStyle w:val="TableContents"/>
              <w:bidi w:val="0"/>
              <w:spacing w:before="0" w:after="283"/>
              <w:jc w:val="right"/>
              <w:rPr>
                <w:color w:val="000000"/>
              </w:rPr>
            </w:pPr>
            <w:r>
              <w:rPr>
                <w:color w:val="000000"/>
              </w:rPr>
              <w:t>1,766,000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shd w:fill="FFFFFF" w:val="clear"/>
            <w:vAlign w:val="center"/>
          </w:tcPr>
          <w:p>
            <w:pPr>
              <w:pStyle w:val="TableContents"/>
              <w:bidi w:val="0"/>
              <w:spacing w:before="0" w:after="283"/>
              <w:jc w:val="left"/>
              <w:rPr>
                <w:color w:val="000000"/>
              </w:rPr>
            </w:pPr>
            <w:r>
              <w:rPr>
                <w:color w:val="000000"/>
              </w:rPr>
              <w:t> </w:t>
            </w:r>
          </w:p>
        </w:tc>
        <w:tc>
          <w:tcPr>
            <w:tcW w:w="1710" w:type="dxa"/>
            <w:tcBorders/>
            <w:shd w:fill="FFFFFF" w:val="clear"/>
            <w:vAlign w:val="center"/>
          </w:tcPr>
          <w:p>
            <w:pPr>
              <w:pStyle w:val="TableContents"/>
              <w:bidi w:val="0"/>
              <w:spacing w:before="0" w:after="283"/>
              <w:jc w:val="right"/>
              <w:rPr>
                <w:color w:val="000000"/>
              </w:rPr>
            </w:pPr>
            <w:r>
              <w:rPr>
                <w:color w:val="000000"/>
              </w:rPr>
              <w:t>937,000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89" w:name="xdx_405_eus-gaap--Supplies_iI_maCz7yK_z3"/>
            <w:bookmarkEnd w:id="489"/>
          </w:p>
        </w:tc>
      </w:tr>
      <w:tr>
        <w:trPr/>
        <w:tc>
          <w:tcPr>
            <w:tcW w:w="5375" w:type="dxa"/>
            <w:tcBorders/>
            <w:shd w:fill="CCEEFF" w:val="clear"/>
            <w:vAlign w:val="center"/>
          </w:tcPr>
          <w:p>
            <w:pPr>
              <w:pStyle w:val="TableContents"/>
              <w:bidi w:val="0"/>
              <w:spacing w:before="0" w:after="283"/>
              <w:jc w:val="left"/>
              <w:rPr>
                <w:color w:val="000000"/>
              </w:rPr>
            </w:pPr>
            <w:r>
              <w:rPr>
                <w:color w:val="000000"/>
              </w:rPr>
              <w:t>Prepaid Prescription Drug User fees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1" w:type="dxa"/>
            <w:tcBorders/>
            <w:shd w:fill="CCEEFF" w:val="clear"/>
            <w:vAlign w:val="center"/>
          </w:tcPr>
          <w:p>
            <w:pPr>
              <w:pStyle w:val="TableContents"/>
              <w:bidi w:val="0"/>
              <w:spacing w:before="0" w:after="283"/>
              <w:jc w:val="left"/>
              <w:rPr>
                <w:color w:val="000000"/>
              </w:rPr>
            </w:pPr>
            <w:r>
              <w:rPr>
                <w:color w:val="000000"/>
              </w:rPr>
              <w:t> </w:t>
            </w:r>
          </w:p>
        </w:tc>
        <w:tc>
          <w:tcPr>
            <w:tcW w:w="1763" w:type="dxa"/>
            <w:tcBorders/>
            <w:shd w:fill="CCEEFF" w:val="clear"/>
            <w:vAlign w:val="center"/>
          </w:tcPr>
          <w:p>
            <w:pPr>
              <w:pStyle w:val="TableContents"/>
              <w:bidi w:val="0"/>
              <w:spacing w:before="0" w:after="283"/>
              <w:jc w:val="right"/>
              <w:rPr>
                <w:color w:val="000000"/>
              </w:rPr>
            </w:pPr>
            <w:r>
              <w:rPr>
                <w:color w:val="000000"/>
              </w:rPr>
              <w:t>4,314,000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 </w:t>
            </w:r>
          </w:p>
        </w:tc>
        <w:tc>
          <w:tcPr>
            <w:tcW w:w="1710" w:type="dxa"/>
            <w:tcBorders/>
            <w:shd w:fill="CCEEFF" w:val="clear"/>
            <w:vAlign w:val="center"/>
          </w:tcPr>
          <w:p>
            <w:pPr>
              <w:pStyle w:val="TableContents"/>
              <w:bidi w:val="0"/>
              <w:spacing w:before="0" w:after="283"/>
              <w:jc w:val="right"/>
              <w:rPr>
                <w:color w:val="000000"/>
              </w:rPr>
            </w:pPr>
            <w:r>
              <w:rPr>
                <w:color w:val="000000"/>
              </w:rPr>
              <w:t>394,000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490" w:name="xdx_401_eus-gaap--OtherAssetsCurrent_iI_"/>
            <w:bookmarkEnd w:id="490"/>
          </w:p>
        </w:tc>
      </w:tr>
      <w:tr>
        <w:trPr/>
        <w:tc>
          <w:tcPr>
            <w:tcW w:w="5375" w:type="dxa"/>
            <w:tcBorders/>
            <w:shd w:fill="FFFFFF" w:val="clear"/>
            <w:vAlign w:val="center"/>
          </w:tcPr>
          <w:p>
            <w:pPr>
              <w:pStyle w:val="TableContents"/>
              <w:bidi w:val="0"/>
              <w:spacing w:before="0" w:after="283"/>
              <w:jc w:val="left"/>
              <w:rPr>
                <w:color w:val="000000"/>
              </w:rPr>
            </w:pPr>
            <w:r>
              <w:rPr>
                <w:color w:val="000000"/>
              </w:rPr>
              <w:t>Deposits and other 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763"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118,000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118,000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491" w:name="xdx_404_eus-gaap--PrepaidExpenseAndOther"/>
            <w:bookmarkEnd w:id="491"/>
          </w:p>
        </w:tc>
      </w:tr>
      <w:tr>
        <w:trPr/>
        <w:tc>
          <w:tcPr>
            <w:tcW w:w="5375" w:type="dxa"/>
            <w:tcBorders/>
            <w:shd w:fill="CCEEFF" w:val="clear"/>
            <w:vAlign w:val="center"/>
          </w:tcPr>
          <w:p>
            <w:pPr>
              <w:pStyle w:val="TableContents"/>
              <w:bidi w:val="0"/>
              <w:spacing w:before="0" w:after="283"/>
              <w:jc w:val="left"/>
              <w:rPr>
                <w:color w:val="000000"/>
              </w:rPr>
            </w:pPr>
            <w:r>
              <w:rPr>
                <w:color w:val="000000"/>
              </w:rPr>
              <w:t>Total prepaid expenses and other 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763"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9,011,000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3,611,000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492" w:name="xdx_8A2_z7gC61anMgG3"/>
      <w:bookmarkEnd w:id="492"/>
      <w:r>
        <w:rPr>
          <w:caps w:val="false"/>
          <w:smallCaps w:val="false"/>
          <w:color w:val="000000"/>
        </w:rPr>
        <w:t> </w:t>
      </w:r>
    </w:p>
    <w:p>
      <w:pPr>
        <w:pStyle w:val="TextBody"/>
        <w:bidi w:val="0"/>
        <w:spacing w:before="0" w:after="0"/>
        <w:ind w:left="1080" w:right="0" w:hanging="1080"/>
        <w:jc w:val="left"/>
        <w:rPr>
          <w:rFonts w:ascii="Times New Roman;Times;Serif" w:hAnsi="Times New Roman;Times;Serif"/>
          <w:b/>
          <w:i w:val="false"/>
          <w:caps w:val="false"/>
          <w:smallCaps w:val="false"/>
          <w:color w:val="000000"/>
          <w:sz w:val="20"/>
        </w:rPr>
      </w:pPr>
      <w:bookmarkStart w:id="493" w:name="xdx_80D_eus-gaap--PropertyPlantAndEquipm"/>
      <w:bookmarkEnd w:id="493"/>
      <w:r>
        <w:rPr>
          <w:rFonts w:ascii="Times New Roman;Times;Serif" w:hAnsi="Times New Roman;Times;Serif"/>
          <w:b/>
          <w:i w:val="false"/>
          <w:caps w:val="false"/>
          <w:smallCaps w:val="false"/>
          <w:color w:val="000000"/>
          <w:sz w:val="20"/>
        </w:rPr>
        <w:t xml:space="preserve">NOTE 9. </w:t>
      </w:r>
      <w:bookmarkStart w:id="494" w:name="xdx_823_zL2XjwDWyTq"/>
      <w:bookmarkEnd w:id="494"/>
      <w:r>
        <w:rPr>
          <w:rFonts w:ascii="Times New Roman;Times;Serif" w:hAnsi="Times New Roman;Times;Serif"/>
          <w:b/>
          <w:i w:val="false"/>
          <w:caps w:val="false"/>
          <w:smallCaps w:val="false"/>
          <w:color w:val="000000"/>
          <w:sz w:val="20"/>
        </w:rPr>
        <w:t xml:space="preserve">PROPERTY, PLANT AND EQUIPMENT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95" w:name="xdx_899_eus-gaap--PropertyPlantAndEquipm"/>
      <w:bookmarkEnd w:id="495"/>
      <w:r>
        <w:rPr>
          <w:rFonts w:ascii="Times New Roman;Times;Serif" w:hAnsi="Times New Roman;Times;Serif"/>
          <w:b w:val="false"/>
          <w:i w:val="false"/>
          <w:caps w:val="false"/>
          <w:smallCaps w:val="false"/>
          <w:color w:val="000000"/>
          <w:sz w:val="20"/>
        </w:rPr>
        <w:t>Property, plant and equipment at September 30, 2023 and December 31, 2022 consisted of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496" w:name="xdx_8BE_zbSgpsVclgQe"/>
      <w:bookmarkEnd w:id="496"/>
      <w:r>
        <w:rPr>
          <w:rFonts w:ascii="Times New Roman;Times;Serif" w:hAnsi="Times New Roman;Times;Serif"/>
          <w:b w:val="false"/>
          <w:i w:val="false"/>
          <w:caps w:val="false"/>
          <w:smallCaps w:val="false"/>
          <w:color w:val="000000"/>
          <w:sz w:val="20"/>
        </w:rPr>
        <w:t>SCHEDULE OF PROPERTY, PLANT AND EQUIPMENT</w:t>
      </w:r>
    </w:p>
    <w:tbl>
      <w:tblPr>
        <w:tblW w:w="7643" w:type="dxa"/>
        <w:jc w:val="left"/>
        <w:tblInd w:w="0" w:type="dxa"/>
        <w:tblLayout w:type="fixed"/>
        <w:tblCellMar>
          <w:top w:w="0" w:type="dxa"/>
          <w:left w:w="0" w:type="dxa"/>
          <w:bottom w:w="0" w:type="dxa"/>
          <w:right w:w="0" w:type="dxa"/>
        </w:tblCellMar>
      </w:tblPr>
      <w:tblGrid>
        <w:gridCol w:w="3350"/>
        <w:gridCol w:w="60"/>
        <w:gridCol w:w="227"/>
        <w:gridCol w:w="1787"/>
        <w:gridCol w:w="95"/>
        <w:gridCol w:w="60"/>
        <w:gridCol w:w="220"/>
        <w:gridCol w:w="1734"/>
        <w:gridCol w:w="110"/>
      </w:tblGrid>
      <w:tr>
        <w:trPr/>
        <w:tc>
          <w:tcPr>
            <w:tcW w:w="335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97" w:name="xdx_491_20230930_zsZgAztM7OXf"/>
            <w:bookmarkEnd w:id="497"/>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 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498" w:name="xdx_49E_20221231_zWW4v7Ni2kyf"/>
            <w:bookmarkEnd w:id="498"/>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December 31, 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3350" w:type="dxa"/>
            <w:tcBorders/>
            <w:shd w:fill="CCEEFF" w:val="clear"/>
            <w:vAlign w:val="center"/>
          </w:tcPr>
          <w:p>
            <w:pPr>
              <w:pStyle w:val="TableContents"/>
              <w:bidi w:val="0"/>
              <w:spacing w:before="0" w:after="283"/>
              <w:jc w:val="left"/>
              <w:rPr>
                <w:color w:val="000000"/>
              </w:rPr>
            </w:pPr>
            <w:r>
              <w:rPr>
                <w:color w:val="000000"/>
              </w:rPr>
              <w:t>Property, plant and equipment,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7" w:type="dxa"/>
            <w:tcBorders/>
            <w:shd w:fill="CCEEFF" w:val="clear"/>
            <w:vAlign w:val="center"/>
          </w:tcPr>
          <w:p>
            <w:pPr>
              <w:pStyle w:val="TableContents"/>
              <w:bidi w:val="0"/>
              <w:spacing w:before="0" w:after="283"/>
              <w:jc w:val="left"/>
              <w:rPr>
                <w:color w:val="000000"/>
              </w:rPr>
            </w:pPr>
            <w:r>
              <w:rPr>
                <w:color w:val="000000"/>
              </w:rPr>
              <w:t> </w:t>
            </w:r>
          </w:p>
        </w:tc>
        <w:tc>
          <w:tcPr>
            <w:tcW w:w="1787"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0" w:type="dxa"/>
            <w:tcBorders/>
            <w:shd w:fill="CCEEFF" w:val="clear"/>
            <w:vAlign w:val="center"/>
          </w:tcPr>
          <w:p>
            <w:pPr>
              <w:pStyle w:val="TableContents"/>
              <w:bidi w:val="0"/>
              <w:spacing w:before="0" w:after="283"/>
              <w:jc w:val="left"/>
              <w:rPr>
                <w:color w:val="000000"/>
              </w:rPr>
            </w:pPr>
            <w:r>
              <w:rPr>
                <w:color w:val="000000"/>
              </w:rPr>
              <w:t> </w:t>
            </w:r>
          </w:p>
        </w:tc>
        <w:tc>
          <w:tcPr>
            <w:tcW w:w="1734"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499" w:name="xdx_400_ecustom--ComputerHardwareGross_i"/>
            <w:bookmarkEnd w:id="499"/>
          </w:p>
        </w:tc>
      </w:tr>
      <w:tr>
        <w:trPr/>
        <w:tc>
          <w:tcPr>
            <w:tcW w:w="3350" w:type="dxa"/>
            <w:tcBorders/>
            <w:shd w:fill="FFFFFF" w:val="clear"/>
            <w:vAlign w:val="center"/>
          </w:tcPr>
          <w:p>
            <w:pPr>
              <w:pStyle w:val="TableContents"/>
              <w:bidi w:val="0"/>
              <w:spacing w:before="0" w:after="283"/>
              <w:jc w:val="left"/>
              <w:rPr>
                <w:color w:val="000000"/>
              </w:rPr>
            </w:pPr>
            <w:r>
              <w:rPr>
                <w:color w:val="000000"/>
              </w:rPr>
              <w:t>Computer hardware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7" w:type="dxa"/>
            <w:tcBorders/>
            <w:shd w:fill="FFFFFF" w:val="clear"/>
            <w:vAlign w:val="center"/>
          </w:tcPr>
          <w:p>
            <w:pPr>
              <w:pStyle w:val="TableContents"/>
              <w:bidi w:val="0"/>
              <w:spacing w:before="0" w:after="283"/>
              <w:jc w:val="left"/>
              <w:rPr>
                <w:color w:val="000000"/>
              </w:rPr>
            </w:pPr>
            <w:r>
              <w:rPr>
                <w:color w:val="000000"/>
              </w:rPr>
              <w:t>$</w:t>
            </w:r>
          </w:p>
        </w:tc>
        <w:tc>
          <w:tcPr>
            <w:tcW w:w="1787" w:type="dxa"/>
            <w:tcBorders/>
            <w:shd w:fill="FFFFFF" w:val="clear"/>
            <w:vAlign w:val="center"/>
          </w:tcPr>
          <w:p>
            <w:pPr>
              <w:pStyle w:val="TableContents"/>
              <w:bidi w:val="0"/>
              <w:spacing w:before="0" w:after="283"/>
              <w:jc w:val="right"/>
              <w:rPr>
                <w:color w:val="000000"/>
              </w:rPr>
            </w:pPr>
            <w:r>
              <w:rPr>
                <w:color w:val="000000"/>
              </w:rPr>
              <w:t>1,228,000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0" w:type="dxa"/>
            <w:tcBorders/>
            <w:shd w:fill="FFFFFF" w:val="clear"/>
            <w:vAlign w:val="center"/>
          </w:tcPr>
          <w:p>
            <w:pPr>
              <w:pStyle w:val="TableContents"/>
              <w:bidi w:val="0"/>
              <w:spacing w:before="0" w:after="283"/>
              <w:jc w:val="left"/>
              <w:rPr>
                <w:color w:val="000000"/>
              </w:rPr>
            </w:pPr>
            <w:r>
              <w:rPr>
                <w:color w:val="000000"/>
              </w:rPr>
              <w:t>$</w:t>
            </w:r>
          </w:p>
        </w:tc>
        <w:tc>
          <w:tcPr>
            <w:tcW w:w="1734" w:type="dxa"/>
            <w:tcBorders/>
            <w:shd w:fill="FFFFFF" w:val="clear"/>
            <w:vAlign w:val="center"/>
          </w:tcPr>
          <w:p>
            <w:pPr>
              <w:pStyle w:val="TableContents"/>
              <w:bidi w:val="0"/>
              <w:spacing w:before="0" w:after="283"/>
              <w:jc w:val="right"/>
              <w:rPr>
                <w:color w:val="000000"/>
              </w:rPr>
            </w:pPr>
            <w:r>
              <w:rPr>
                <w:color w:val="000000"/>
              </w:rPr>
              <w:t>979,000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00" w:name="xdx_40A_eus-gaap--FurnitureAndFixturesGr"/>
            <w:bookmarkEnd w:id="500"/>
          </w:p>
        </w:tc>
      </w:tr>
      <w:tr>
        <w:trPr/>
        <w:tc>
          <w:tcPr>
            <w:tcW w:w="3350" w:type="dxa"/>
            <w:tcBorders/>
            <w:shd w:fill="CCEEFF" w:val="clear"/>
            <w:vAlign w:val="center"/>
          </w:tcPr>
          <w:p>
            <w:pPr>
              <w:pStyle w:val="TableContents"/>
              <w:bidi w:val="0"/>
              <w:spacing w:before="0" w:after="283"/>
              <w:jc w:val="left"/>
              <w:rPr>
                <w:color w:val="000000"/>
              </w:rPr>
            </w:pPr>
            <w:r>
              <w:rPr>
                <w:color w:val="000000"/>
              </w:rPr>
              <w:t>Furniture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7" w:type="dxa"/>
            <w:tcBorders/>
            <w:shd w:fill="CCEEFF" w:val="clear"/>
            <w:vAlign w:val="center"/>
          </w:tcPr>
          <w:p>
            <w:pPr>
              <w:pStyle w:val="TableContents"/>
              <w:bidi w:val="0"/>
              <w:spacing w:before="0" w:after="283"/>
              <w:jc w:val="left"/>
              <w:rPr>
                <w:color w:val="000000"/>
              </w:rPr>
            </w:pPr>
            <w:r>
              <w:rPr>
                <w:color w:val="000000"/>
              </w:rPr>
              <w:t> </w:t>
            </w:r>
          </w:p>
        </w:tc>
        <w:tc>
          <w:tcPr>
            <w:tcW w:w="1787" w:type="dxa"/>
            <w:tcBorders/>
            <w:shd w:fill="CCEEFF" w:val="clear"/>
            <w:vAlign w:val="center"/>
          </w:tcPr>
          <w:p>
            <w:pPr>
              <w:pStyle w:val="TableContents"/>
              <w:bidi w:val="0"/>
              <w:spacing w:before="0" w:after="283"/>
              <w:jc w:val="right"/>
              <w:rPr>
                <w:color w:val="000000"/>
              </w:rPr>
            </w:pPr>
            <w:r>
              <w:rPr>
                <w:color w:val="000000"/>
              </w:rPr>
              <w:t>915,000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0" w:type="dxa"/>
            <w:tcBorders/>
            <w:shd w:fill="CCEEFF" w:val="clear"/>
            <w:vAlign w:val="center"/>
          </w:tcPr>
          <w:p>
            <w:pPr>
              <w:pStyle w:val="TableContents"/>
              <w:bidi w:val="0"/>
              <w:spacing w:before="0" w:after="283"/>
              <w:jc w:val="left"/>
              <w:rPr>
                <w:color w:val="000000"/>
              </w:rPr>
            </w:pPr>
            <w:r>
              <w:rPr>
                <w:color w:val="000000"/>
              </w:rPr>
              <w:t> </w:t>
            </w:r>
          </w:p>
        </w:tc>
        <w:tc>
          <w:tcPr>
            <w:tcW w:w="1734" w:type="dxa"/>
            <w:tcBorders/>
            <w:shd w:fill="CCEEFF" w:val="clear"/>
            <w:vAlign w:val="center"/>
          </w:tcPr>
          <w:p>
            <w:pPr>
              <w:pStyle w:val="TableContents"/>
              <w:bidi w:val="0"/>
              <w:spacing w:before="0" w:after="283"/>
              <w:jc w:val="right"/>
              <w:rPr>
                <w:color w:val="000000"/>
              </w:rPr>
            </w:pPr>
            <w:r>
              <w:rPr>
                <w:color w:val="000000"/>
              </w:rPr>
              <w:t>860,000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01" w:name="xdx_40C_eus-gaap--MachineryAndEquipmentG"/>
            <w:bookmarkEnd w:id="501"/>
          </w:p>
        </w:tc>
      </w:tr>
      <w:tr>
        <w:trPr/>
        <w:tc>
          <w:tcPr>
            <w:tcW w:w="3350" w:type="dxa"/>
            <w:tcBorders/>
            <w:shd w:fill="FFFFFF" w:val="clear"/>
            <w:vAlign w:val="center"/>
          </w:tcPr>
          <w:p>
            <w:pPr>
              <w:pStyle w:val="TableContents"/>
              <w:bidi w:val="0"/>
              <w:spacing w:before="0" w:after="283"/>
              <w:jc w:val="left"/>
              <w:rPr>
                <w:color w:val="000000"/>
              </w:rPr>
            </w:pPr>
            <w:r>
              <w:rPr>
                <w:color w:val="000000"/>
              </w:rPr>
              <w:t>Lab and pharmacy equipment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7" w:type="dxa"/>
            <w:tcBorders/>
            <w:shd w:fill="FFFFFF" w:val="clear"/>
            <w:vAlign w:val="center"/>
          </w:tcPr>
          <w:p>
            <w:pPr>
              <w:pStyle w:val="TableContents"/>
              <w:bidi w:val="0"/>
              <w:spacing w:before="0" w:after="283"/>
              <w:jc w:val="left"/>
              <w:rPr>
                <w:color w:val="000000"/>
              </w:rPr>
            </w:pPr>
            <w:r>
              <w:rPr>
                <w:color w:val="000000"/>
              </w:rPr>
              <w:t> </w:t>
            </w:r>
          </w:p>
        </w:tc>
        <w:tc>
          <w:tcPr>
            <w:tcW w:w="1787" w:type="dxa"/>
            <w:tcBorders/>
            <w:shd w:fill="FFFFFF" w:val="clear"/>
            <w:vAlign w:val="center"/>
          </w:tcPr>
          <w:p>
            <w:pPr>
              <w:pStyle w:val="TableContents"/>
              <w:bidi w:val="0"/>
              <w:spacing w:before="0" w:after="283"/>
              <w:jc w:val="right"/>
              <w:rPr>
                <w:color w:val="000000"/>
              </w:rPr>
            </w:pPr>
            <w:r>
              <w:rPr>
                <w:color w:val="000000"/>
              </w:rPr>
              <w:t>4,636,000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0" w:type="dxa"/>
            <w:tcBorders/>
            <w:shd w:fill="FFFFFF" w:val="clear"/>
            <w:vAlign w:val="center"/>
          </w:tcPr>
          <w:p>
            <w:pPr>
              <w:pStyle w:val="TableContents"/>
              <w:bidi w:val="0"/>
              <w:spacing w:before="0" w:after="283"/>
              <w:jc w:val="left"/>
              <w:rPr>
                <w:color w:val="000000"/>
              </w:rPr>
            </w:pPr>
            <w:r>
              <w:rPr>
                <w:color w:val="000000"/>
              </w:rPr>
              <w:t> </w:t>
            </w:r>
          </w:p>
        </w:tc>
        <w:tc>
          <w:tcPr>
            <w:tcW w:w="1734" w:type="dxa"/>
            <w:tcBorders/>
            <w:shd w:fill="FFFFFF" w:val="clear"/>
            <w:vAlign w:val="center"/>
          </w:tcPr>
          <w:p>
            <w:pPr>
              <w:pStyle w:val="TableContents"/>
              <w:bidi w:val="0"/>
              <w:spacing w:before="0" w:after="283"/>
              <w:jc w:val="right"/>
              <w:rPr>
                <w:color w:val="000000"/>
              </w:rPr>
            </w:pPr>
            <w:r>
              <w:rPr>
                <w:color w:val="000000"/>
              </w:rPr>
              <w:t>4,259,000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02" w:name="xdx_40A_eus-gaap--LeaseholdImprovementsG"/>
            <w:bookmarkEnd w:id="502"/>
          </w:p>
        </w:tc>
      </w:tr>
      <w:tr>
        <w:trPr/>
        <w:tc>
          <w:tcPr>
            <w:tcW w:w="3350" w:type="dxa"/>
            <w:tcBorders/>
            <w:shd w:fill="CCEEFF" w:val="clear"/>
            <w:vAlign w:val="center"/>
          </w:tcPr>
          <w:p>
            <w:pPr>
              <w:pStyle w:val="TableContents"/>
              <w:bidi w:val="0"/>
              <w:spacing w:before="0" w:after="283"/>
              <w:jc w:val="left"/>
              <w:rPr>
                <w:color w:val="000000"/>
              </w:rPr>
            </w:pPr>
            <w:r>
              <w:rPr>
                <w:color w:val="000000"/>
              </w:rPr>
              <w:t>Leasehold improvements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6,654,000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6,449,000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03" w:name="xdx_400_eus-gaap--PropertyPlantAndEquipm"/>
            <w:bookmarkEnd w:id="503"/>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Property, plant and equipment, gross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7" w:type="dxa"/>
            <w:tcBorders/>
            <w:shd w:fill="FFFFFF" w:val="clear"/>
            <w:vAlign w:val="center"/>
          </w:tcPr>
          <w:p>
            <w:pPr>
              <w:pStyle w:val="TableContents"/>
              <w:bidi w:val="0"/>
              <w:spacing w:before="0" w:after="283"/>
              <w:jc w:val="left"/>
              <w:rPr>
                <w:color w:val="000000"/>
              </w:rPr>
            </w:pPr>
            <w:r>
              <w:rPr>
                <w:color w:val="000000"/>
              </w:rPr>
              <w:t> </w:t>
            </w:r>
          </w:p>
        </w:tc>
        <w:tc>
          <w:tcPr>
            <w:tcW w:w="1787" w:type="dxa"/>
            <w:tcBorders/>
            <w:shd w:fill="FFFFFF" w:val="clear"/>
            <w:vAlign w:val="center"/>
          </w:tcPr>
          <w:p>
            <w:pPr>
              <w:pStyle w:val="TableContents"/>
              <w:bidi w:val="0"/>
              <w:spacing w:before="0" w:after="283"/>
              <w:jc w:val="right"/>
              <w:rPr>
                <w:color w:val="000000"/>
              </w:rPr>
            </w:pPr>
            <w:r>
              <w:rPr>
                <w:color w:val="000000"/>
              </w:rPr>
              <w:t>13,433,000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0" w:type="dxa"/>
            <w:tcBorders/>
            <w:shd w:fill="FFFFFF" w:val="clear"/>
            <w:vAlign w:val="center"/>
          </w:tcPr>
          <w:p>
            <w:pPr>
              <w:pStyle w:val="TableContents"/>
              <w:bidi w:val="0"/>
              <w:spacing w:before="0" w:after="283"/>
              <w:jc w:val="left"/>
              <w:rPr>
                <w:color w:val="000000"/>
              </w:rPr>
            </w:pPr>
            <w:r>
              <w:rPr>
                <w:color w:val="000000"/>
              </w:rPr>
              <w:t> </w:t>
            </w:r>
          </w:p>
        </w:tc>
        <w:tc>
          <w:tcPr>
            <w:tcW w:w="1734" w:type="dxa"/>
            <w:tcBorders/>
            <w:shd w:fill="FFFFFF" w:val="clear"/>
            <w:vAlign w:val="center"/>
          </w:tcPr>
          <w:p>
            <w:pPr>
              <w:pStyle w:val="TableContents"/>
              <w:bidi w:val="0"/>
              <w:spacing w:before="0" w:after="283"/>
              <w:jc w:val="right"/>
              <w:rPr>
                <w:color w:val="000000"/>
              </w:rPr>
            </w:pPr>
            <w:r>
              <w:rPr>
                <w:color w:val="000000"/>
              </w:rPr>
              <w:t>12,547,000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04" w:name="xdx_406_eus-gaap--AccumulatedDepreciatio"/>
            <w:bookmarkEnd w:id="504"/>
          </w:p>
        </w:tc>
      </w:tr>
      <w:tr>
        <w:trPr/>
        <w:tc>
          <w:tcPr>
            <w:tcW w:w="3350" w:type="dxa"/>
            <w:tcBorders/>
            <w:shd w:fill="CCEEFF" w:val="clear"/>
            <w:vAlign w:val="center"/>
          </w:tcPr>
          <w:p>
            <w:pPr>
              <w:pStyle w:val="TableContents"/>
              <w:bidi w:val="0"/>
              <w:spacing w:before="0" w:after="283"/>
              <w:jc w:val="left"/>
              <w:rPr>
                <w:color w:val="000000"/>
              </w:rPr>
            </w:pPr>
            <w:r>
              <w:rPr>
                <w:color w:val="000000"/>
              </w:rPr>
              <w:t>Accumulated depreciation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(9,804,000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(9,061,000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505" w:name="xdx_403_eus-gaap--PropertyPlantAndEquipm"/>
            <w:bookmarkEnd w:id="505"/>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787"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3,629,000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3,486,000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506" w:name="xdx_8A9_zD25QBmULkE5"/>
      <w:bookmarkEnd w:id="506"/>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three and nine months ended September 30, 2023, depreciation related to the property, plant and equipment was $</w:t>
      </w:r>
      <w:bookmarkStart w:id="507" w:name="xdx_906_eus-gaap--Depreciation_c20230701"/>
      <w:bookmarkEnd w:id="507"/>
      <w:r>
        <w:rPr>
          <w:rFonts w:ascii="Times New Roman;Times;Serif" w:hAnsi="Times New Roman;Times;Serif"/>
          <w:b w:val="false"/>
          <w:i w:val="false"/>
          <w:caps w:val="false"/>
          <w:smallCaps w:val="false"/>
          <w:color w:val="000000"/>
          <w:sz w:val="20"/>
        </w:rPr>
        <w:t>290,000 and $</w:t>
      </w:r>
      <w:bookmarkStart w:id="508" w:name="xdx_907_eus-gaap--Depreciation_c20230101"/>
      <w:bookmarkEnd w:id="508"/>
      <w:r>
        <w:rPr>
          <w:rFonts w:ascii="Times New Roman;Times;Serif" w:hAnsi="Times New Roman;Times;Serif"/>
          <w:b w:val="false"/>
          <w:i w:val="false"/>
          <w:caps w:val="false"/>
          <w:smallCaps w:val="false"/>
          <w:color w:val="000000"/>
          <w:sz w:val="20"/>
        </w:rPr>
        <w:t>743,000, respectively, compared to $</w:t>
      </w:r>
      <w:bookmarkStart w:id="509" w:name="xdx_909_eus-gaap--Depreciation_c20220701"/>
      <w:bookmarkEnd w:id="509"/>
      <w:r>
        <w:rPr>
          <w:rFonts w:ascii="Times New Roman;Times;Serif" w:hAnsi="Times New Roman;Times;Serif"/>
          <w:b w:val="false"/>
          <w:i w:val="false"/>
          <w:caps w:val="false"/>
          <w:smallCaps w:val="false"/>
          <w:color w:val="000000"/>
          <w:sz w:val="20"/>
        </w:rPr>
        <w:t>171,000 and $</w:t>
      </w:r>
      <w:bookmarkStart w:id="510" w:name="xdx_909_eus-gaap--Depreciation_c20220101"/>
      <w:bookmarkEnd w:id="510"/>
      <w:r>
        <w:rPr>
          <w:rFonts w:ascii="Times New Roman;Times;Serif" w:hAnsi="Times New Roman;Times;Serif"/>
          <w:b w:val="false"/>
          <w:i w:val="false"/>
          <w:caps w:val="false"/>
          <w:smallCaps w:val="false"/>
          <w:color w:val="000000"/>
          <w:sz w:val="20"/>
        </w:rPr>
        <w:t>928,000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1080" w:right="0" w:hanging="1080"/>
        <w:jc w:val="left"/>
        <w:rPr>
          <w:rFonts w:ascii="Times New Roman;Times;Serif" w:hAnsi="Times New Roman;Times;Serif"/>
          <w:b/>
          <w:i w:val="false"/>
          <w:caps w:val="false"/>
          <w:smallCaps w:val="false"/>
          <w:color w:val="000000"/>
          <w:sz w:val="20"/>
        </w:rPr>
      </w:pPr>
      <w:bookmarkStart w:id="511" w:name="xdx_801_ecustom--CapitalizedSoftwareCost"/>
      <w:bookmarkEnd w:id="511"/>
      <w:r>
        <w:rPr>
          <w:rFonts w:ascii="Times New Roman;Times;Serif" w:hAnsi="Times New Roman;Times;Serif"/>
          <w:b/>
          <w:i w:val="false"/>
          <w:caps w:val="false"/>
          <w:smallCaps w:val="false"/>
          <w:color w:val="000000"/>
          <w:sz w:val="20"/>
        </w:rPr>
        <w:t xml:space="preserve">NOTE 10. </w:t>
      </w:r>
      <w:bookmarkStart w:id="512" w:name="xdx_82C_zvOr7SFAAUN7"/>
      <w:bookmarkEnd w:id="512"/>
      <w:r>
        <w:rPr>
          <w:rFonts w:ascii="Times New Roman;Times;Serif" w:hAnsi="Times New Roman;Times;Serif"/>
          <w:b/>
          <w:i w:val="false"/>
          <w:caps w:val="false"/>
          <w:smallCaps w:val="false"/>
          <w:color w:val="000000"/>
          <w:sz w:val="20"/>
        </w:rPr>
        <w:t xml:space="preserve">CAPITALIZED SOFTWARE COSTS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13" w:name="xdx_895_ecustom--CapitalizedSoftwareDeve"/>
      <w:bookmarkEnd w:id="513"/>
      <w:r>
        <w:rPr>
          <w:rFonts w:ascii="Times New Roman;Times;Serif" w:hAnsi="Times New Roman;Times;Serif"/>
          <w:b w:val="false"/>
          <w:i w:val="false"/>
          <w:caps w:val="false"/>
          <w:smallCaps w:val="false"/>
          <w:color w:val="000000"/>
          <w:sz w:val="20"/>
        </w:rPr>
        <w:t>Capitalized software costs at September 30, 2023 and December 31, 2022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14" w:name="xdx_8BA_zgwlFriyJ8L5"/>
      <w:bookmarkEnd w:id="514"/>
      <w:r>
        <w:rPr>
          <w:rFonts w:ascii="Times New Roman;Times;Serif" w:hAnsi="Times New Roman;Times;Serif"/>
          <w:b w:val="false"/>
          <w:i w:val="false"/>
          <w:caps w:val="false"/>
          <w:smallCaps w:val="false"/>
          <w:color w:val="000000"/>
          <w:sz w:val="20"/>
        </w:rPr>
        <w:t>SCHEDULE OF FINITE LIVED INTANGIBLE ASSETS </w:t>
      </w:r>
    </w:p>
    <w:tbl>
      <w:tblPr>
        <w:tblW w:w="9323" w:type="dxa"/>
        <w:jc w:val="left"/>
        <w:tblInd w:w="0" w:type="dxa"/>
        <w:tblLayout w:type="fixed"/>
        <w:tblCellMar>
          <w:top w:w="0" w:type="dxa"/>
          <w:left w:w="0" w:type="dxa"/>
          <w:bottom w:w="0" w:type="dxa"/>
          <w:right w:w="0" w:type="dxa"/>
        </w:tblCellMar>
      </w:tblPr>
      <w:tblGrid>
        <w:gridCol w:w="5030"/>
        <w:gridCol w:w="60"/>
        <w:gridCol w:w="236"/>
        <w:gridCol w:w="1778"/>
        <w:gridCol w:w="95"/>
        <w:gridCol w:w="60"/>
        <w:gridCol w:w="244"/>
        <w:gridCol w:w="1710"/>
        <w:gridCol w:w="110"/>
      </w:tblGrid>
      <w:tr>
        <w:trPr/>
        <w:tc>
          <w:tcPr>
            <w:tcW w:w="503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515" w:name="xdx_490_20230930_zNSfvpqHXmsk"/>
            <w:bookmarkEnd w:id="515"/>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 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516" w:name="xdx_49B_20221231_z4USZD0UtA5l"/>
            <w:bookmarkEnd w:id="516"/>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December 31, 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5030" w:type="dxa"/>
            <w:tcBorders/>
            <w:shd w:fill="CCEEFF" w:val="clear"/>
            <w:vAlign w:val="center"/>
          </w:tcPr>
          <w:p>
            <w:pPr>
              <w:pStyle w:val="TableContents"/>
              <w:bidi w:val="0"/>
              <w:spacing w:before="0" w:after="283"/>
              <w:jc w:val="left"/>
              <w:rPr>
                <w:color w:val="000000"/>
              </w:rPr>
            </w:pPr>
            <w:r>
              <w:rPr>
                <w:color w:val="000000"/>
              </w:rPr>
              <w:t>Capitalized software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6" w:type="dxa"/>
            <w:tcBorders/>
            <w:shd w:fill="CCEEFF" w:val="clear"/>
            <w:vAlign w:val="center"/>
          </w:tcPr>
          <w:p>
            <w:pPr>
              <w:pStyle w:val="TableContents"/>
              <w:bidi w:val="0"/>
              <w:spacing w:before="0" w:after="283"/>
              <w:jc w:val="left"/>
              <w:rPr>
                <w:color w:val="000000"/>
              </w:rPr>
            </w:pPr>
            <w:r>
              <w:rPr>
                <w:color w:val="000000"/>
              </w:rPr>
              <w:t> </w:t>
            </w:r>
          </w:p>
        </w:tc>
        <w:tc>
          <w:tcPr>
            <w:tcW w:w="1778"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 </w:t>
            </w:r>
          </w:p>
        </w:tc>
        <w:tc>
          <w:tcPr>
            <w:tcW w:w="171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17" w:name="xdx_402_eus-gaap--CapitalizedComputerSof"/>
            <w:bookmarkEnd w:id="517"/>
          </w:p>
        </w:tc>
      </w:tr>
      <w:tr>
        <w:trPr/>
        <w:tc>
          <w:tcPr>
            <w:tcW w:w="5030" w:type="dxa"/>
            <w:tcBorders/>
            <w:shd w:fill="FFFFFF" w:val="clear"/>
            <w:vAlign w:val="center"/>
          </w:tcPr>
          <w:p>
            <w:pPr>
              <w:pStyle w:val="TableContents"/>
              <w:bidi w:val="0"/>
              <w:spacing w:before="0" w:after="283"/>
              <w:jc w:val="left"/>
              <w:rPr>
                <w:color w:val="000000"/>
              </w:rPr>
            </w:pPr>
            <w:r>
              <w:rPr>
                <w:color w:val="000000"/>
              </w:rPr>
              <w:t>Capitalized internal-use software development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6" w:type="dxa"/>
            <w:tcBorders/>
            <w:shd w:fill="FFFFFF" w:val="clear"/>
            <w:vAlign w:val="center"/>
          </w:tcPr>
          <w:p>
            <w:pPr>
              <w:pStyle w:val="TableContents"/>
              <w:bidi w:val="0"/>
              <w:spacing w:before="0" w:after="283"/>
              <w:jc w:val="left"/>
              <w:rPr>
                <w:color w:val="000000"/>
              </w:rPr>
            </w:pPr>
            <w:r>
              <w:rPr>
                <w:color w:val="000000"/>
              </w:rPr>
              <w:t>$</w:t>
            </w:r>
          </w:p>
        </w:tc>
        <w:tc>
          <w:tcPr>
            <w:tcW w:w="1778" w:type="dxa"/>
            <w:tcBorders/>
            <w:shd w:fill="FFFFFF" w:val="clear"/>
            <w:vAlign w:val="center"/>
          </w:tcPr>
          <w:p>
            <w:pPr>
              <w:pStyle w:val="TableContents"/>
              <w:bidi w:val="0"/>
              <w:spacing w:before="0" w:after="283"/>
              <w:jc w:val="right"/>
              <w:rPr>
                <w:color w:val="000000"/>
              </w:rPr>
            </w:pPr>
            <w:r>
              <w:rPr>
                <w:color w:val="000000"/>
              </w:rPr>
              <w:t>2,746,000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shd w:fill="FFFFFF" w:val="clear"/>
            <w:vAlign w:val="center"/>
          </w:tcPr>
          <w:p>
            <w:pPr>
              <w:pStyle w:val="TableContents"/>
              <w:bidi w:val="0"/>
              <w:spacing w:before="0" w:after="283"/>
              <w:jc w:val="left"/>
              <w:rPr>
                <w:color w:val="000000"/>
              </w:rPr>
            </w:pPr>
            <w:r>
              <w:rPr>
                <w:color w:val="000000"/>
              </w:rPr>
              <w:t>$</w:t>
            </w:r>
          </w:p>
        </w:tc>
        <w:tc>
          <w:tcPr>
            <w:tcW w:w="1710" w:type="dxa"/>
            <w:tcBorders/>
            <w:shd w:fill="FFFFFF" w:val="clear"/>
            <w:vAlign w:val="center"/>
          </w:tcPr>
          <w:p>
            <w:pPr>
              <w:pStyle w:val="TableContents"/>
              <w:bidi w:val="0"/>
              <w:spacing w:before="0" w:after="283"/>
              <w:jc w:val="right"/>
              <w:rPr>
                <w:color w:val="000000"/>
              </w:rPr>
            </w:pPr>
            <w:r>
              <w:rPr>
                <w:color w:val="000000"/>
              </w:rPr>
              <w:t>1,413,000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18" w:name="xdx_404_eus-gaap--CapitalizedComputerSof"/>
            <w:bookmarkEnd w:id="518"/>
          </w:p>
        </w:tc>
      </w:tr>
      <w:tr>
        <w:trPr/>
        <w:tc>
          <w:tcPr>
            <w:tcW w:w="5030" w:type="dxa"/>
            <w:tcBorders/>
            <w:shd w:fill="CCEEFF" w:val="clear"/>
            <w:vAlign w:val="center"/>
          </w:tcPr>
          <w:p>
            <w:pPr>
              <w:pStyle w:val="TableContents"/>
              <w:bidi w:val="0"/>
              <w:spacing w:before="0" w:after="283"/>
              <w:jc w:val="left"/>
              <w:rPr>
                <w:color w:val="000000"/>
              </w:rPr>
            </w:pPr>
            <w:r>
              <w:rPr>
                <w:color w:val="000000"/>
              </w:rPr>
              <w:t>Acquired third-party software license for internal-use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78"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159,000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159,000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519" w:name="xdx_409_eus-gaap--CapitalizedComputerSof"/>
            <w:bookmarkEnd w:id="519"/>
          </w:p>
        </w:tc>
      </w:tr>
      <w:tr>
        <w:trPr/>
        <w:tc>
          <w:tcPr>
            <w:tcW w:w="5030" w:type="dxa"/>
            <w:tcBorders/>
            <w:shd w:fill="FFFFFF" w:val="clear"/>
            <w:vAlign w:val="center"/>
          </w:tcPr>
          <w:p>
            <w:pPr>
              <w:pStyle w:val="TableContents"/>
              <w:bidi w:val="0"/>
              <w:spacing w:before="0" w:after="283"/>
              <w:jc w:val="left"/>
              <w:rPr>
                <w:color w:val="000000"/>
              </w:rPr>
            </w:pPr>
            <w:r>
              <w:rPr>
                <w:color w:val="000000"/>
              </w:rPr>
              <w:t>Total gross capitalized software for internal-use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77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2,905,000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1,572,000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20" w:name="xdx_401_eus-gaap--CapitalizedComputerSof"/>
            <w:bookmarkEnd w:id="520"/>
          </w:p>
        </w:tc>
      </w:tr>
      <w:tr>
        <w:trPr/>
        <w:tc>
          <w:tcPr>
            <w:tcW w:w="5030" w:type="dxa"/>
            <w:tcBorders/>
            <w:shd w:fill="CCEEFF" w:val="clear"/>
            <w:vAlign w:val="center"/>
          </w:tcPr>
          <w:p>
            <w:pPr>
              <w:pStyle w:val="TableContents"/>
              <w:bidi w:val="0"/>
              <w:spacing w:before="0" w:after="283"/>
              <w:jc w:val="left"/>
              <w:rPr>
                <w:color w:val="000000"/>
              </w:rPr>
            </w:pPr>
            <w:r>
              <w:rPr>
                <w:color w:val="000000"/>
              </w:rPr>
              <w:t>Accumulated amortization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6" w:type="dxa"/>
            <w:tcBorders/>
            <w:shd w:fill="CCEEFF" w:val="clear"/>
            <w:vAlign w:val="center"/>
          </w:tcPr>
          <w:p>
            <w:pPr>
              <w:pStyle w:val="TableContents"/>
              <w:bidi w:val="0"/>
              <w:spacing w:before="0" w:after="283"/>
              <w:jc w:val="left"/>
              <w:rPr>
                <w:color w:val="000000"/>
              </w:rPr>
            </w:pPr>
            <w:r>
              <w:rPr>
                <w:color w:val="000000"/>
              </w:rPr>
              <w:t> </w:t>
            </w:r>
          </w:p>
        </w:tc>
        <w:tc>
          <w:tcPr>
            <w:tcW w:w="1778" w:type="dxa"/>
            <w:tcBorders/>
            <w:shd w:fill="CCEEFF" w:val="clear"/>
            <w:vAlign w:val="center"/>
          </w:tcPr>
          <w:p>
            <w:pPr>
              <w:pStyle w:val="TableContents"/>
              <w:bidi w:val="0"/>
              <w:spacing w:before="0" w:after="283"/>
              <w:jc w:val="right"/>
              <w:rPr>
                <w:color w:val="000000"/>
              </w:rPr>
            </w:pPr>
            <w:r>
              <w:rPr>
                <w:color w:val="000000"/>
              </w:rPr>
              <w:t>(1,145,000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shd w:fill="CCEEFF" w:val="clear"/>
            <w:vAlign w:val="center"/>
          </w:tcPr>
          <w:p>
            <w:pPr>
              <w:pStyle w:val="TableContents"/>
              <w:bidi w:val="0"/>
              <w:spacing w:before="0" w:after="283"/>
              <w:jc w:val="left"/>
              <w:rPr>
                <w:color w:val="000000"/>
              </w:rPr>
            </w:pPr>
            <w:r>
              <w:rPr>
                <w:color w:val="000000"/>
              </w:rPr>
              <w:t> </w:t>
            </w:r>
          </w:p>
        </w:tc>
        <w:tc>
          <w:tcPr>
            <w:tcW w:w="1710" w:type="dxa"/>
            <w:tcBorders/>
            <w:shd w:fill="CCEEFF" w:val="clear"/>
            <w:vAlign w:val="center"/>
          </w:tcPr>
          <w:p>
            <w:pPr>
              <w:pStyle w:val="TableContents"/>
              <w:bidi w:val="0"/>
              <w:spacing w:before="0" w:after="283"/>
              <w:jc w:val="right"/>
              <w:rPr>
                <w:color w:val="000000"/>
              </w:rPr>
            </w:pPr>
            <w:r>
              <w:rPr>
                <w:color w:val="000000"/>
              </w:rPr>
              <w:t>(793,000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521" w:name="xdx_40D_ecustom--CapitalizedComputerSoft"/>
            <w:bookmarkEnd w:id="521"/>
          </w:p>
        </w:tc>
      </w:tr>
      <w:tr>
        <w:trPr/>
        <w:tc>
          <w:tcPr>
            <w:tcW w:w="5030" w:type="dxa"/>
            <w:tcBorders/>
            <w:shd w:fill="FFFFFF" w:val="clear"/>
            <w:vAlign w:val="center"/>
          </w:tcPr>
          <w:p>
            <w:pPr>
              <w:pStyle w:val="TableContents"/>
              <w:bidi w:val="0"/>
              <w:spacing w:before="0" w:after="283"/>
              <w:jc w:val="left"/>
              <w:rPr>
                <w:color w:val="000000"/>
              </w:rPr>
            </w:pPr>
            <w:r>
              <w:rPr>
                <w:color w:val="000000"/>
              </w:rPr>
              <w:t>Capitalized internal-use software in process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77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391,000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1,333,000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522" w:name="xdx_405_eus-gaap--CapitalizedComputerSof"/>
            <w:bookmarkEnd w:id="522"/>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Total finite lived intangible assets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778"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2,151,000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2,112,000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523" w:name="xdx_8A0_zVFZ4jV1Z303"/>
      <w:bookmarkEnd w:id="523"/>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recorded amortization expense of $</w:t>
      </w:r>
      <w:bookmarkStart w:id="524" w:name="xdx_900_eus-gaap--AdjustmentForAmortizat"/>
      <w:bookmarkEnd w:id="524"/>
      <w:r>
        <w:rPr>
          <w:rFonts w:ascii="Times New Roman;Times;Serif" w:hAnsi="Times New Roman;Times;Serif"/>
          <w:b w:val="false"/>
          <w:i w:val="false"/>
          <w:caps w:val="false"/>
          <w:smallCaps w:val="false"/>
          <w:color w:val="000000"/>
          <w:sz w:val="20"/>
        </w:rPr>
        <w:t>115,000 and $</w:t>
      </w:r>
      <w:bookmarkStart w:id="525" w:name="xdx_90C_eus-gaap--AdjustmentForAmortizat"/>
      <w:bookmarkEnd w:id="525"/>
      <w:r>
        <w:rPr>
          <w:rFonts w:ascii="Times New Roman;Times;Serif" w:hAnsi="Times New Roman;Times;Serif"/>
          <w:b w:val="false"/>
          <w:i w:val="false"/>
          <w:caps w:val="false"/>
          <w:smallCaps w:val="false"/>
          <w:color w:val="000000"/>
          <w:sz w:val="20"/>
        </w:rPr>
        <w:t>352,000 related to capitalized software costs during the three and nine months ended September 30, 2023, respectively, and $</w:t>
      </w:r>
      <w:bookmarkStart w:id="526" w:name="xdx_907_eus-gaap--AdjustmentForAmortizat"/>
      <w:bookmarkEnd w:id="526"/>
      <w:r>
        <w:rPr>
          <w:rFonts w:ascii="Times New Roman;Times;Serif" w:hAnsi="Times New Roman;Times;Serif"/>
          <w:b w:val="false"/>
          <w:i w:val="false"/>
          <w:caps w:val="false"/>
          <w:smallCaps w:val="false"/>
          <w:color w:val="000000"/>
          <w:sz w:val="20"/>
        </w:rPr>
        <w:t>76,000 and $</w:t>
      </w:r>
      <w:bookmarkStart w:id="527" w:name="xdx_90A_eus-gaap--AdjustmentForAmortizat"/>
      <w:bookmarkEnd w:id="527"/>
      <w:r>
        <w:rPr>
          <w:rFonts w:ascii="Times New Roman;Times;Serif" w:hAnsi="Times New Roman;Times;Serif"/>
          <w:b w:val="false"/>
          <w:i w:val="false"/>
          <w:caps w:val="false"/>
          <w:smallCaps w:val="false"/>
          <w:color w:val="000000"/>
          <w:sz w:val="20"/>
        </w:rPr>
        <w:t>162,000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528" w:name="xdx_802_eus-gaap--GoodwillAndIntangibleA"/>
      <w:bookmarkEnd w:id="528"/>
      <w:r>
        <w:rPr>
          <w:rFonts w:ascii="Times New Roman;Times;Serif" w:hAnsi="Times New Roman;Times;Serif"/>
          <w:b/>
          <w:i w:val="false"/>
          <w:caps w:val="false"/>
          <w:smallCaps w:val="false"/>
          <w:color w:val="000000"/>
          <w:sz w:val="20"/>
        </w:rPr>
        <w:t xml:space="preserve">NOTE 11. </w:t>
      </w:r>
      <w:bookmarkStart w:id="529" w:name="xdx_821_zwxpUo0FSnBa"/>
      <w:bookmarkEnd w:id="529"/>
      <w:r>
        <w:rPr>
          <w:rFonts w:ascii="Times New Roman;Times;Serif" w:hAnsi="Times New Roman;Times;Serif"/>
          <w:b/>
          <w:i w:val="false"/>
          <w:caps w:val="false"/>
          <w:smallCaps w:val="false"/>
          <w:color w:val="000000"/>
          <w:sz w:val="20"/>
        </w:rPr>
        <w:t>INTANGIBLE ASSETS AND GOODWILL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bookmarkStart w:id="530" w:name="xdx_897_eus-gaap--ScheduleOfIntangibleAs"/>
      <w:bookmarkEnd w:id="530"/>
      <w:r>
        <w:rPr>
          <w:rFonts w:ascii="Times New Roman;Times;Serif" w:hAnsi="Times New Roman;Times;Serif"/>
          <w:b w:val="false"/>
          <w:i w:val="false"/>
          <w:caps w:val="false"/>
          <w:smallCaps w:val="false"/>
          <w:color w:val="000000"/>
          <w:sz w:val="20"/>
        </w:rPr>
        <w:t>The Company’s intangible assets at September 30, 2023 consisted of the following:</w:t>
      </w:r>
    </w:p>
    <w:p>
      <w:pPr>
        <w:pStyle w:val="TextBody"/>
        <w:bidi w:val="0"/>
        <w:spacing w:before="0" w:after="0"/>
        <w:ind w:left="0" w:right="0" w:hanging="0"/>
        <w:jc w:val="left"/>
        <w:rPr>
          <w:caps w:val="false"/>
          <w:smallCaps w:val="false"/>
          <w:color w:val="000000"/>
        </w:rPr>
      </w:pPr>
      <w:r>
        <w:rPr>
          <w:caps w:val="false"/>
          <w:smallCaps w:val="false"/>
          <w:color w:val="000000"/>
        </w:rPr>
        <w:t> </w:t>
      </w:r>
      <w:bookmarkStart w:id="531" w:name="xdx_8BF_z3qMWqo22aT1"/>
      <w:bookmarkEnd w:id="531"/>
      <w:r>
        <w:rPr>
          <w:rFonts w:ascii="Times New Roman;Times;Serif" w:hAnsi="Times New Roman;Times;Serif"/>
          <w:b w:val="false"/>
          <w:i w:val="false"/>
          <w:caps w:val="false"/>
          <w:smallCaps w:val="false"/>
          <w:color w:val="000000"/>
          <w:sz w:val="20"/>
        </w:rPr>
        <w:t>SCHEDULE OF INTANGIBLE ASSETS</w:t>
      </w:r>
    </w:p>
    <w:tbl>
      <w:tblPr>
        <w:tblW w:w="8984" w:type="dxa"/>
        <w:jc w:val="left"/>
        <w:tblInd w:w="0" w:type="dxa"/>
        <w:tblLayout w:type="fixed"/>
        <w:tblCellMar>
          <w:top w:w="0" w:type="dxa"/>
          <w:left w:w="0" w:type="dxa"/>
          <w:bottom w:w="0" w:type="dxa"/>
          <w:right w:w="0" w:type="dxa"/>
        </w:tblCellMar>
      </w:tblPr>
      <w:tblGrid>
        <w:gridCol w:w="2285"/>
        <w:gridCol w:w="60"/>
        <w:gridCol w:w="82"/>
        <w:gridCol w:w="1122"/>
        <w:gridCol w:w="60"/>
        <w:gridCol w:w="60"/>
        <w:gridCol w:w="140"/>
        <w:gridCol w:w="1220"/>
        <w:gridCol w:w="60"/>
        <w:gridCol w:w="60"/>
        <w:gridCol w:w="140"/>
        <w:gridCol w:w="1055"/>
        <w:gridCol w:w="95"/>
        <w:gridCol w:w="60"/>
        <w:gridCol w:w="140"/>
        <w:gridCol w:w="755"/>
        <w:gridCol w:w="95"/>
        <w:gridCol w:w="60"/>
        <w:gridCol w:w="140"/>
        <w:gridCol w:w="1220"/>
        <w:gridCol w:w="75"/>
      </w:tblGrid>
      <w:tr>
        <w:trPr/>
        <w:tc>
          <w:tcPr>
            <w:tcW w:w="228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Periods</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 years)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Cost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Amortization</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Disposal</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Net </w:t>
            </w:r>
          </w:p>
          <w:p>
            <w:pPr>
              <w:pStyle w:val="TableContents"/>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Carrying 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2285" w:type="dxa"/>
            <w:tcBorders/>
            <w:shd w:fill="CCEEFF" w:val="clear"/>
            <w:vAlign w:val="center"/>
          </w:tcPr>
          <w:p>
            <w:pPr>
              <w:pStyle w:val="TableContents"/>
              <w:bidi w:val="0"/>
              <w:spacing w:before="0" w:after="283"/>
              <w:jc w:val="left"/>
              <w:rPr>
                <w:color w:val="000000"/>
              </w:rPr>
            </w:pPr>
            <w:r>
              <w:rPr>
                <w:color w:val="000000"/>
              </w:rPr>
              <w:t>Patents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2" w:type="dxa"/>
            <w:tcBorders/>
            <w:shd w:fill="CCEEFF" w:val="clear"/>
            <w:vAlign w:val="center"/>
          </w:tcPr>
          <w:p>
            <w:pPr>
              <w:pStyle w:val="TableContents"/>
              <w:bidi w:val="0"/>
              <w:spacing w:before="0" w:after="283"/>
              <w:jc w:val="left"/>
              <w:rPr>
                <w:color w:val="000000"/>
              </w:rPr>
            </w:pPr>
            <w:r>
              <w:rPr>
                <w:color w:val="000000"/>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color w:val="000000"/>
                <w:sz w:val="20"/>
              </w:rPr>
            </w:pPr>
            <w:bookmarkStart w:id="532" w:name="xdx_900_eus-gaap--FiniteLivedIntangibleA"/>
            <w:bookmarkEnd w:id="532"/>
            <w:r>
              <w:rPr>
                <w:rFonts w:ascii="Times New Roman;Times;Serif" w:hAnsi="Times New Roman;Times;Serif"/>
                <w:color w:val="000000"/>
                <w:sz w:val="20"/>
              </w:rPr>
              <w:t>17-</w:t>
            </w:r>
            <w:bookmarkStart w:id="533" w:name="xdx_903_eus-gaap--FiniteLivedIntangibleA"/>
            <w:bookmarkEnd w:id="533"/>
            <w:r>
              <w:rPr>
                <w:rFonts w:ascii="Times New Roman;Times;Serif" w:hAnsi="Times New Roman;Times;Serif"/>
                <w:color w:val="000000"/>
                <w:sz w:val="20"/>
              </w:rPr>
              <w:t>19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bookmarkStart w:id="534" w:name="xdx_989_eus-gaap--FiniteLivedIntangibleA"/>
            <w:bookmarkEnd w:id="534"/>
          </w:p>
        </w:tc>
        <w:tc>
          <w:tcPr>
            <w:tcW w:w="1220" w:type="dxa"/>
            <w:tcBorders/>
            <w:shd w:fill="CCEEFF" w:val="clear"/>
            <w:vAlign w:val="center"/>
          </w:tcPr>
          <w:p>
            <w:pPr>
              <w:pStyle w:val="TableContents"/>
              <w:bidi w:val="0"/>
              <w:spacing w:before="0" w:after="283"/>
              <w:jc w:val="right"/>
              <w:rPr>
                <w:color w:val="000000"/>
              </w:rPr>
            </w:pPr>
            <w:r>
              <w:rPr>
                <w:color w:val="000000"/>
              </w:rPr>
              <w:t>980,000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bookmarkStart w:id="535" w:name="xdx_98C_eus-gaap--FiniteLivedIntangibleA"/>
            <w:bookmarkEnd w:id="535"/>
          </w:p>
        </w:tc>
        <w:tc>
          <w:tcPr>
            <w:tcW w:w="1055" w:type="dxa"/>
            <w:tcBorders/>
            <w:shd w:fill="CCEEFF" w:val="clear"/>
            <w:vAlign w:val="center"/>
          </w:tcPr>
          <w:p>
            <w:pPr>
              <w:pStyle w:val="TableContents"/>
              <w:bidi w:val="0"/>
              <w:spacing w:before="0" w:after="283"/>
              <w:jc w:val="right"/>
              <w:rPr>
                <w:color w:val="000000"/>
              </w:rPr>
            </w:pPr>
            <w:r>
              <w:rPr>
                <w:color w:val="000000"/>
              </w:rPr>
              <w:t>(226,000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bookmarkStart w:id="536" w:name="xdx_98A_ecustom--FiniteLivedIntangibleAs"/>
            <w:bookmarkEnd w:id="536"/>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bookmarkStart w:id="537" w:name="xdx_98E_eus-gaap--IntangibleAssetsNetExc"/>
            <w:bookmarkEnd w:id="537"/>
          </w:p>
        </w:tc>
        <w:tc>
          <w:tcPr>
            <w:tcW w:w="1220" w:type="dxa"/>
            <w:tcBorders/>
            <w:shd w:fill="CCEEFF" w:val="clear"/>
            <w:vAlign w:val="center"/>
          </w:tcPr>
          <w:p>
            <w:pPr>
              <w:pStyle w:val="TableContents"/>
              <w:bidi w:val="0"/>
              <w:spacing w:before="0" w:after="283"/>
              <w:jc w:val="right"/>
              <w:rPr>
                <w:color w:val="000000"/>
              </w:rPr>
            </w:pPr>
            <w:r>
              <w:rPr>
                <w:color w:val="000000"/>
              </w:rPr>
              <w:t>754,000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285" w:type="dxa"/>
            <w:tcBorders/>
            <w:shd w:fill="FFFFFF" w:val="clear"/>
            <w:vAlign w:val="center"/>
          </w:tcPr>
          <w:p>
            <w:pPr>
              <w:pStyle w:val="TableContents"/>
              <w:bidi w:val="0"/>
              <w:spacing w:before="0" w:after="283"/>
              <w:jc w:val="left"/>
              <w:rPr>
                <w:color w:val="000000"/>
              </w:rPr>
            </w:pPr>
            <w:r>
              <w:rPr>
                <w:color w:val="000000"/>
              </w:rPr>
              <w:t>Licenses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2" w:type="dxa"/>
            <w:tcBorders/>
            <w:shd w:fill="FFFFFF" w:val="clear"/>
            <w:vAlign w:val="center"/>
          </w:tcPr>
          <w:p>
            <w:pPr>
              <w:pStyle w:val="TableContents"/>
              <w:bidi w:val="0"/>
              <w:spacing w:before="0" w:after="283"/>
              <w:jc w:val="left"/>
              <w:rPr>
                <w:color w:val="000000"/>
              </w:rPr>
            </w:pPr>
            <w:r>
              <w:rPr>
                <w:color w:val="000000"/>
              </w:rPr>
              <w:t> </w:t>
            </w:r>
          </w:p>
        </w:tc>
        <w:tc>
          <w:tcPr>
            <w:tcW w:w="1122" w:type="dxa"/>
            <w:tcBorders/>
            <w:shd w:fill="FFFFFF" w:val="clear"/>
            <w:vAlign w:val="center"/>
          </w:tcPr>
          <w:p>
            <w:pPr>
              <w:pStyle w:val="TableContents"/>
              <w:bidi w:val="0"/>
              <w:spacing w:before="0" w:after="283"/>
              <w:jc w:val="right"/>
              <w:rPr>
                <w:color w:val="000000"/>
              </w:rPr>
            </w:pPr>
            <w:bookmarkStart w:id="538" w:name="xdx_904_eus-gaap--FiniteLivedIntangibleA"/>
            <w:bookmarkEnd w:id="538"/>
            <w:r>
              <w:rPr>
                <w:color w:val="000000"/>
              </w:rPr>
              <w:t>20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39" w:name="xdx_98E_eus-gaap--FiniteLivedIntangibleA"/>
            <w:bookmarkEnd w:id="539"/>
          </w:p>
        </w:tc>
        <w:tc>
          <w:tcPr>
            <w:tcW w:w="1220" w:type="dxa"/>
            <w:tcBorders/>
            <w:shd w:fill="FFFFFF" w:val="clear"/>
            <w:vAlign w:val="center"/>
          </w:tcPr>
          <w:p>
            <w:pPr>
              <w:pStyle w:val="TableContents"/>
              <w:bidi w:val="0"/>
              <w:spacing w:before="0" w:after="283"/>
              <w:jc w:val="right"/>
              <w:rPr>
                <w:color w:val="000000"/>
              </w:rPr>
            </w:pPr>
            <w:r>
              <w:rPr>
                <w:color w:val="000000"/>
              </w:rPr>
              <w:t>100,000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40" w:name="xdx_984_eus-gaap--FiniteLivedIntangibleA"/>
            <w:bookmarkEnd w:id="540"/>
          </w:p>
        </w:tc>
        <w:tc>
          <w:tcPr>
            <w:tcW w:w="1055" w:type="dxa"/>
            <w:tcBorders/>
            <w:shd w:fill="FFFFFF" w:val="clear"/>
            <w:vAlign w:val="center"/>
          </w:tcPr>
          <w:p>
            <w:pPr>
              <w:pStyle w:val="TableContents"/>
              <w:bidi w:val="0"/>
              <w:spacing w:before="0" w:after="283"/>
              <w:jc w:val="right"/>
              <w:rPr>
                <w:color w:val="000000"/>
              </w:rPr>
            </w:pPr>
            <w:r>
              <w:rPr>
                <w:color w:val="000000"/>
              </w:rPr>
              <w:t>(30,000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41" w:name="xdx_983_ecustom--FiniteLivedIntangibleAs"/>
            <w:bookmarkEnd w:id="541"/>
          </w:p>
        </w:tc>
        <w:tc>
          <w:tcPr>
            <w:tcW w:w="755" w:type="dxa"/>
            <w:tcBorders/>
            <w:shd w:fill="FFFFFF" w:val="clear"/>
            <w:vAlign w:val="center"/>
          </w:tcPr>
          <w:p>
            <w:pPr>
              <w:pStyle w:val="TableContents"/>
              <w:bidi w:val="0"/>
              <w:spacing w:before="0" w:after="283"/>
              <w:jc w:val="right"/>
              <w:rPr>
                <w:color w:val="000000"/>
              </w:rPr>
            </w:pPr>
            <w:r>
              <w:rPr>
                <w:color w:val="000000"/>
              </w:rPr>
              <w:t>(22,000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42" w:name="xdx_98C_eus-gaap--IntangibleAssetsNetExc"/>
            <w:bookmarkEnd w:id="542"/>
          </w:p>
        </w:tc>
        <w:tc>
          <w:tcPr>
            <w:tcW w:w="1220" w:type="dxa"/>
            <w:tcBorders/>
            <w:shd w:fill="FFFFFF" w:val="clear"/>
            <w:vAlign w:val="center"/>
          </w:tcPr>
          <w:p>
            <w:pPr>
              <w:pStyle w:val="TableContents"/>
              <w:bidi w:val="0"/>
              <w:spacing w:before="0" w:after="283"/>
              <w:jc w:val="right"/>
              <w:rPr>
                <w:color w:val="000000"/>
              </w:rPr>
            </w:pPr>
            <w:r>
              <w:rPr>
                <w:color w:val="000000"/>
              </w:rPr>
              <w:t>48,000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2285" w:type="dxa"/>
            <w:tcBorders/>
            <w:shd w:fill="CCEEFF" w:val="clear"/>
            <w:vAlign w:val="center"/>
          </w:tcPr>
          <w:p>
            <w:pPr>
              <w:pStyle w:val="TableContents"/>
              <w:bidi w:val="0"/>
              <w:spacing w:before="0" w:after="283"/>
              <w:jc w:val="left"/>
              <w:rPr>
                <w:color w:val="000000"/>
              </w:rPr>
            </w:pPr>
            <w:r>
              <w:rPr>
                <w:color w:val="000000"/>
              </w:rPr>
              <w:t>Trademarks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2" w:type="dxa"/>
            <w:tcBorders/>
            <w:shd w:fill="CCEEFF" w:val="clear"/>
            <w:vAlign w:val="center"/>
          </w:tcPr>
          <w:p>
            <w:pPr>
              <w:pStyle w:val="TableContents"/>
              <w:bidi w:val="0"/>
              <w:spacing w:before="0" w:after="283"/>
              <w:jc w:val="left"/>
              <w:rPr>
                <w:color w:val="000000"/>
              </w:rPr>
            </w:pPr>
            <w:r>
              <w:rPr>
                <w:color w:val="000000"/>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color w:val="000000"/>
                <w:sz w:val="20"/>
              </w:rPr>
            </w:pPr>
            <w:bookmarkStart w:id="543" w:name="xdx_903_eus-gaap--FiniteLivedIntangibleA"/>
            <w:bookmarkEnd w:id="543"/>
            <w:r>
              <w:rPr>
                <w:rFonts w:ascii="Times New Roman;Times;Serif" w:hAnsi="Times New Roman;Times;Serif"/>
                <w:color w:val="000000"/>
                <w:sz w:val="20"/>
              </w:rPr>
              <w:t>Indefinite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44" w:name="xdx_983_eus-gaap--FiniteLivedIntangibleA"/>
            <w:bookmarkEnd w:id="544"/>
          </w:p>
        </w:tc>
        <w:tc>
          <w:tcPr>
            <w:tcW w:w="1220" w:type="dxa"/>
            <w:tcBorders/>
            <w:shd w:fill="CCEEFF" w:val="clear"/>
            <w:vAlign w:val="center"/>
          </w:tcPr>
          <w:p>
            <w:pPr>
              <w:pStyle w:val="TableContents"/>
              <w:bidi w:val="0"/>
              <w:spacing w:before="0" w:after="283"/>
              <w:jc w:val="right"/>
              <w:rPr>
                <w:color w:val="000000"/>
              </w:rPr>
            </w:pPr>
            <w:r>
              <w:rPr>
                <w:color w:val="000000"/>
              </w:rPr>
              <w:t>268,000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45" w:name="xdx_980_eus-gaap--FiniteLivedIntangibleA"/>
            <w:bookmarkEnd w:id="545"/>
          </w:p>
        </w:tc>
        <w:tc>
          <w:tcPr>
            <w:tcW w:w="105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46" w:name="xdx_980_ecustom--FiniteLivedIntangibleAs"/>
            <w:bookmarkEnd w:id="546"/>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47" w:name="xdx_98A_eus-gaap--IntangibleAssetsNetExc"/>
            <w:bookmarkEnd w:id="547"/>
          </w:p>
        </w:tc>
        <w:tc>
          <w:tcPr>
            <w:tcW w:w="1220" w:type="dxa"/>
            <w:tcBorders/>
            <w:shd w:fill="CCEEFF" w:val="clear"/>
            <w:vAlign w:val="center"/>
          </w:tcPr>
          <w:p>
            <w:pPr>
              <w:pStyle w:val="TableContents"/>
              <w:bidi w:val="0"/>
              <w:spacing w:before="0" w:after="283"/>
              <w:jc w:val="right"/>
              <w:rPr>
                <w:color w:val="000000"/>
              </w:rPr>
            </w:pPr>
            <w:r>
              <w:rPr>
                <w:color w:val="000000"/>
              </w:rPr>
              <w:t>268,000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285" w:type="dxa"/>
            <w:tcBorders/>
            <w:shd w:fill="FFFFFF" w:val="clear"/>
            <w:vAlign w:val="center"/>
          </w:tcPr>
          <w:p>
            <w:pPr>
              <w:pStyle w:val="TableContents"/>
              <w:bidi w:val="0"/>
              <w:spacing w:before="0" w:after="283"/>
              <w:jc w:val="left"/>
              <w:rPr>
                <w:color w:val="000000"/>
              </w:rPr>
            </w:pPr>
            <w:r>
              <w:rPr>
                <w:color w:val="000000"/>
              </w:rPr>
              <w:t>Acquired NDAs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2" w:type="dxa"/>
            <w:tcBorders/>
            <w:shd w:fill="FFFFFF" w:val="clear"/>
            <w:vAlign w:val="center"/>
          </w:tcPr>
          <w:p>
            <w:pPr>
              <w:pStyle w:val="TableContents"/>
              <w:bidi w:val="0"/>
              <w:spacing w:before="0" w:after="283"/>
              <w:jc w:val="left"/>
              <w:rPr>
                <w:color w:val="000000"/>
              </w:rPr>
            </w:pPr>
            <w:r>
              <w:rPr>
                <w:color w:val="000000"/>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color w:val="000000"/>
                <w:sz w:val="20"/>
              </w:rPr>
            </w:pPr>
            <w:bookmarkStart w:id="548" w:name="xdx_902_eus-gaap--FiniteLivedIntangibleA"/>
            <w:bookmarkEnd w:id="548"/>
            <w:r>
              <w:rPr>
                <w:rFonts w:ascii="Times New Roman;Times;Serif" w:hAnsi="Times New Roman;Times;Serif"/>
                <w:color w:val="000000"/>
                <w:sz w:val="20"/>
              </w:rPr>
              <w:t>4-</w:t>
            </w:r>
            <w:bookmarkStart w:id="549" w:name="xdx_909_eus-gaap--FiniteLivedIntangibleA"/>
            <w:bookmarkEnd w:id="549"/>
            <w:r>
              <w:rPr>
                <w:rFonts w:ascii="Times New Roman;Times;Serif" w:hAnsi="Times New Roman;Times;Serif"/>
                <w:color w:val="000000"/>
                <w:sz w:val="20"/>
              </w:rPr>
              <w:t>15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50" w:name="xdx_986_eus-gaap--FiniteLivedIntangibleA"/>
            <w:bookmarkEnd w:id="550"/>
          </w:p>
        </w:tc>
        <w:tc>
          <w:tcPr>
            <w:tcW w:w="1220" w:type="dxa"/>
            <w:tcBorders/>
            <w:shd w:fill="FFFFFF" w:val="clear"/>
            <w:vAlign w:val="center"/>
          </w:tcPr>
          <w:p>
            <w:pPr>
              <w:pStyle w:val="TableContents"/>
              <w:bidi w:val="0"/>
              <w:spacing w:before="0" w:after="283"/>
              <w:jc w:val="right"/>
              <w:rPr>
                <w:color w:val="000000"/>
              </w:rPr>
            </w:pPr>
            <w:r>
              <w:rPr>
                <w:color w:val="000000"/>
              </w:rPr>
              <w:t>170,353,000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51" w:name="xdx_989_eus-gaap--FiniteLivedIntangibleA"/>
            <w:bookmarkEnd w:id="551"/>
          </w:p>
        </w:tc>
        <w:tc>
          <w:tcPr>
            <w:tcW w:w="1055" w:type="dxa"/>
            <w:tcBorders/>
            <w:shd w:fill="FFFFFF" w:val="clear"/>
            <w:vAlign w:val="center"/>
          </w:tcPr>
          <w:p>
            <w:pPr>
              <w:pStyle w:val="TableContents"/>
              <w:bidi w:val="0"/>
              <w:spacing w:before="0" w:after="283"/>
              <w:jc w:val="right"/>
              <w:rPr>
                <w:color w:val="000000"/>
              </w:rPr>
            </w:pPr>
            <w:r>
              <w:rPr>
                <w:color w:val="000000"/>
              </w:rPr>
              <w:t>(8,889,000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52" w:name="xdx_983_ecustom--FiniteLivedIntangibleAs"/>
            <w:bookmarkEnd w:id="552"/>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53" w:name="xdx_98D_eus-gaap--IntangibleAssetsNetExc"/>
            <w:bookmarkEnd w:id="553"/>
          </w:p>
        </w:tc>
        <w:tc>
          <w:tcPr>
            <w:tcW w:w="1220" w:type="dxa"/>
            <w:tcBorders/>
            <w:shd w:fill="FFFFFF" w:val="clear"/>
            <w:vAlign w:val="center"/>
          </w:tcPr>
          <w:p>
            <w:pPr>
              <w:pStyle w:val="TableContents"/>
              <w:bidi w:val="0"/>
              <w:spacing w:before="0" w:after="283"/>
              <w:jc w:val="right"/>
              <w:rPr>
                <w:color w:val="000000"/>
              </w:rPr>
            </w:pPr>
            <w:r>
              <w:rPr>
                <w:color w:val="000000"/>
              </w:rPr>
              <w:t>161,464,000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2285" w:type="dxa"/>
            <w:tcBorders/>
            <w:shd w:fill="CCEEFF" w:val="clear"/>
            <w:vAlign w:val="center"/>
          </w:tcPr>
          <w:p>
            <w:pPr>
              <w:pStyle w:val="TableContents"/>
              <w:bidi w:val="0"/>
              <w:spacing w:before="0" w:after="283"/>
              <w:jc w:val="left"/>
              <w:rPr>
                <w:color w:val="000000"/>
              </w:rPr>
            </w:pPr>
            <w:r>
              <w:rPr>
                <w:color w:val="000000"/>
              </w:rPr>
              <w:t>Customer relationships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2" w:type="dxa"/>
            <w:tcBorders/>
            <w:shd w:fill="CCEEFF" w:val="clear"/>
            <w:vAlign w:val="center"/>
          </w:tcPr>
          <w:p>
            <w:pPr>
              <w:pStyle w:val="TableContents"/>
              <w:bidi w:val="0"/>
              <w:spacing w:before="0" w:after="283"/>
              <w:jc w:val="left"/>
              <w:rPr>
                <w:color w:val="000000"/>
              </w:rPr>
            </w:pPr>
            <w:r>
              <w:rPr>
                <w:color w:val="000000"/>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color w:val="000000"/>
                <w:sz w:val="20"/>
              </w:rPr>
            </w:pPr>
            <w:bookmarkStart w:id="554" w:name="xdx_90B_eus-gaap--FiniteLivedIntangibleA"/>
            <w:bookmarkEnd w:id="554"/>
            <w:r>
              <w:rPr>
                <w:rFonts w:ascii="Times New Roman;Times;Serif" w:hAnsi="Times New Roman;Times;Serif"/>
                <w:color w:val="000000"/>
                <w:sz w:val="20"/>
              </w:rPr>
              <w:t>3-</w:t>
            </w:r>
            <w:bookmarkStart w:id="555" w:name="xdx_903_eus-gaap--FiniteLivedIntangibleA"/>
            <w:bookmarkEnd w:id="555"/>
            <w:r>
              <w:rPr>
                <w:rFonts w:ascii="Times New Roman;Times;Serif" w:hAnsi="Times New Roman;Times;Serif"/>
                <w:color w:val="000000"/>
                <w:sz w:val="20"/>
              </w:rPr>
              <w:t>15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56" w:name="xdx_986_eus-gaap--FiniteLivedIntangibleA"/>
            <w:bookmarkEnd w:id="556"/>
          </w:p>
        </w:tc>
        <w:tc>
          <w:tcPr>
            <w:tcW w:w="1220" w:type="dxa"/>
            <w:tcBorders/>
            <w:shd w:fill="CCEEFF" w:val="clear"/>
            <w:vAlign w:val="center"/>
          </w:tcPr>
          <w:p>
            <w:pPr>
              <w:pStyle w:val="TableContents"/>
              <w:bidi w:val="0"/>
              <w:spacing w:before="0" w:after="283"/>
              <w:jc w:val="right"/>
              <w:rPr>
                <w:color w:val="000000"/>
              </w:rPr>
            </w:pPr>
            <w:r>
              <w:rPr>
                <w:color w:val="000000"/>
              </w:rPr>
              <w:t>596,000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57" w:name="xdx_983_eus-gaap--FiniteLivedIntangibleA"/>
            <w:bookmarkEnd w:id="557"/>
          </w:p>
        </w:tc>
        <w:tc>
          <w:tcPr>
            <w:tcW w:w="1055" w:type="dxa"/>
            <w:tcBorders/>
            <w:shd w:fill="CCEEFF" w:val="clear"/>
            <w:vAlign w:val="center"/>
          </w:tcPr>
          <w:p>
            <w:pPr>
              <w:pStyle w:val="TableContents"/>
              <w:bidi w:val="0"/>
              <w:spacing w:before="0" w:after="283"/>
              <w:jc w:val="right"/>
              <w:rPr>
                <w:color w:val="000000"/>
              </w:rPr>
            </w:pPr>
            <w:r>
              <w:rPr>
                <w:color w:val="000000"/>
              </w:rPr>
              <w:t>(498,000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58" w:name="xdx_983_ecustom--FiniteLivedIntangibleAs"/>
            <w:bookmarkEnd w:id="558"/>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59" w:name="xdx_989_eus-gaap--IntangibleAssetsNetExc"/>
            <w:bookmarkEnd w:id="559"/>
          </w:p>
        </w:tc>
        <w:tc>
          <w:tcPr>
            <w:tcW w:w="1220" w:type="dxa"/>
            <w:tcBorders/>
            <w:shd w:fill="CCEEFF" w:val="clear"/>
            <w:vAlign w:val="center"/>
          </w:tcPr>
          <w:p>
            <w:pPr>
              <w:pStyle w:val="TableContents"/>
              <w:bidi w:val="0"/>
              <w:spacing w:before="0" w:after="283"/>
              <w:jc w:val="right"/>
              <w:rPr>
                <w:color w:val="000000"/>
              </w:rPr>
            </w:pPr>
            <w:r>
              <w:rPr>
                <w:color w:val="000000"/>
              </w:rPr>
              <w:t>98,000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285" w:type="dxa"/>
            <w:tcBorders/>
            <w:shd w:fill="FFFFFF" w:val="clear"/>
            <w:vAlign w:val="center"/>
          </w:tcPr>
          <w:p>
            <w:pPr>
              <w:pStyle w:val="TableContents"/>
              <w:bidi w:val="0"/>
              <w:spacing w:before="0" w:after="283"/>
              <w:jc w:val="left"/>
              <w:rPr>
                <w:color w:val="000000"/>
              </w:rPr>
            </w:pPr>
            <w:r>
              <w:rPr>
                <w:color w:val="000000"/>
              </w:rPr>
              <w:t>Trade name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2" w:type="dxa"/>
            <w:tcBorders/>
            <w:shd w:fill="FFFFFF" w:val="clear"/>
            <w:vAlign w:val="center"/>
          </w:tcPr>
          <w:p>
            <w:pPr>
              <w:pStyle w:val="TableContents"/>
              <w:bidi w:val="0"/>
              <w:spacing w:before="0" w:after="283"/>
              <w:jc w:val="left"/>
              <w:rPr>
                <w:color w:val="000000"/>
              </w:rPr>
            </w:pPr>
            <w:r>
              <w:rPr>
                <w:color w:val="000000"/>
              </w:rPr>
              <w:t> </w:t>
            </w:r>
          </w:p>
        </w:tc>
        <w:tc>
          <w:tcPr>
            <w:tcW w:w="1122" w:type="dxa"/>
            <w:tcBorders/>
            <w:shd w:fill="FFFFFF" w:val="clear"/>
            <w:vAlign w:val="center"/>
          </w:tcPr>
          <w:p>
            <w:pPr>
              <w:pStyle w:val="TableContents"/>
              <w:bidi w:val="0"/>
              <w:spacing w:before="0" w:after="283"/>
              <w:jc w:val="right"/>
              <w:rPr>
                <w:color w:val="000000"/>
              </w:rPr>
            </w:pPr>
            <w:bookmarkStart w:id="560" w:name="xdx_908_eus-gaap--FiniteLivedIntangibleA"/>
            <w:bookmarkEnd w:id="560"/>
            <w:r>
              <w:rPr>
                <w:color w:val="000000"/>
              </w:rPr>
              <w:t>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61" w:name="xdx_98A_eus-gaap--FiniteLivedIntangibleA"/>
            <w:bookmarkEnd w:id="561"/>
          </w:p>
        </w:tc>
        <w:tc>
          <w:tcPr>
            <w:tcW w:w="1220" w:type="dxa"/>
            <w:tcBorders/>
            <w:shd w:fill="FFFFFF" w:val="clear"/>
            <w:vAlign w:val="center"/>
          </w:tcPr>
          <w:p>
            <w:pPr>
              <w:pStyle w:val="TableContents"/>
              <w:bidi w:val="0"/>
              <w:spacing w:before="0" w:after="283"/>
              <w:jc w:val="right"/>
              <w:rPr>
                <w:color w:val="000000"/>
              </w:rPr>
            </w:pPr>
            <w:r>
              <w:rPr>
                <w:color w:val="000000"/>
              </w:rPr>
              <w:t>75,000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62" w:name="xdx_981_eus-gaap--FiniteLivedIntangibleA"/>
            <w:bookmarkEnd w:id="562"/>
          </w:p>
        </w:tc>
        <w:tc>
          <w:tcPr>
            <w:tcW w:w="1055" w:type="dxa"/>
            <w:tcBorders/>
            <w:shd w:fill="FFFFFF" w:val="clear"/>
            <w:vAlign w:val="center"/>
          </w:tcPr>
          <w:p>
            <w:pPr>
              <w:pStyle w:val="TableContents"/>
              <w:bidi w:val="0"/>
              <w:spacing w:before="0" w:after="283"/>
              <w:jc w:val="right"/>
              <w:rPr>
                <w:color w:val="000000"/>
              </w:rPr>
            </w:pPr>
            <w:r>
              <w:rPr>
                <w:color w:val="000000"/>
              </w:rPr>
              <w:t>(5,000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63" w:name="xdx_98D_ecustom--FiniteLivedIntangibleAs"/>
            <w:bookmarkEnd w:id="563"/>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bookmarkStart w:id="564" w:name="xdx_989_eus-gaap--IntangibleAssetsNetExc"/>
            <w:bookmarkEnd w:id="564"/>
          </w:p>
        </w:tc>
        <w:tc>
          <w:tcPr>
            <w:tcW w:w="1220" w:type="dxa"/>
            <w:tcBorders/>
            <w:shd w:fill="FFFFFF" w:val="clear"/>
            <w:vAlign w:val="center"/>
          </w:tcPr>
          <w:p>
            <w:pPr>
              <w:pStyle w:val="TableContents"/>
              <w:bidi w:val="0"/>
              <w:spacing w:before="0" w:after="283"/>
              <w:jc w:val="right"/>
              <w:rPr>
                <w:color w:val="000000"/>
              </w:rPr>
            </w:pPr>
            <w:r>
              <w:rPr>
                <w:color w:val="000000"/>
              </w:rPr>
              <w:t>70,000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2285" w:type="dxa"/>
            <w:tcBorders/>
            <w:shd w:fill="CCEEFF" w:val="clear"/>
            <w:vAlign w:val="center"/>
          </w:tcPr>
          <w:p>
            <w:pPr>
              <w:pStyle w:val="TableContents"/>
              <w:bidi w:val="0"/>
              <w:spacing w:before="0" w:after="283"/>
              <w:jc w:val="left"/>
              <w:rPr>
                <w:color w:val="000000"/>
              </w:rPr>
            </w:pPr>
            <w:r>
              <w:rPr>
                <w:color w:val="000000"/>
              </w:rPr>
              <w:t>Non-competition clause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2" w:type="dxa"/>
            <w:tcBorders/>
            <w:shd w:fill="CCEEFF" w:val="clear"/>
            <w:vAlign w:val="center"/>
          </w:tcPr>
          <w:p>
            <w:pPr>
              <w:pStyle w:val="TableContents"/>
              <w:bidi w:val="0"/>
              <w:spacing w:before="0" w:after="283"/>
              <w:jc w:val="left"/>
              <w:rPr>
                <w:color w:val="000000"/>
              </w:rPr>
            </w:pPr>
            <w:r>
              <w:rPr>
                <w:color w:val="000000"/>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color w:val="000000"/>
                <w:sz w:val="20"/>
              </w:rPr>
            </w:pPr>
            <w:bookmarkStart w:id="565" w:name="xdx_902_eus-gaap--FiniteLivedIntangibleA"/>
            <w:bookmarkEnd w:id="565"/>
            <w:r>
              <w:rPr>
                <w:rFonts w:ascii="Times New Roman;Times;Serif" w:hAnsi="Times New Roman;Times;Serif"/>
                <w:color w:val="000000"/>
                <w:sz w:val="20"/>
              </w:rPr>
              <w:t>3-</w:t>
            </w:r>
            <w:bookmarkStart w:id="566" w:name="xdx_908_eus-gaap--FiniteLivedIntangibleA"/>
            <w:bookmarkEnd w:id="566"/>
            <w:r>
              <w:rPr>
                <w:rFonts w:ascii="Times New Roman;Times;Serif" w:hAnsi="Times New Roman;Times;Serif"/>
                <w:color w:val="000000"/>
                <w:sz w:val="20"/>
              </w:rPr>
              <w:t>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67" w:name="xdx_985_eus-gaap--FiniteLivedIntangibleA"/>
            <w:bookmarkEnd w:id="567"/>
          </w:p>
        </w:tc>
        <w:tc>
          <w:tcPr>
            <w:tcW w:w="1220" w:type="dxa"/>
            <w:tcBorders/>
            <w:shd w:fill="CCEEFF" w:val="clear"/>
            <w:vAlign w:val="center"/>
          </w:tcPr>
          <w:p>
            <w:pPr>
              <w:pStyle w:val="TableContents"/>
              <w:bidi w:val="0"/>
              <w:spacing w:before="0" w:after="283"/>
              <w:jc w:val="right"/>
              <w:rPr>
                <w:color w:val="000000"/>
              </w:rPr>
            </w:pPr>
            <w:r>
              <w:rPr>
                <w:color w:val="000000"/>
              </w:rPr>
              <w:t>50,000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68" w:name="xdx_989_eus-gaap--FiniteLivedIntangibleA"/>
            <w:bookmarkEnd w:id="568"/>
          </w:p>
        </w:tc>
        <w:tc>
          <w:tcPr>
            <w:tcW w:w="1055" w:type="dxa"/>
            <w:tcBorders/>
            <w:shd w:fill="CCEEFF" w:val="clear"/>
            <w:vAlign w:val="center"/>
          </w:tcPr>
          <w:p>
            <w:pPr>
              <w:pStyle w:val="TableContents"/>
              <w:bidi w:val="0"/>
              <w:spacing w:before="0" w:after="283"/>
              <w:jc w:val="right"/>
              <w:rPr>
                <w:color w:val="000000"/>
              </w:rPr>
            </w:pPr>
            <w:r>
              <w:rPr>
                <w:color w:val="000000"/>
              </w:rPr>
              <w:t>(50,000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69" w:name="xdx_987_ecustom--FiniteLivedIntangibleAs"/>
            <w:bookmarkEnd w:id="569"/>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70" w:name="xdx_98F_eus-gaap--IntangibleAssetsNetExc"/>
            <w:bookmarkEnd w:id="570"/>
          </w:p>
        </w:tc>
        <w:tc>
          <w:tcPr>
            <w:tcW w:w="1220" w:type="dxa"/>
            <w:tcBorders/>
            <w:shd w:fill="CCEEFF" w:val="clear"/>
            <w:vAlign w:val="center"/>
          </w:tcPr>
          <w:p>
            <w:pPr>
              <w:pStyle w:val="TableContents"/>
              <w:bidi w:val="0"/>
              <w:spacing w:before="0" w:after="283"/>
              <w:jc w:val="right"/>
              <w:rPr>
                <w:color w:val="000000"/>
              </w:rPr>
            </w:pPr>
            <w:r>
              <w:rPr>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2285" w:type="dxa"/>
            <w:tcBorders/>
            <w:shd w:fill="FFFFFF" w:val="clear"/>
            <w:vAlign w:val="center"/>
          </w:tcPr>
          <w:p>
            <w:pPr>
              <w:pStyle w:val="TableContents"/>
              <w:bidi w:val="0"/>
              <w:spacing w:before="0" w:after="283"/>
              <w:jc w:val="left"/>
              <w:rPr>
                <w:color w:val="000000"/>
              </w:rPr>
            </w:pPr>
            <w:r>
              <w:rPr>
                <w:color w:val="000000"/>
              </w:rPr>
              <w:t>State pharmacy licenses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bookmarkStart w:id="571" w:name="xdx_90F_eus-gaap--FiniteLivedIntangibleA"/>
            <w:bookmarkEnd w:id="571"/>
            <w:r>
              <w:rPr>
                <w:color w:val="000000"/>
              </w:rPr>
              <w:t>25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72" w:name="xdx_98F_eus-gaap--FiniteLivedIntangibleA"/>
            <w:bookmarkEnd w:id="572"/>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8,000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73" w:name="xdx_983_eus-gaap--FiniteLivedIntangibleA"/>
            <w:bookmarkEnd w:id="573"/>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74" w:name="xdx_982_ecustom--FiniteLivedIntangibleAs"/>
            <w:bookmarkEnd w:id="574"/>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575" w:name="xdx_984_eus-gaap--IntangibleAssetsNetExc"/>
            <w:bookmarkEnd w:id="575"/>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1,000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2285"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2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576" w:name="xdx_982_eus-gaap--FiniteLivedIntangibleA"/>
            <w:bookmarkEnd w:id="576"/>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172,430,000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577" w:name="xdx_983_eus-gaap--FiniteLivedIntangibleA"/>
            <w:bookmarkEnd w:id="577"/>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(9,705,000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578" w:name="xdx_980_ecustom--FiniteLivedIntangibleAs"/>
            <w:bookmarkEnd w:id="578"/>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(22,000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bookmarkStart w:id="579" w:name="xdx_98B_eus-gaap--IntangibleAssetsNetExc"/>
            <w:bookmarkEnd w:id="57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162,703,000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580" w:name="xdx_8A8_zqeHu2dnPUVc"/>
      <w:bookmarkEnd w:id="580"/>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581" w:name="xdx_895_eus-gaap--FiniteLivedIntangibleA"/>
      <w:bookmarkEnd w:id="581"/>
      <w:r>
        <w:rPr>
          <w:rFonts w:ascii="Times New Roman;Times;Serif" w:hAnsi="Times New Roman;Times;Serif"/>
          <w:b w:val="false"/>
          <w:i w:val="false"/>
          <w:caps w:val="false"/>
          <w:smallCaps w:val="false"/>
          <w:color w:val="000000"/>
          <w:sz w:val="20"/>
        </w:rPr>
        <w:t>Amortization expense for intangible assets for the three and nine months ended September 30, 2023 and 2022 was as follows:</w:t>
      </w:r>
    </w:p>
    <w:p>
      <w:pPr>
        <w:pStyle w:val="TextBody"/>
        <w:bidi w:val="0"/>
        <w:spacing w:before="0" w:after="0"/>
        <w:ind w:left="0" w:right="0" w:hanging="0"/>
        <w:jc w:val="both"/>
        <w:rPr>
          <w:caps w:val="false"/>
          <w:smallCaps w:val="false"/>
          <w:color w:val="000000"/>
        </w:rPr>
      </w:pPr>
      <w:r>
        <w:rPr>
          <w:caps w:val="false"/>
          <w:smallCaps w:val="false"/>
          <w:color w:val="000000"/>
        </w:rPr>
        <w:t> </w:t>
      </w:r>
      <w:bookmarkStart w:id="582" w:name="xdx_8BB_zAxKRZjdcUB2"/>
      <w:bookmarkEnd w:id="582"/>
      <w:r>
        <w:rPr>
          <w:rFonts w:ascii="Times New Roman;Times;Serif" w:hAnsi="Times New Roman;Times;Serif"/>
          <w:b w:val="false"/>
          <w:i w:val="false"/>
          <w:caps w:val="false"/>
          <w:smallCaps w:val="false"/>
          <w:color w:val="000000"/>
          <w:sz w:val="20"/>
        </w:rPr>
        <w:t>SCHEDULE OF AMORTIZATION EXPENSES FOR INTANGIBLE ASSETS</w:t>
      </w:r>
    </w:p>
    <w:tbl>
      <w:tblPr>
        <w:tblW w:w="8409" w:type="dxa"/>
        <w:jc w:val="left"/>
        <w:tblInd w:w="0" w:type="dxa"/>
        <w:tblLayout w:type="fixed"/>
        <w:tblCellMar>
          <w:top w:w="0" w:type="dxa"/>
          <w:left w:w="0" w:type="dxa"/>
          <w:bottom w:w="0" w:type="dxa"/>
          <w:right w:w="0" w:type="dxa"/>
        </w:tblCellMar>
      </w:tblPr>
      <w:tblGrid>
        <w:gridCol w:w="2720"/>
        <w:gridCol w:w="60"/>
        <w:gridCol w:w="177"/>
        <w:gridCol w:w="1242"/>
        <w:gridCol w:w="76"/>
        <w:gridCol w:w="76"/>
        <w:gridCol w:w="177"/>
        <w:gridCol w:w="1014"/>
        <w:gridCol w:w="60"/>
        <w:gridCol w:w="60"/>
        <w:gridCol w:w="158"/>
        <w:gridCol w:w="1110"/>
        <w:gridCol w:w="68"/>
        <w:gridCol w:w="68"/>
        <w:gridCol w:w="158"/>
        <w:gridCol w:w="1110"/>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3" w:name="xdx_492_20230701__20230930_zLar7cFjf4re"/>
            <w:bookmarkEnd w:id="583"/>
          </w:p>
        </w:tc>
        <w:tc>
          <w:tcPr>
            <w:tcW w:w="1419"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584" w:name="xdx_49A_20220701__20220930_zwvjI89HL1B5"/>
            <w:bookmarkEnd w:id="584"/>
          </w:p>
        </w:tc>
        <w:tc>
          <w:tcPr>
            <w:tcW w:w="1191"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5" w:name="xdx_49B_20230101__20230930_zlu0qZkVj3X5"/>
            <w:bookmarkEnd w:id="585"/>
          </w:p>
        </w:tc>
        <w:tc>
          <w:tcPr>
            <w:tcW w:w="1268"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586" w:name="xdx_49A_20220101__20220930_zYPA9gqDgCh3"/>
            <w:bookmarkEnd w:id="586"/>
          </w:p>
        </w:tc>
        <w:tc>
          <w:tcPr>
            <w:tcW w:w="1268"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62" w:type="dxa"/>
            <w:gridSpan w:val="6"/>
            <w:tcBorders/>
            <w:vAlign w:val="center"/>
          </w:tcPr>
          <w:p>
            <w:pPr>
              <w:pStyle w:val="TableContents"/>
              <w:bidi w:val="0"/>
              <w:spacing w:before="0" w:after="283"/>
              <w:jc w:val="center"/>
              <w:rPr>
                <w:color w:val="000000"/>
              </w:rPr>
            </w:pPr>
            <w:r>
              <w:rPr>
                <w:color w:val="000000"/>
              </w:rPr>
              <w:t>For the Three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72" w:type="dxa"/>
            <w:gridSpan w:val="6"/>
            <w:tcBorders/>
            <w:vAlign w:val="center"/>
          </w:tcPr>
          <w:p>
            <w:pPr>
              <w:pStyle w:val="TableContents"/>
              <w:bidi w:val="0"/>
              <w:spacing w:before="0" w:after="283"/>
              <w:jc w:val="center"/>
              <w:rPr>
                <w:color w:val="000000"/>
              </w:rPr>
            </w:pPr>
            <w:r>
              <w:rPr>
                <w:color w:val="000000"/>
              </w:rPr>
              <w:t>For the Nine Months Ended</w:t>
            </w:r>
          </w:p>
        </w:tc>
        <w:tc>
          <w:tcPr>
            <w:tcW w:w="75" w:type="dxa"/>
            <w:tcBorders/>
            <w:vAlign w:val="center"/>
          </w:tcPr>
          <w:p>
            <w:pPr>
              <w:pStyle w:val="TableContents"/>
              <w:bidi w:val="0"/>
              <w:spacing w:before="0" w:after="283"/>
              <w:jc w:val="left"/>
              <w:rPr>
                <w:color w:val="000000"/>
              </w:rPr>
            </w:pPr>
            <w:r>
              <w:rPr>
                <w:color w:val="000000"/>
              </w:rPr>
              <w:t> </w:t>
            </w:r>
          </w:p>
        </w:tc>
      </w:tr>
      <w:tr>
        <w:trPr/>
        <w:tc>
          <w:tcPr>
            <w:tcW w:w="27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72"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September 30,</w:t>
            </w:r>
          </w:p>
        </w:tc>
        <w:tc>
          <w:tcPr>
            <w:tcW w:w="75" w:type="dxa"/>
            <w:tcBorders/>
            <w:vAlign w:val="center"/>
          </w:tcPr>
          <w:p>
            <w:pPr>
              <w:pStyle w:val="TableContents"/>
              <w:bidi w:val="0"/>
              <w:spacing w:before="0" w:after="283"/>
              <w:jc w:val="left"/>
              <w:rPr>
                <w:color w:val="000000"/>
              </w:rPr>
            </w:pPr>
            <w:r>
              <w:rPr>
                <w:color w:val="000000"/>
              </w:rPr>
              <w:t> </w:t>
            </w:r>
          </w:p>
        </w:tc>
      </w:tr>
      <w:tr>
        <w:trPr/>
        <w:tc>
          <w:tcPr>
            <w:tcW w:w="27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76" w:type="dxa"/>
            <w:tcBorders/>
            <w:vAlign w:val="center"/>
          </w:tcPr>
          <w:p>
            <w:pPr>
              <w:pStyle w:val="TableContents"/>
              <w:bidi w:val="0"/>
              <w:spacing w:before="0" w:after="283"/>
              <w:jc w:val="left"/>
              <w:rPr>
                <w:color w:val="000000"/>
              </w:rPr>
            </w:pPr>
            <w:r>
              <w:rPr>
                <w:color w:val="000000"/>
              </w:rPr>
              <w:t> </w:t>
            </w:r>
          </w:p>
        </w:tc>
        <w:tc>
          <w:tcPr>
            <w:tcW w:w="76" w:type="dxa"/>
            <w:tcBorders/>
            <w:vAlign w:val="center"/>
          </w:tcPr>
          <w:p>
            <w:pPr>
              <w:pStyle w:val="TableContents"/>
              <w:bidi w:val="0"/>
              <w:spacing w:before="0" w:after="283"/>
              <w:jc w:val="left"/>
              <w:rPr>
                <w:color w:val="000000"/>
              </w:rPr>
            </w:pPr>
            <w:r>
              <w:rPr>
                <w:color w:val="000000"/>
              </w:rPr>
              <w:t> </w:t>
            </w:r>
          </w:p>
        </w:tc>
        <w:tc>
          <w:tcPr>
            <w:tcW w:w="1191"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68"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68" w:type="dxa"/>
            <w:tcBorders/>
            <w:vAlign w:val="center"/>
          </w:tcPr>
          <w:p>
            <w:pPr>
              <w:pStyle w:val="TableContents"/>
              <w:bidi w:val="0"/>
              <w:spacing w:before="0" w:after="283"/>
              <w:jc w:val="left"/>
              <w:rPr>
                <w:color w:val="000000"/>
              </w:rPr>
            </w:pPr>
            <w:r>
              <w:rPr>
                <w:color w:val="000000"/>
              </w:rPr>
              <w:t> </w:t>
            </w:r>
          </w:p>
        </w:tc>
        <w:tc>
          <w:tcPr>
            <w:tcW w:w="68" w:type="dxa"/>
            <w:tcBorders/>
            <w:vAlign w:val="center"/>
          </w:tcPr>
          <w:p>
            <w:pPr>
              <w:pStyle w:val="TableContents"/>
              <w:bidi w:val="0"/>
              <w:spacing w:before="0" w:after="283"/>
              <w:jc w:val="left"/>
              <w:rPr>
                <w:color w:val="000000"/>
              </w:rPr>
            </w:pPr>
            <w:r>
              <w:rPr>
                <w:color w:val="000000"/>
              </w:rPr>
              <w:t> </w:t>
            </w:r>
          </w:p>
        </w:tc>
        <w:tc>
          <w:tcPr>
            <w:tcW w:w="1268"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75" w:type="dxa"/>
            <w:tcBorders/>
            <w:vAlign w:val="center"/>
          </w:tcPr>
          <w:p>
            <w:pPr>
              <w:pStyle w:val="TableContents"/>
              <w:bidi w:val="0"/>
              <w:spacing w:before="0" w:after="283"/>
              <w:jc w:val="left"/>
              <w:rPr>
                <w:color w:val="000000"/>
              </w:rPr>
            </w:pPr>
            <w:r>
              <w:rPr>
                <w:color w:val="000000"/>
              </w:rPr>
              <w:t> </w:t>
            </w:r>
            <w:bookmarkStart w:id="587" w:name="xdx_401_eus-gaap--AmortizationOfIntangib"/>
            <w:bookmarkEnd w:id="587"/>
          </w:p>
        </w:tc>
      </w:tr>
      <w:tr>
        <w:trPr/>
        <w:tc>
          <w:tcPr>
            <w:tcW w:w="2720" w:type="dxa"/>
            <w:tcBorders/>
            <w:shd w:fill="CCEEFF" w:val="clear"/>
            <w:vAlign w:val="center"/>
          </w:tcPr>
          <w:p>
            <w:pPr>
              <w:pStyle w:val="TableContents"/>
              <w:bidi w:val="0"/>
              <w:spacing w:before="0" w:after="283"/>
              <w:jc w:val="left"/>
              <w:rPr>
                <w:color w:val="000000"/>
              </w:rPr>
            </w:pPr>
            <w:r>
              <w:rPr>
                <w:color w:val="000000"/>
              </w:rPr>
              <w:t>Patents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7" w:type="dxa"/>
            <w:tcBorders/>
            <w:shd w:fill="CCEEFF" w:val="clear"/>
            <w:vAlign w:val="center"/>
          </w:tcPr>
          <w:p>
            <w:pPr>
              <w:pStyle w:val="TableContents"/>
              <w:bidi w:val="0"/>
              <w:spacing w:before="0" w:after="283"/>
              <w:jc w:val="left"/>
              <w:rPr>
                <w:color w:val="000000"/>
              </w:rPr>
            </w:pPr>
            <w:r>
              <w:rPr>
                <w:color w:val="000000"/>
              </w:rPr>
              <w:t>$</w:t>
            </w:r>
          </w:p>
        </w:tc>
        <w:tc>
          <w:tcPr>
            <w:tcW w:w="1242" w:type="dxa"/>
            <w:tcBorders/>
            <w:shd w:fill="CCEEFF" w:val="clear"/>
            <w:vAlign w:val="center"/>
          </w:tcPr>
          <w:p>
            <w:pPr>
              <w:pStyle w:val="TableContents"/>
              <w:bidi w:val="0"/>
              <w:spacing w:before="0" w:after="283"/>
              <w:jc w:val="right"/>
              <w:rPr>
                <w:color w:val="000000"/>
              </w:rPr>
            </w:pPr>
            <w:r>
              <w:rPr>
                <w:color w:val="000000"/>
              </w:rPr>
              <w:t>22,000</w:t>
            </w:r>
          </w:p>
        </w:tc>
        <w:tc>
          <w:tcPr>
            <w:tcW w:w="76" w:type="dxa"/>
            <w:tcBorders/>
            <w:shd w:fill="CCEEFF" w:val="clear"/>
            <w:vAlign w:val="center"/>
          </w:tcPr>
          <w:p>
            <w:pPr>
              <w:pStyle w:val="TableContents"/>
              <w:bidi w:val="0"/>
              <w:spacing w:before="0" w:after="283"/>
              <w:jc w:val="left"/>
              <w:rPr>
                <w:color w:val="000000"/>
              </w:rPr>
            </w:pPr>
            <w:r>
              <w:rPr>
                <w:color w:val="000000"/>
              </w:rPr>
              <w:t> </w:t>
            </w:r>
          </w:p>
        </w:tc>
        <w:tc>
          <w:tcPr>
            <w:tcW w:w="76" w:type="dxa"/>
            <w:tcBorders/>
            <w:shd w:fill="CCEEFF" w:val="clear"/>
            <w:vAlign w:val="center"/>
          </w:tcPr>
          <w:p>
            <w:pPr>
              <w:pStyle w:val="TableContents"/>
              <w:bidi w:val="0"/>
              <w:spacing w:before="0" w:after="283"/>
              <w:jc w:val="left"/>
              <w:rPr>
                <w:color w:val="000000"/>
              </w:rPr>
            </w:pPr>
            <w:r>
              <w:rPr>
                <w:color w:val="000000"/>
              </w:rPr>
              <w:t> </w:t>
            </w:r>
          </w:p>
        </w:tc>
        <w:tc>
          <w:tcPr>
            <w:tcW w:w="177" w:type="dxa"/>
            <w:tcBorders/>
            <w:shd w:fill="CCEEFF" w:val="clear"/>
            <w:vAlign w:val="center"/>
          </w:tcPr>
          <w:p>
            <w:pPr>
              <w:pStyle w:val="TableContents"/>
              <w:bidi w:val="0"/>
              <w:spacing w:before="0" w:after="283"/>
              <w:jc w:val="left"/>
              <w:rPr>
                <w:color w:val="000000"/>
              </w:rPr>
            </w:pPr>
            <w:r>
              <w:rPr>
                <w:color w:val="000000"/>
              </w:rPr>
              <w:t>$</w:t>
            </w:r>
          </w:p>
        </w:tc>
        <w:tc>
          <w:tcPr>
            <w:tcW w:w="1014" w:type="dxa"/>
            <w:tcBorders/>
            <w:shd w:fill="CCEEFF" w:val="clear"/>
            <w:vAlign w:val="center"/>
          </w:tcPr>
          <w:p>
            <w:pPr>
              <w:pStyle w:val="TableContents"/>
              <w:bidi w:val="0"/>
              <w:spacing w:before="0" w:after="283"/>
              <w:jc w:val="right"/>
              <w:rPr>
                <w:color w:val="000000"/>
              </w:rPr>
            </w:pPr>
            <w:r>
              <w:rPr>
                <w:color w:val="000000"/>
              </w:rPr>
              <w:t>22,000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w:t>
            </w:r>
          </w:p>
        </w:tc>
        <w:tc>
          <w:tcPr>
            <w:tcW w:w="1110" w:type="dxa"/>
            <w:tcBorders/>
            <w:shd w:fill="CCEEFF" w:val="clear"/>
            <w:vAlign w:val="center"/>
          </w:tcPr>
          <w:p>
            <w:pPr>
              <w:pStyle w:val="TableContents"/>
              <w:bidi w:val="0"/>
              <w:spacing w:before="0" w:after="283"/>
              <w:jc w:val="right"/>
              <w:rPr>
                <w:color w:val="000000"/>
              </w:rPr>
            </w:pPr>
            <w:r>
              <w:rPr>
                <w:color w:val="000000"/>
              </w:rPr>
              <w:t>65,000</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w:t>
            </w:r>
          </w:p>
        </w:tc>
        <w:tc>
          <w:tcPr>
            <w:tcW w:w="1110" w:type="dxa"/>
            <w:tcBorders/>
            <w:shd w:fill="CCEEFF" w:val="clear"/>
            <w:vAlign w:val="center"/>
          </w:tcPr>
          <w:p>
            <w:pPr>
              <w:pStyle w:val="TableContents"/>
              <w:bidi w:val="0"/>
              <w:spacing w:before="0" w:after="283"/>
              <w:jc w:val="right"/>
              <w:rPr>
                <w:color w:val="000000"/>
              </w:rPr>
            </w:pPr>
            <w:r>
              <w:rPr>
                <w:color w:val="000000"/>
              </w:rPr>
              <w:t>65,000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588" w:name="xdx_40D_eus-gaap--AmortizationOfIntangib"/>
            <w:bookmarkEnd w:id="588"/>
          </w:p>
        </w:tc>
      </w:tr>
      <w:tr>
        <w:trPr/>
        <w:tc>
          <w:tcPr>
            <w:tcW w:w="2720" w:type="dxa"/>
            <w:tcBorders/>
            <w:shd w:fill="FFFFFF" w:val="clear"/>
            <w:vAlign w:val="center"/>
          </w:tcPr>
          <w:p>
            <w:pPr>
              <w:pStyle w:val="TableContents"/>
              <w:bidi w:val="0"/>
              <w:spacing w:before="0" w:after="283"/>
              <w:jc w:val="left"/>
              <w:rPr>
                <w:color w:val="000000"/>
              </w:rPr>
            </w:pPr>
            <w:r>
              <w:rPr>
                <w:color w:val="000000"/>
              </w:rPr>
              <w:t>Licenses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7" w:type="dxa"/>
            <w:tcBorders/>
            <w:shd w:fill="FFFFFF" w:val="clear"/>
            <w:vAlign w:val="center"/>
          </w:tcPr>
          <w:p>
            <w:pPr>
              <w:pStyle w:val="TableContents"/>
              <w:bidi w:val="0"/>
              <w:spacing w:before="0" w:after="283"/>
              <w:jc w:val="left"/>
              <w:rPr>
                <w:color w:val="000000"/>
              </w:rPr>
            </w:pPr>
            <w:r>
              <w:rPr>
                <w:color w:val="000000"/>
              </w:rPr>
              <w:t> </w:t>
            </w:r>
          </w:p>
        </w:tc>
        <w:tc>
          <w:tcPr>
            <w:tcW w:w="1242" w:type="dxa"/>
            <w:tcBorders/>
            <w:shd w:fill="FFFFFF" w:val="clear"/>
            <w:vAlign w:val="center"/>
          </w:tcPr>
          <w:p>
            <w:pPr>
              <w:pStyle w:val="TableContents"/>
              <w:bidi w:val="0"/>
              <w:spacing w:before="0" w:after="283"/>
              <w:jc w:val="right"/>
              <w:rPr>
                <w:color w:val="000000"/>
              </w:rPr>
            </w:pPr>
            <w:r>
              <w:rPr>
                <w:color w:val="000000"/>
              </w:rPr>
              <w:t>2,000</w:t>
            </w:r>
          </w:p>
        </w:tc>
        <w:tc>
          <w:tcPr>
            <w:tcW w:w="76" w:type="dxa"/>
            <w:tcBorders/>
            <w:shd w:fill="FFFFFF" w:val="clear"/>
            <w:vAlign w:val="center"/>
          </w:tcPr>
          <w:p>
            <w:pPr>
              <w:pStyle w:val="TableContents"/>
              <w:bidi w:val="0"/>
              <w:spacing w:before="0" w:after="283"/>
              <w:jc w:val="left"/>
              <w:rPr>
                <w:color w:val="000000"/>
              </w:rPr>
            </w:pPr>
            <w:r>
              <w:rPr>
                <w:color w:val="000000"/>
              </w:rPr>
              <w:t> </w:t>
            </w:r>
          </w:p>
        </w:tc>
        <w:tc>
          <w:tcPr>
            <w:tcW w:w="76" w:type="dxa"/>
            <w:tcBorders/>
            <w:shd w:fill="FFFFFF" w:val="clear"/>
            <w:vAlign w:val="center"/>
          </w:tcPr>
          <w:p>
            <w:pPr>
              <w:pStyle w:val="TableContents"/>
              <w:bidi w:val="0"/>
              <w:spacing w:before="0" w:after="283"/>
              <w:jc w:val="left"/>
              <w:rPr>
                <w:color w:val="000000"/>
              </w:rPr>
            </w:pPr>
            <w:r>
              <w:rPr>
                <w:color w:val="000000"/>
              </w:rPr>
              <w:t> </w:t>
            </w:r>
          </w:p>
        </w:tc>
        <w:tc>
          <w:tcPr>
            <w:tcW w:w="177" w:type="dxa"/>
            <w:tcBorders/>
            <w:shd w:fill="FFFFFF" w:val="clear"/>
            <w:vAlign w:val="center"/>
          </w:tcPr>
          <w:p>
            <w:pPr>
              <w:pStyle w:val="TableContents"/>
              <w:bidi w:val="0"/>
              <w:spacing w:before="0" w:after="283"/>
              <w:jc w:val="left"/>
              <w:rPr>
                <w:color w:val="000000"/>
              </w:rPr>
            </w:pPr>
            <w:r>
              <w:rPr>
                <w:color w:val="000000"/>
              </w:rPr>
              <w:t> </w:t>
            </w:r>
          </w:p>
        </w:tc>
        <w:tc>
          <w:tcPr>
            <w:tcW w:w="1014" w:type="dxa"/>
            <w:tcBorders/>
            <w:shd w:fill="FFFFFF" w:val="clear"/>
            <w:vAlign w:val="center"/>
          </w:tcPr>
          <w:p>
            <w:pPr>
              <w:pStyle w:val="TableContents"/>
              <w:bidi w:val="0"/>
              <w:spacing w:before="0" w:after="283"/>
              <w:jc w:val="right"/>
              <w:rPr>
                <w:color w:val="000000"/>
              </w:rPr>
            </w:pPr>
            <w:r>
              <w:rPr>
                <w:color w:val="000000"/>
              </w:rPr>
              <w:t>2,000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8" w:type="dxa"/>
            <w:tcBorders/>
            <w:shd w:fill="FFFFFF" w:val="clear"/>
            <w:vAlign w:val="center"/>
          </w:tcPr>
          <w:p>
            <w:pPr>
              <w:pStyle w:val="TableContents"/>
              <w:bidi w:val="0"/>
              <w:spacing w:before="0" w:after="283"/>
              <w:jc w:val="left"/>
              <w:rPr>
                <w:color w:val="000000"/>
              </w:rPr>
            </w:pPr>
            <w:r>
              <w:rPr>
                <w:color w:val="000000"/>
              </w:rPr>
              <w:t> </w:t>
            </w:r>
          </w:p>
        </w:tc>
        <w:tc>
          <w:tcPr>
            <w:tcW w:w="1110" w:type="dxa"/>
            <w:tcBorders/>
            <w:shd w:fill="FFFFFF" w:val="clear"/>
            <w:vAlign w:val="center"/>
          </w:tcPr>
          <w:p>
            <w:pPr>
              <w:pStyle w:val="TableContents"/>
              <w:bidi w:val="0"/>
              <w:spacing w:before="0" w:after="283"/>
              <w:jc w:val="right"/>
              <w:rPr>
                <w:color w:val="000000"/>
              </w:rPr>
            </w:pPr>
            <w:r>
              <w:rPr>
                <w:color w:val="000000"/>
              </w:rPr>
              <w:t>7,000</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158" w:type="dxa"/>
            <w:tcBorders/>
            <w:shd w:fill="FFFFFF" w:val="clear"/>
            <w:vAlign w:val="center"/>
          </w:tcPr>
          <w:p>
            <w:pPr>
              <w:pStyle w:val="TableContents"/>
              <w:bidi w:val="0"/>
              <w:spacing w:before="0" w:after="283"/>
              <w:jc w:val="left"/>
              <w:rPr>
                <w:color w:val="000000"/>
              </w:rPr>
            </w:pPr>
            <w:r>
              <w:rPr>
                <w:color w:val="000000"/>
              </w:rPr>
              <w:t> </w:t>
            </w:r>
          </w:p>
        </w:tc>
        <w:tc>
          <w:tcPr>
            <w:tcW w:w="1110" w:type="dxa"/>
            <w:tcBorders/>
            <w:shd w:fill="FFFFFF" w:val="clear"/>
            <w:vAlign w:val="center"/>
          </w:tcPr>
          <w:p>
            <w:pPr>
              <w:pStyle w:val="TableContents"/>
              <w:bidi w:val="0"/>
              <w:spacing w:before="0" w:after="283"/>
              <w:jc w:val="right"/>
              <w:rPr>
                <w:color w:val="000000"/>
              </w:rPr>
            </w:pPr>
            <w:r>
              <w:rPr>
                <w:color w:val="000000"/>
              </w:rPr>
              <w:t>13,000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589" w:name="xdx_400_eus-gaap--AmortizationOfIntangib"/>
            <w:bookmarkEnd w:id="589"/>
          </w:p>
        </w:tc>
      </w:tr>
      <w:tr>
        <w:trPr/>
        <w:tc>
          <w:tcPr>
            <w:tcW w:w="2720" w:type="dxa"/>
            <w:tcBorders/>
            <w:shd w:fill="CCEEFF" w:val="clear"/>
            <w:vAlign w:val="center"/>
          </w:tcPr>
          <w:p>
            <w:pPr>
              <w:pStyle w:val="TableContents"/>
              <w:bidi w:val="0"/>
              <w:spacing w:before="0" w:after="283"/>
              <w:jc w:val="left"/>
              <w:rPr>
                <w:color w:val="000000"/>
              </w:rPr>
            </w:pPr>
            <w:r>
              <w:rPr>
                <w:color w:val="000000"/>
              </w:rPr>
              <w:t>Acquired NDAs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7" w:type="dxa"/>
            <w:tcBorders/>
            <w:shd w:fill="CCEEFF" w:val="clear"/>
            <w:vAlign w:val="center"/>
          </w:tcPr>
          <w:p>
            <w:pPr>
              <w:pStyle w:val="TableContents"/>
              <w:bidi w:val="0"/>
              <w:spacing w:before="0" w:after="283"/>
              <w:jc w:val="left"/>
              <w:rPr>
                <w:color w:val="000000"/>
              </w:rPr>
            </w:pPr>
            <w:r>
              <w:rPr>
                <w:color w:val="000000"/>
              </w:rPr>
              <w:t> </w:t>
            </w:r>
          </w:p>
        </w:tc>
        <w:tc>
          <w:tcPr>
            <w:tcW w:w="1242" w:type="dxa"/>
            <w:tcBorders/>
            <w:shd w:fill="CCEEFF" w:val="clear"/>
            <w:vAlign w:val="center"/>
          </w:tcPr>
          <w:p>
            <w:pPr>
              <w:pStyle w:val="TableContents"/>
              <w:bidi w:val="0"/>
              <w:spacing w:before="0" w:after="283"/>
              <w:jc w:val="right"/>
              <w:rPr>
                <w:color w:val="000000"/>
              </w:rPr>
            </w:pPr>
            <w:r>
              <w:rPr>
                <w:color w:val="000000"/>
              </w:rPr>
              <w:t>2,551,000</w:t>
            </w:r>
          </w:p>
        </w:tc>
        <w:tc>
          <w:tcPr>
            <w:tcW w:w="76" w:type="dxa"/>
            <w:tcBorders/>
            <w:shd w:fill="CCEEFF" w:val="clear"/>
            <w:vAlign w:val="center"/>
          </w:tcPr>
          <w:p>
            <w:pPr>
              <w:pStyle w:val="TableContents"/>
              <w:bidi w:val="0"/>
              <w:spacing w:before="0" w:after="283"/>
              <w:jc w:val="left"/>
              <w:rPr>
                <w:color w:val="000000"/>
              </w:rPr>
            </w:pPr>
            <w:r>
              <w:rPr>
                <w:color w:val="000000"/>
              </w:rPr>
              <w:t> </w:t>
            </w:r>
          </w:p>
        </w:tc>
        <w:tc>
          <w:tcPr>
            <w:tcW w:w="76" w:type="dxa"/>
            <w:tcBorders/>
            <w:shd w:fill="CCEEFF" w:val="clear"/>
            <w:vAlign w:val="center"/>
          </w:tcPr>
          <w:p>
            <w:pPr>
              <w:pStyle w:val="TableContents"/>
              <w:bidi w:val="0"/>
              <w:spacing w:before="0" w:after="283"/>
              <w:jc w:val="left"/>
              <w:rPr>
                <w:color w:val="000000"/>
              </w:rPr>
            </w:pPr>
            <w:r>
              <w:rPr>
                <w:color w:val="000000"/>
              </w:rPr>
              <w:t> </w:t>
            </w:r>
          </w:p>
        </w:tc>
        <w:tc>
          <w:tcPr>
            <w:tcW w:w="177" w:type="dxa"/>
            <w:tcBorders/>
            <w:shd w:fill="CCEEFF" w:val="clear"/>
            <w:vAlign w:val="center"/>
          </w:tcPr>
          <w:p>
            <w:pPr>
              <w:pStyle w:val="TableContents"/>
              <w:bidi w:val="0"/>
              <w:spacing w:before="0" w:after="283"/>
              <w:jc w:val="left"/>
              <w:rPr>
                <w:color w:val="000000"/>
              </w:rPr>
            </w:pPr>
            <w:r>
              <w:rPr>
                <w:color w:val="000000"/>
              </w:rPr>
              <w:t> </w:t>
            </w:r>
          </w:p>
        </w:tc>
        <w:tc>
          <w:tcPr>
            <w:tcW w:w="1014" w:type="dxa"/>
            <w:tcBorders/>
            <w:shd w:fill="CCEEFF" w:val="clear"/>
            <w:vAlign w:val="center"/>
          </w:tcPr>
          <w:p>
            <w:pPr>
              <w:pStyle w:val="TableContents"/>
              <w:bidi w:val="0"/>
              <w:spacing w:before="0" w:after="283"/>
              <w:jc w:val="right"/>
              <w:rPr>
                <w:color w:val="000000"/>
              </w:rPr>
            </w:pPr>
            <w:r>
              <w:rPr>
                <w:color w:val="000000"/>
              </w:rPr>
              <w:t>341,000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 </w:t>
            </w:r>
          </w:p>
        </w:tc>
        <w:tc>
          <w:tcPr>
            <w:tcW w:w="1110" w:type="dxa"/>
            <w:tcBorders/>
            <w:shd w:fill="CCEEFF" w:val="clear"/>
            <w:vAlign w:val="center"/>
          </w:tcPr>
          <w:p>
            <w:pPr>
              <w:pStyle w:val="TableContents"/>
              <w:bidi w:val="0"/>
              <w:spacing w:before="0" w:after="283"/>
              <w:jc w:val="right"/>
              <w:rPr>
                <w:color w:val="000000"/>
              </w:rPr>
            </w:pPr>
            <w:r>
              <w:rPr>
                <w:color w:val="000000"/>
              </w:rPr>
              <w:t>7,526,000</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shd w:fill="CCEEFF" w:val="clear"/>
            <w:vAlign w:val="center"/>
          </w:tcPr>
          <w:p>
            <w:pPr>
              <w:pStyle w:val="TableContents"/>
              <w:bidi w:val="0"/>
              <w:spacing w:before="0" w:after="283"/>
              <w:jc w:val="left"/>
              <w:rPr>
                <w:color w:val="000000"/>
              </w:rPr>
            </w:pPr>
            <w:r>
              <w:rPr>
                <w:color w:val="000000"/>
              </w:rPr>
              <w:t> </w:t>
            </w:r>
          </w:p>
        </w:tc>
        <w:tc>
          <w:tcPr>
            <w:tcW w:w="1110" w:type="dxa"/>
            <w:tcBorders/>
            <w:shd w:fill="CCEEFF" w:val="clear"/>
            <w:vAlign w:val="center"/>
          </w:tcPr>
          <w:p>
            <w:pPr>
              <w:pStyle w:val="TableContents"/>
              <w:bidi w:val="0"/>
              <w:spacing w:before="0" w:after="283"/>
              <w:jc w:val="right"/>
              <w:rPr>
                <w:color w:val="000000"/>
              </w:rPr>
            </w:pPr>
            <w:r>
              <w:rPr>
                <w:color w:val="000000"/>
              </w:rPr>
              <w:t>1,023,000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590" w:name="xdx_40B_eus-gaap--AmortizationOfIntangib"/>
            <w:bookmarkEnd w:id="590"/>
          </w:p>
        </w:tc>
      </w:tr>
      <w:tr>
        <w:trPr/>
        <w:tc>
          <w:tcPr>
            <w:tcW w:w="2720" w:type="dxa"/>
            <w:tcBorders/>
            <w:shd w:fill="FFFFFF" w:val="clear"/>
            <w:vAlign w:val="center"/>
          </w:tcPr>
          <w:p>
            <w:pPr>
              <w:pStyle w:val="TableContents"/>
              <w:bidi w:val="0"/>
              <w:spacing w:before="0" w:after="283"/>
              <w:jc w:val="left"/>
              <w:rPr>
                <w:color w:val="000000"/>
              </w:rPr>
            </w:pPr>
            <w:r>
              <w:rPr>
                <w:color w:val="000000"/>
              </w:rPr>
              <w:t>Customer relationships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9,000</w:t>
            </w:r>
          </w:p>
        </w:tc>
        <w:tc>
          <w:tcPr>
            <w:tcW w:w="76" w:type="dxa"/>
            <w:tcBorders/>
            <w:shd w:fill="FFFFFF" w:val="clear"/>
            <w:vAlign w:val="center"/>
          </w:tcPr>
          <w:p>
            <w:pPr>
              <w:pStyle w:val="TableContents"/>
              <w:bidi w:val="0"/>
              <w:spacing w:before="0" w:after="283"/>
              <w:jc w:val="left"/>
              <w:rPr>
                <w:color w:val="000000"/>
              </w:rPr>
            </w:pPr>
            <w:r>
              <w:rPr>
                <w:color w:val="000000"/>
              </w:rPr>
              <w:t> </w:t>
            </w:r>
          </w:p>
        </w:tc>
        <w:tc>
          <w:tcPr>
            <w:tcW w:w="76" w:type="dxa"/>
            <w:tcBorders/>
            <w:shd w:fill="FFFFFF" w:val="clear"/>
            <w:vAlign w:val="center"/>
          </w:tcPr>
          <w:p>
            <w:pPr>
              <w:pStyle w:val="TableContents"/>
              <w:bidi w:val="0"/>
              <w:spacing w:before="0" w:after="283"/>
              <w:jc w:val="left"/>
              <w:rPr>
                <w:color w:val="000000"/>
              </w:rPr>
            </w:pPr>
            <w:r>
              <w:rPr>
                <w:color w:val="000000"/>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14"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1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36,000</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68" w:type="dxa"/>
            <w:tcBorders/>
            <w:shd w:fill="FFFFFF" w:val="clear"/>
            <w:vAlign w:val="center"/>
          </w:tcPr>
          <w:p>
            <w:pPr>
              <w:pStyle w:val="TableContents"/>
              <w:bidi w:val="0"/>
              <w:spacing w:before="0" w:after="283"/>
              <w:jc w:val="left"/>
              <w:rPr>
                <w:color w:val="000000"/>
              </w:rPr>
            </w:pPr>
            <w:r>
              <w:rPr>
                <w:color w:val="000000"/>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1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99,000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591" w:name="xdx_402_eus-gaap--AmortizationOfIntangib"/>
            <w:bookmarkEnd w:id="591"/>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Amortization of intangible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2,584,000</w:t>
            </w:r>
          </w:p>
        </w:tc>
        <w:tc>
          <w:tcPr>
            <w:tcW w:w="76" w:type="dxa"/>
            <w:tcBorders/>
            <w:shd w:fill="CCEEFF" w:val="clear"/>
            <w:vAlign w:val="center"/>
          </w:tcPr>
          <w:p>
            <w:pPr>
              <w:pStyle w:val="TableContents"/>
              <w:bidi w:val="0"/>
              <w:spacing w:before="0" w:after="283"/>
              <w:jc w:val="left"/>
              <w:rPr>
                <w:color w:val="000000"/>
              </w:rPr>
            </w:pPr>
            <w:r>
              <w:rPr>
                <w:color w:val="000000"/>
              </w:rPr>
              <w:t> </w:t>
            </w:r>
          </w:p>
        </w:tc>
        <w:tc>
          <w:tcPr>
            <w:tcW w:w="76" w:type="dxa"/>
            <w:tcBorders/>
            <w:shd w:fill="CCEEFF" w:val="clear"/>
            <w:vAlign w:val="center"/>
          </w:tcPr>
          <w:p>
            <w:pPr>
              <w:pStyle w:val="TableContents"/>
              <w:bidi w:val="0"/>
              <w:spacing w:before="0" w:after="283"/>
              <w:jc w:val="left"/>
              <w:rPr>
                <w:color w:val="000000"/>
              </w:rPr>
            </w:pPr>
            <w:r>
              <w:rPr>
                <w:color w:val="000000"/>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4"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398,000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7,634,000</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1,200,000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bookmarkStart w:id="592" w:name="xdx_8A4_zx6i4Sr0ZYel"/>
      <w:bookmarkEnd w:id="592"/>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bookmarkStart w:id="593" w:name="xdx_891_eus-gaap--ScheduleofFiniteLivedI"/>
      <w:bookmarkEnd w:id="593"/>
      <w:r>
        <w:rPr>
          <w:rFonts w:ascii="Times New Roman;Times;Serif" w:hAnsi="Times New Roman;Times;Serif"/>
          <w:b w:val="false"/>
          <w:i w:val="false"/>
          <w:caps w:val="false"/>
          <w:smallCaps w:val="false"/>
          <w:color w:val="000000"/>
          <w:sz w:val="20"/>
        </w:rPr>
        <w:t>Estimated future amortization expense for the Company’s intangible assets at September 30, 2023 was as follows:</w:t>
      </w:r>
    </w:p>
    <w:p>
      <w:pPr>
        <w:pStyle w:val="TextBody"/>
        <w:bidi w:val="0"/>
        <w:spacing w:before="0" w:after="0"/>
        <w:ind w:left="0" w:right="0" w:hanging="0"/>
        <w:jc w:val="left"/>
        <w:rPr>
          <w:caps w:val="false"/>
          <w:smallCaps w:val="false"/>
          <w:color w:val="000000"/>
        </w:rPr>
      </w:pPr>
      <w:r>
        <w:rPr>
          <w:caps w:val="false"/>
          <w:smallCaps w:val="false"/>
          <w:color w:val="000000"/>
        </w:rPr>
        <w:t> </w:t>
      </w:r>
      <w:bookmarkStart w:id="594" w:name="xdx_8B4_zayZTMcnwoZe"/>
      <w:bookmarkEnd w:id="594"/>
      <w:r>
        <w:rPr>
          <w:rFonts w:ascii="Times New Roman;Times;Serif" w:hAnsi="Times New Roman;Times;Serif"/>
          <w:b w:val="false"/>
          <w:i w:val="false"/>
          <w:caps w:val="false"/>
          <w:smallCaps w:val="false"/>
          <w:color w:val="000000"/>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595" w:name="xdx_494_20230930_zsrbiVYknYGf"/>
            <w:bookmarkEnd w:id="595"/>
          </w:p>
        </w:tc>
        <w:tc>
          <w:tcPr>
            <w:tcW w:w="1220" w:type="dxa"/>
            <w:tcBorders/>
            <w:shd w:fill="CCEEFF" w:val="cle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596" w:name="xdx_402_eus-gaap--FiniteLivedIntangibleA"/>
            <w:bookmarkEnd w:id="596"/>
          </w:p>
        </w:tc>
      </w:tr>
      <w:tr>
        <w:trPr/>
        <w:tc>
          <w:tcPr>
            <w:tcW w:w="1865" w:type="dxa"/>
            <w:tcBorders/>
            <w:shd w:fill="CCEEFF" w:val="clear"/>
            <w:vAlign w:val="center"/>
          </w:tcPr>
          <w:p>
            <w:pPr>
              <w:pStyle w:val="TableContents"/>
              <w:bidi w:val="0"/>
              <w:spacing w:before="0" w:after="283"/>
              <w:jc w:val="left"/>
              <w:rPr>
                <w:color w:val="000000"/>
              </w:rPr>
            </w:pPr>
            <w:r>
              <w:rPr>
                <w:color w:val="000000"/>
              </w:rPr>
              <w:t>Remainder of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20" w:type="dxa"/>
            <w:tcBorders/>
            <w:shd w:fill="CCEEFF" w:val="clear"/>
            <w:vAlign w:val="center"/>
          </w:tcPr>
          <w:p>
            <w:pPr>
              <w:pStyle w:val="TableContents"/>
              <w:bidi w:val="0"/>
              <w:spacing w:before="0" w:after="283"/>
              <w:jc w:val="right"/>
              <w:rPr>
                <w:color w:val="000000"/>
              </w:rPr>
            </w:pPr>
            <w:r>
              <w:rPr>
                <w:color w:val="000000"/>
              </w:rPr>
              <w:t>2,458,000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597" w:name="xdx_408_eus-gaap--FiniteLivedIntangibleA"/>
            <w:bookmarkEnd w:id="597"/>
          </w:p>
        </w:tc>
      </w:tr>
      <w:tr>
        <w:trPr/>
        <w:tc>
          <w:tcPr>
            <w:tcW w:w="1865" w:type="dxa"/>
            <w:tcBorders/>
            <w:shd w:fill="FFFFFF" w:val="clear"/>
            <w:vAlign w:val="center"/>
          </w:tcPr>
          <w:p>
            <w:pPr>
              <w:pStyle w:val="TableContents"/>
              <w:bidi w:val="0"/>
              <w:spacing w:before="0" w:after="283"/>
              <w:jc w:val="left"/>
              <w:rPr>
                <w:color w:val="000000"/>
              </w:rPr>
            </w:pPr>
            <w:r>
              <w:rPr>
                <w:color w:val="000000"/>
              </w:rPr>
              <w:t>2024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13,792,000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598" w:name="xdx_40B_eus-gaap--FiniteLivedIntangibleA"/>
            <w:bookmarkEnd w:id="598"/>
          </w:p>
        </w:tc>
      </w:tr>
      <w:tr>
        <w:trPr/>
        <w:tc>
          <w:tcPr>
            <w:tcW w:w="1865" w:type="dxa"/>
            <w:tcBorders/>
            <w:shd w:fill="CCEEFF" w:val="clear"/>
            <w:vAlign w:val="center"/>
          </w:tcPr>
          <w:p>
            <w:pPr>
              <w:pStyle w:val="TableContents"/>
              <w:bidi w:val="0"/>
              <w:spacing w:before="0" w:after="283"/>
              <w:jc w:val="left"/>
              <w:rPr>
                <w:color w:val="000000"/>
              </w:rPr>
            </w:pPr>
            <w:r>
              <w:rPr>
                <w:color w:val="000000"/>
              </w:rPr>
              <w:t>2025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13,792,000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599" w:name="xdx_40C_eus-gaap--FiniteLivedIntangibleA"/>
            <w:bookmarkEnd w:id="599"/>
          </w:p>
        </w:tc>
      </w:tr>
      <w:tr>
        <w:trPr/>
        <w:tc>
          <w:tcPr>
            <w:tcW w:w="1865" w:type="dxa"/>
            <w:tcBorders/>
            <w:shd w:fill="FFFFFF" w:val="clear"/>
            <w:vAlign w:val="center"/>
          </w:tcPr>
          <w:p>
            <w:pPr>
              <w:pStyle w:val="TableContents"/>
              <w:bidi w:val="0"/>
              <w:spacing w:before="0" w:after="283"/>
              <w:jc w:val="left"/>
              <w:rPr>
                <w:color w:val="000000"/>
              </w:rPr>
            </w:pPr>
            <w:r>
              <w:rPr>
                <w:color w:val="000000"/>
              </w:rPr>
              <w:t>2026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13,792,000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600" w:name="xdx_400_eus-gaap--FiniteLivedIntangibleA"/>
            <w:bookmarkEnd w:id="600"/>
          </w:p>
        </w:tc>
      </w:tr>
      <w:tr>
        <w:trPr/>
        <w:tc>
          <w:tcPr>
            <w:tcW w:w="1865" w:type="dxa"/>
            <w:tcBorders/>
            <w:shd w:fill="CCEEFF" w:val="clear"/>
            <w:vAlign w:val="center"/>
          </w:tcPr>
          <w:p>
            <w:pPr>
              <w:pStyle w:val="TableContents"/>
              <w:bidi w:val="0"/>
              <w:spacing w:before="0" w:after="283"/>
              <w:jc w:val="left"/>
              <w:rPr>
                <w:color w:val="000000"/>
              </w:rPr>
            </w:pPr>
            <w:r>
              <w:rPr>
                <w:color w:val="000000"/>
              </w:rPr>
              <w:t>2027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13,501,000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601" w:name="xdx_409_ecustom--FiniteLivedIntangibleAs"/>
            <w:bookmarkEnd w:id="601"/>
          </w:p>
        </w:tc>
      </w:tr>
      <w:tr>
        <w:trPr/>
        <w:tc>
          <w:tcPr>
            <w:tcW w:w="1865" w:type="dxa"/>
            <w:tcBorders/>
            <w:shd w:fill="FFFFFF" w:val="clear"/>
            <w:vAlign w:val="center"/>
          </w:tcPr>
          <w:p>
            <w:pPr>
              <w:pStyle w:val="TableContents"/>
              <w:bidi w:val="0"/>
              <w:spacing w:before="0" w:after="283"/>
              <w:jc w:val="left"/>
              <w:rPr>
                <w:color w:val="000000"/>
              </w:rPr>
            </w:pPr>
            <w:r>
              <w:rPr>
                <w:color w:val="000000"/>
              </w:rPr>
              <w:t>Thereafter</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105,100,000</w:t>
            </w:r>
          </w:p>
        </w:tc>
        <w:tc>
          <w:tcPr>
            <w:tcW w:w="75" w:type="dxa"/>
            <w:tcBorders/>
            <w:shd w:fill="FFFFFF" w:val="clear"/>
            <w:vAlign w:val="center"/>
          </w:tcPr>
          <w:p>
            <w:pPr>
              <w:pStyle w:val="TableContents"/>
              <w:bidi w:val="0"/>
              <w:spacing w:before="0" w:after="283"/>
              <w:jc w:val="left"/>
              <w:rPr>
                <w:color w:val="000000"/>
              </w:rPr>
            </w:pPr>
            <w:r>
              <w:rPr>
                <w:color w:val="000000"/>
              </w:rPr>
              <w:t> </w:t>
            </w:r>
            <w:bookmarkStart w:id="602" w:name="xdx_402_eus-gaap--FiniteLivedIntangibleA"/>
            <w:bookmarkEnd w:id="602"/>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162,435,000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bookmarkStart w:id="603" w:name="xdx_8A4_zFRCN5OTrx3b"/>
      <w:bookmarkEnd w:id="603"/>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changes to the carrying value of the Company’s goodwill during the three and nine months ended September 30, 2023 and 2022.</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604" w:name="xdx_808_eus-gaap--AccountsPayableAndAccr"/>
      <w:bookmarkEnd w:id="604"/>
      <w:r>
        <w:rPr>
          <w:rFonts w:ascii="Times New Roman;Times;Serif" w:hAnsi="Times New Roman;Times;Serif"/>
          <w:b/>
          <w:i w:val="false"/>
          <w:caps w:val="false"/>
          <w:smallCaps w:val="false"/>
          <w:color w:val="000000"/>
          <w:sz w:val="20"/>
        </w:rPr>
        <w:t xml:space="preserve">NOTE 12. </w:t>
      </w:r>
      <w:bookmarkStart w:id="605" w:name="xdx_82F_zrN5s7aN9mV8"/>
      <w:bookmarkEnd w:id="605"/>
      <w:r>
        <w:rPr>
          <w:rFonts w:ascii="Times New Roman;Times;Serif" w:hAnsi="Times New Roman;Times;Serif"/>
          <w:b/>
          <w:i w:val="false"/>
          <w:caps w:val="false"/>
          <w:smallCaps w:val="false"/>
          <w:color w:val="000000"/>
          <w:sz w:val="20"/>
        </w:rPr>
        <w:t>ACCOUNTS PAYABLE AND ACCRUED EXPENSES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606" w:name="xdx_898_eus-gaap--ScheduleOfAccountsPaya"/>
      <w:bookmarkEnd w:id="606"/>
      <w:r>
        <w:rPr>
          <w:rFonts w:ascii="Times New Roman;Times;Serif" w:hAnsi="Times New Roman;Times;Serif"/>
          <w:b w:val="false"/>
          <w:i w:val="false"/>
          <w:caps w:val="false"/>
          <w:smallCaps w:val="false"/>
          <w:color w:val="000000"/>
          <w:sz w:val="20"/>
        </w:rPr>
        <w:t>Accounts payable and accrued expenses at September 30, 2023 and December 31, 2022 consisted of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bookmarkStart w:id="607" w:name="xdx_8B1_zIkBD3X3aMma"/>
      <w:bookmarkEnd w:id="607"/>
      <w:r>
        <w:rPr>
          <w:rFonts w:ascii="Times New Roman;Times;Serif" w:hAnsi="Times New Roman;Times;Serif"/>
          <w:b w:val="false"/>
          <w:i w:val="false"/>
          <w:caps w:val="false"/>
          <w:smallCaps w:val="false"/>
          <w:color w:val="000000"/>
          <w:sz w:val="20"/>
        </w:rPr>
        <w:t>SCHEDULE OF ACCOUNTS PAYABLE AND ACCRUED EXPENSES</w:t>
      </w:r>
    </w:p>
    <w:tbl>
      <w:tblPr>
        <w:tblW w:w="7733" w:type="dxa"/>
        <w:jc w:val="left"/>
        <w:tblInd w:w="0" w:type="dxa"/>
        <w:tblLayout w:type="fixed"/>
        <w:tblCellMar>
          <w:top w:w="0" w:type="dxa"/>
          <w:left w:w="0" w:type="dxa"/>
          <w:bottom w:w="0" w:type="dxa"/>
          <w:right w:w="0" w:type="dxa"/>
        </w:tblCellMar>
      </w:tblPr>
      <w:tblGrid>
        <w:gridCol w:w="4520"/>
        <w:gridCol w:w="60"/>
        <w:gridCol w:w="157"/>
        <w:gridCol w:w="1317"/>
        <w:gridCol w:w="95"/>
        <w:gridCol w:w="60"/>
        <w:gridCol w:w="150"/>
        <w:gridCol w:w="1264"/>
        <w:gridCol w:w="110"/>
      </w:tblGrid>
      <w:tr>
        <w:trPr/>
        <w:tc>
          <w:tcPr>
            <w:tcW w:w="45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608" w:name="xdx_496_20230930_z1fFNL1nFYmf"/>
            <w:bookmarkEnd w:id="608"/>
          </w:p>
        </w:tc>
        <w:tc>
          <w:tcPr>
            <w:tcW w:w="1474" w:type="dxa"/>
            <w:gridSpan w:val="2"/>
            <w:tcBorders/>
            <w:vAlign w:val="center"/>
          </w:tcPr>
          <w:p>
            <w:pPr>
              <w:pStyle w:val="TableContents"/>
              <w:bidi w:val="0"/>
              <w:spacing w:before="0" w:after="283"/>
              <w:jc w:val="center"/>
              <w:rPr>
                <w:b/>
                <w:color w:val="000000"/>
              </w:rPr>
            </w:pPr>
            <w:r>
              <w:rPr>
                <w:b/>
                <w:color w:val="000000"/>
              </w:rPr>
              <w:t>September 30,</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609" w:name="xdx_497_20221231_zXzjWk9bK40c"/>
            <w:bookmarkEnd w:id="609"/>
          </w:p>
        </w:tc>
        <w:tc>
          <w:tcPr>
            <w:tcW w:w="1414" w:type="dxa"/>
            <w:gridSpan w:val="2"/>
            <w:tcBorders/>
            <w:vAlign w:val="center"/>
          </w:tcPr>
          <w:p>
            <w:pPr>
              <w:pStyle w:val="TableContents"/>
              <w:bidi w:val="0"/>
              <w:spacing w:before="0" w:after="283"/>
              <w:jc w:val="center"/>
              <w:rPr>
                <w:b/>
                <w:color w:val="000000"/>
              </w:rPr>
            </w:pPr>
            <w:r>
              <w:rPr>
                <w:b/>
                <w:color w:val="000000"/>
              </w:rPr>
              <w:t>December 31,</w:t>
            </w:r>
          </w:p>
        </w:tc>
        <w:tc>
          <w:tcPr>
            <w:tcW w:w="110" w:type="dxa"/>
            <w:tcBorders/>
            <w:vAlign w:val="center"/>
          </w:tcPr>
          <w:p>
            <w:pPr>
              <w:pStyle w:val="TableContents"/>
              <w:bidi w:val="0"/>
              <w:spacing w:before="0" w:after="283"/>
              <w:jc w:val="left"/>
              <w:rPr>
                <w:color w:val="000000"/>
              </w:rPr>
            </w:pPr>
            <w:r>
              <w:rPr>
                <w:color w:val="000000"/>
              </w:rPr>
              <w:t> </w:t>
            </w:r>
          </w:p>
        </w:tc>
      </w:tr>
      <w:tr>
        <w:trPr/>
        <w:tc>
          <w:tcPr>
            <w:tcW w:w="45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bookmarkStart w:id="610" w:name="xdx_401_eus-gaap--AccountsPayableCurrent"/>
            <w:bookmarkEnd w:id="610"/>
          </w:p>
        </w:tc>
      </w:tr>
      <w:tr>
        <w:trPr/>
        <w:tc>
          <w:tcPr>
            <w:tcW w:w="4520" w:type="dxa"/>
            <w:tcBorders/>
            <w:shd w:fill="CCEEFF" w:val="clear"/>
            <w:vAlign w:val="center"/>
          </w:tcPr>
          <w:p>
            <w:pPr>
              <w:pStyle w:val="TableContents"/>
              <w:bidi w:val="0"/>
              <w:spacing w:before="0" w:after="283"/>
              <w:jc w:val="left"/>
              <w:rPr>
                <w:color w:val="000000"/>
              </w:rPr>
            </w:pPr>
            <w:r>
              <w:rPr>
                <w:color w:val="000000"/>
              </w:rPr>
              <w:t>Accounts payable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7" w:type="dxa"/>
            <w:tcBorders/>
            <w:shd w:fill="CCEEFF" w:val="clear"/>
            <w:vAlign w:val="center"/>
          </w:tcPr>
          <w:p>
            <w:pPr>
              <w:pStyle w:val="TableContents"/>
              <w:bidi w:val="0"/>
              <w:spacing w:before="0" w:after="283"/>
              <w:jc w:val="left"/>
              <w:rPr>
                <w:color w:val="000000"/>
              </w:rPr>
            </w:pPr>
            <w:r>
              <w:rPr>
                <w:color w:val="000000"/>
              </w:rPr>
              <w:t>$</w:t>
            </w:r>
          </w:p>
        </w:tc>
        <w:tc>
          <w:tcPr>
            <w:tcW w:w="1317" w:type="dxa"/>
            <w:tcBorders/>
            <w:shd w:fill="CCEEFF" w:val="clear"/>
            <w:vAlign w:val="center"/>
          </w:tcPr>
          <w:p>
            <w:pPr>
              <w:pStyle w:val="TableContents"/>
              <w:bidi w:val="0"/>
              <w:spacing w:before="0" w:after="283"/>
              <w:jc w:val="right"/>
              <w:rPr>
                <w:color w:val="000000"/>
              </w:rPr>
            </w:pPr>
            <w:r>
              <w:rPr>
                <w:color w:val="000000"/>
              </w:rPr>
              <w:t>6,025,000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w:t>
            </w:r>
          </w:p>
        </w:tc>
        <w:tc>
          <w:tcPr>
            <w:tcW w:w="1264" w:type="dxa"/>
            <w:tcBorders/>
            <w:shd w:fill="CCEEFF" w:val="clear"/>
            <w:vAlign w:val="center"/>
          </w:tcPr>
          <w:p>
            <w:pPr>
              <w:pStyle w:val="TableContents"/>
              <w:bidi w:val="0"/>
              <w:spacing w:before="0" w:after="283"/>
              <w:jc w:val="right"/>
              <w:rPr>
                <w:color w:val="000000"/>
              </w:rPr>
            </w:pPr>
            <w:r>
              <w:rPr>
                <w:color w:val="000000"/>
              </w:rPr>
              <w:t>6,440,000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11" w:name="xdx_400_eus-gaap--TaxesPayableCurrentAnd"/>
            <w:bookmarkEnd w:id="611"/>
          </w:p>
        </w:tc>
      </w:tr>
      <w:tr>
        <w:trPr/>
        <w:tc>
          <w:tcPr>
            <w:tcW w:w="4520" w:type="dxa"/>
            <w:tcBorders/>
            <w:shd w:fill="FFFFFF" w:val="clear"/>
            <w:vAlign w:val="center"/>
          </w:tcPr>
          <w:p>
            <w:pPr>
              <w:pStyle w:val="TableContents"/>
              <w:bidi w:val="0"/>
              <w:spacing w:before="0" w:after="283"/>
              <w:jc w:val="left"/>
              <w:rPr>
                <w:color w:val="000000"/>
              </w:rPr>
            </w:pPr>
            <w:r>
              <w:rPr>
                <w:color w:val="000000"/>
              </w:rPr>
              <w:t>Income tax payable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7" w:type="dxa"/>
            <w:tcBorders/>
            <w:shd w:fill="FFFFFF" w:val="clear"/>
            <w:vAlign w:val="center"/>
          </w:tcPr>
          <w:p>
            <w:pPr>
              <w:pStyle w:val="TableContents"/>
              <w:bidi w:val="0"/>
              <w:spacing w:before="0" w:after="283"/>
              <w:jc w:val="left"/>
              <w:rPr>
                <w:color w:val="000000"/>
              </w:rPr>
            </w:pPr>
            <w:r>
              <w:rPr>
                <w:color w:val="000000"/>
              </w:rPr>
              <w:t> </w:t>
            </w:r>
          </w:p>
        </w:tc>
        <w:tc>
          <w:tcPr>
            <w:tcW w:w="13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1,221,000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1264"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12" w:name="xdx_403_eus-gaap--AccruedInsuranceCurren"/>
            <w:bookmarkEnd w:id="612"/>
          </w:p>
        </w:tc>
      </w:tr>
      <w:tr>
        <w:trPr/>
        <w:tc>
          <w:tcPr>
            <w:tcW w:w="4520" w:type="dxa"/>
            <w:tcBorders/>
            <w:shd w:fill="CCEEFF" w:val="clear"/>
            <w:vAlign w:val="center"/>
          </w:tcPr>
          <w:p>
            <w:pPr>
              <w:pStyle w:val="TableContents"/>
              <w:bidi w:val="0"/>
              <w:spacing w:before="0" w:after="283"/>
              <w:jc w:val="left"/>
              <w:rPr>
                <w:color w:val="000000"/>
              </w:rPr>
            </w:pPr>
            <w:r>
              <w:rPr>
                <w:color w:val="000000"/>
              </w:rPr>
              <w:t>Accrued insurance premium</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7" w:type="dxa"/>
            <w:tcBorders/>
            <w:shd w:fill="CCEEFF" w:val="clear"/>
            <w:vAlign w:val="center"/>
          </w:tcPr>
          <w:p>
            <w:pPr>
              <w:pStyle w:val="TableContents"/>
              <w:bidi w:val="0"/>
              <w:spacing w:before="0" w:after="283"/>
              <w:jc w:val="left"/>
              <w:rPr>
                <w:color w:val="000000"/>
              </w:rPr>
            </w:pPr>
            <w:r>
              <w:rPr>
                <w:color w:val="000000"/>
              </w:rPr>
              <w:t> </w:t>
            </w:r>
          </w:p>
        </w:tc>
        <w:tc>
          <w:tcPr>
            <w:tcW w:w="1317" w:type="dxa"/>
            <w:tcBorders/>
            <w:shd w:fill="CCEEFF" w:val="clear"/>
            <w:vAlign w:val="center"/>
          </w:tcPr>
          <w:p>
            <w:pPr>
              <w:pStyle w:val="TableContents"/>
              <w:bidi w:val="0"/>
              <w:spacing w:before="0" w:after="283"/>
              <w:jc w:val="right"/>
              <w:rPr>
                <w:color w:val="000000"/>
              </w:rPr>
            </w:pPr>
            <w:r>
              <w:rPr>
                <w:color w:val="000000"/>
              </w:rPr>
              <w:t>1,321,000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1264" w:type="dxa"/>
            <w:tcBorders/>
            <w:shd w:fill="CCEEFF" w:val="clear"/>
            <w:vAlign w:val="center"/>
          </w:tcPr>
          <w:p>
            <w:pPr>
              <w:pStyle w:val="TableContents"/>
              <w:bidi w:val="0"/>
              <w:spacing w:before="0" w:after="283"/>
              <w:jc w:val="right"/>
              <w:rPr>
                <w:color w:val="000000"/>
              </w:rPr>
            </w:pPr>
            <w:r>
              <w:rPr>
                <w:color w:val="000000"/>
              </w:rPr>
              <w:t>575,000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13" w:name="xdx_40B_eus-gaap--AccruedProfessionalFee"/>
            <w:bookmarkEnd w:id="613"/>
          </w:p>
        </w:tc>
      </w:tr>
      <w:tr>
        <w:trPr/>
        <w:tc>
          <w:tcPr>
            <w:tcW w:w="4520" w:type="dxa"/>
            <w:tcBorders/>
            <w:shd w:fill="FFFFFF" w:val="clear"/>
            <w:vAlign w:val="center"/>
          </w:tcPr>
          <w:p>
            <w:pPr>
              <w:pStyle w:val="TableContents"/>
              <w:bidi w:val="0"/>
              <w:spacing w:before="0" w:after="283"/>
              <w:jc w:val="left"/>
              <w:rPr>
                <w:color w:val="000000"/>
              </w:rPr>
            </w:pPr>
            <w:r>
              <w:rPr>
                <w:color w:val="000000"/>
              </w:rPr>
              <w:t>Accrued IHEEZO milestone payments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7" w:type="dxa"/>
            <w:tcBorders/>
            <w:shd w:fill="FFFFFF" w:val="clear"/>
            <w:vAlign w:val="center"/>
          </w:tcPr>
          <w:p>
            <w:pPr>
              <w:pStyle w:val="TableContents"/>
              <w:bidi w:val="0"/>
              <w:spacing w:before="0" w:after="283"/>
              <w:jc w:val="left"/>
              <w:rPr>
                <w:color w:val="000000"/>
              </w:rPr>
            </w:pPr>
            <w:r>
              <w:rPr>
                <w:color w:val="000000"/>
              </w:rPr>
              <w:t> </w:t>
            </w:r>
          </w:p>
        </w:tc>
        <w:tc>
          <w:tcPr>
            <w:tcW w:w="1317" w:type="dxa"/>
            <w:tcBorders/>
            <w:shd w:fill="FFFFFF" w:val="cle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1264" w:type="dxa"/>
            <w:tcBorders/>
            <w:shd w:fill="FFFFFF" w:val="clear"/>
            <w:vAlign w:val="center"/>
          </w:tcPr>
          <w:p>
            <w:pPr>
              <w:pStyle w:val="TableContents"/>
              <w:bidi w:val="0"/>
              <w:spacing w:before="0" w:after="283"/>
              <w:jc w:val="right"/>
              <w:rPr>
                <w:color w:val="000000"/>
              </w:rPr>
            </w:pPr>
            <w:r>
              <w:rPr>
                <w:color w:val="000000"/>
              </w:rPr>
              <w:t>5,000,000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14" w:name="xdx_407_ecustom--AccruedLigitationSettle"/>
            <w:bookmarkEnd w:id="614"/>
          </w:p>
        </w:tc>
      </w:tr>
      <w:tr>
        <w:trPr/>
        <w:tc>
          <w:tcPr>
            <w:tcW w:w="4520" w:type="dxa"/>
            <w:tcBorders/>
            <w:shd w:fill="CCEEFF" w:val="clear"/>
            <w:vAlign w:val="center"/>
          </w:tcPr>
          <w:p>
            <w:pPr>
              <w:pStyle w:val="TableContents"/>
              <w:bidi w:val="0"/>
              <w:spacing w:before="0" w:after="283"/>
              <w:jc w:val="left"/>
              <w:rPr>
                <w:color w:val="000000"/>
              </w:rPr>
            </w:pPr>
            <w:r>
              <w:rPr>
                <w:color w:val="000000"/>
              </w:rPr>
              <w:t>Accrued litigation settlements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7" w:type="dxa"/>
            <w:tcBorders/>
            <w:shd w:fill="CCEEFF" w:val="clear"/>
            <w:vAlign w:val="center"/>
          </w:tcPr>
          <w:p>
            <w:pPr>
              <w:pStyle w:val="TableContents"/>
              <w:bidi w:val="0"/>
              <w:spacing w:before="0" w:after="283"/>
              <w:jc w:val="left"/>
              <w:rPr>
                <w:color w:val="000000"/>
              </w:rPr>
            </w:pPr>
            <w:r>
              <w:rPr>
                <w:color w:val="000000"/>
              </w:rPr>
              <w:t> </w:t>
            </w:r>
          </w:p>
        </w:tc>
        <w:tc>
          <w:tcPr>
            <w:tcW w:w="1317" w:type="dxa"/>
            <w:tcBorders/>
            <w:shd w:fill="CCEEFF" w:val="clear"/>
            <w:vAlign w:val="center"/>
          </w:tcPr>
          <w:p>
            <w:pPr>
              <w:pStyle w:val="TableContents"/>
              <w:bidi w:val="0"/>
              <w:spacing w:before="0" w:after="283"/>
              <w:jc w:val="right"/>
              <w:rPr>
                <w:color w:val="000000"/>
              </w:rPr>
            </w:pPr>
            <w:r>
              <w:rPr>
                <w:color w:val="000000"/>
              </w:rPr>
              <w:t>49,000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1264" w:type="dxa"/>
            <w:tcBorders/>
            <w:shd w:fill="CCEEFF" w:val="clear"/>
            <w:vAlign w:val="center"/>
          </w:tcPr>
          <w:p>
            <w:pPr>
              <w:pStyle w:val="TableContents"/>
              <w:bidi w:val="0"/>
              <w:spacing w:before="0" w:after="283"/>
              <w:jc w:val="right"/>
              <w:rPr>
                <w:color w:val="000000"/>
              </w:rPr>
            </w:pPr>
            <w:r>
              <w:rPr>
                <w:color w:val="000000"/>
              </w:rPr>
              <w:t>49,000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15" w:name="xdx_406_ecustom--AccruedTransitionalFees"/>
            <w:bookmarkEnd w:id="615"/>
          </w:p>
        </w:tc>
      </w:tr>
      <w:tr>
        <w:trPr/>
        <w:tc>
          <w:tcPr>
            <w:tcW w:w="4520" w:type="dxa"/>
            <w:tcBorders/>
            <w:shd w:fill="FFFFFF" w:val="clear"/>
            <w:vAlign w:val="center"/>
          </w:tcPr>
          <w:p>
            <w:pPr>
              <w:pStyle w:val="TableContents"/>
              <w:bidi w:val="0"/>
              <w:spacing w:before="0" w:after="283"/>
              <w:jc w:val="left"/>
              <w:rPr>
                <w:color w:val="000000"/>
              </w:rPr>
            </w:pPr>
            <w:r>
              <w:rPr>
                <w:color w:val="000000"/>
              </w:rPr>
              <w:t>Accrued RPC transition payments (see Note 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7" w:type="dxa"/>
            <w:tcBorders/>
            <w:shd w:fill="FFFFFF" w:val="clear"/>
            <w:vAlign w:val="center"/>
          </w:tcPr>
          <w:p>
            <w:pPr>
              <w:pStyle w:val="TableContents"/>
              <w:bidi w:val="0"/>
              <w:spacing w:before="0" w:after="283"/>
              <w:jc w:val="left"/>
              <w:rPr>
                <w:color w:val="000000"/>
              </w:rPr>
            </w:pPr>
            <w:r>
              <w:rPr>
                <w:color w:val="000000"/>
              </w:rPr>
              <w:t> </w:t>
            </w:r>
          </w:p>
        </w:tc>
        <w:tc>
          <w:tcPr>
            <w:tcW w:w="1317" w:type="dxa"/>
            <w:tcBorders/>
            <w:shd w:fill="FFFFFF" w:val="clear"/>
            <w:vAlign w:val="center"/>
          </w:tcPr>
          <w:p>
            <w:pPr>
              <w:pStyle w:val="TableContents"/>
              <w:bidi w:val="0"/>
              <w:spacing w:before="0" w:after="283"/>
              <w:jc w:val="right"/>
              <w:rPr>
                <w:color w:val="000000"/>
              </w:rPr>
            </w:pPr>
            <w:r>
              <w:rPr>
                <w:color w:val="000000"/>
              </w:rPr>
              <w:t>59,000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1264" w:type="dxa"/>
            <w:tcBorders/>
            <w:shd w:fill="FFFFFF" w:val="clear"/>
            <w:vAlign w:val="center"/>
          </w:tcPr>
          <w:p>
            <w:pPr>
              <w:pStyle w:val="TableContents"/>
              <w:bidi w:val="0"/>
              <w:spacing w:before="0" w:after="283"/>
              <w:jc w:val="right"/>
              <w:rPr>
                <w:color w:val="000000"/>
              </w:rPr>
            </w:pPr>
            <w:r>
              <w:rPr>
                <w:color w:val="000000"/>
              </w:rPr>
              <w:t>453,000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16" w:name="xdx_40F_ecustom--AccruedManagedCareComme"/>
            <w:bookmarkEnd w:id="616"/>
          </w:p>
        </w:tc>
      </w:tr>
      <w:tr>
        <w:trPr/>
        <w:tc>
          <w:tcPr>
            <w:tcW w:w="4520" w:type="dxa"/>
            <w:tcBorders/>
            <w:shd w:fill="CCEEFF" w:val="clear"/>
            <w:vAlign w:val="center"/>
          </w:tcPr>
          <w:p>
            <w:pPr>
              <w:pStyle w:val="TableContents"/>
              <w:bidi w:val="0"/>
              <w:spacing w:before="0" w:after="283"/>
              <w:jc w:val="left"/>
              <w:rPr>
                <w:color w:val="000000"/>
              </w:rPr>
            </w:pPr>
            <w:r>
              <w:rPr>
                <w:color w:val="000000"/>
              </w:rPr>
              <w:t>Accrued managed care commercial rebates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7" w:type="dxa"/>
            <w:tcBorders/>
            <w:shd w:fill="CCEEFF" w:val="clear"/>
            <w:vAlign w:val="center"/>
          </w:tcPr>
          <w:p>
            <w:pPr>
              <w:pStyle w:val="TableContents"/>
              <w:bidi w:val="0"/>
              <w:spacing w:before="0" w:after="283"/>
              <w:jc w:val="left"/>
              <w:rPr>
                <w:color w:val="000000"/>
              </w:rPr>
            </w:pPr>
            <w:r>
              <w:rPr>
                <w:color w:val="000000"/>
              </w:rPr>
              <w:t> </w:t>
            </w:r>
          </w:p>
        </w:tc>
        <w:tc>
          <w:tcPr>
            <w:tcW w:w="1317" w:type="dxa"/>
            <w:tcBorders/>
            <w:shd w:fill="CCEEFF" w:val="clear"/>
            <w:vAlign w:val="center"/>
          </w:tcPr>
          <w:p>
            <w:pPr>
              <w:pStyle w:val="TableContents"/>
              <w:bidi w:val="0"/>
              <w:spacing w:before="0" w:after="283"/>
              <w:jc w:val="right"/>
              <w:rPr>
                <w:color w:val="000000"/>
              </w:rPr>
            </w:pPr>
            <w:r>
              <w:rPr>
                <w:color w:val="000000"/>
              </w:rPr>
              <w:t>2,118,000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shd w:fill="CCEEFF" w:val="clear"/>
            <w:vAlign w:val="center"/>
          </w:tcPr>
          <w:p>
            <w:pPr>
              <w:pStyle w:val="TableContents"/>
              <w:bidi w:val="0"/>
              <w:spacing w:before="0" w:after="283"/>
              <w:jc w:val="left"/>
              <w:rPr>
                <w:color w:val="000000"/>
              </w:rPr>
            </w:pPr>
            <w:r>
              <w:rPr>
                <w:color w:val="000000"/>
              </w:rPr>
              <w:t> </w:t>
            </w:r>
          </w:p>
        </w:tc>
        <w:tc>
          <w:tcPr>
            <w:tcW w:w="1264"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17" w:name="xdx_402_eus-gaap--InterestPayableCurrent"/>
            <w:bookmarkEnd w:id="617"/>
          </w:p>
        </w:tc>
      </w:tr>
      <w:tr>
        <w:trPr/>
        <w:tc>
          <w:tcPr>
            <w:tcW w:w="4520" w:type="dxa"/>
            <w:tcBorders/>
            <w:shd w:fill="FFFFFF" w:val="clear"/>
            <w:vAlign w:val="center"/>
          </w:tcPr>
          <w:p>
            <w:pPr>
              <w:pStyle w:val="TableContents"/>
              <w:bidi w:val="0"/>
              <w:spacing w:before="0" w:after="283"/>
              <w:jc w:val="left"/>
              <w:rPr>
                <w:color w:val="000000"/>
              </w:rPr>
            </w:pPr>
            <w:r>
              <w:rPr>
                <w:color w:val="000000"/>
              </w:rPr>
              <w:t>Accrued interest (see Note 13)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7" w:type="dxa"/>
            <w:tcBorders/>
            <w:shd w:fill="FFFFFF" w:val="clear"/>
            <w:vAlign w:val="center"/>
          </w:tcPr>
          <w:p>
            <w:pPr>
              <w:pStyle w:val="TableContents"/>
              <w:bidi w:val="0"/>
              <w:spacing w:before="0" w:after="283"/>
              <w:jc w:val="left"/>
              <w:rPr>
                <w:color w:val="000000"/>
              </w:rPr>
            </w:pPr>
            <w:r>
              <w:rPr>
                <w:color w:val="000000"/>
              </w:rPr>
              <w:t> </w:t>
            </w:r>
          </w:p>
        </w:tc>
        <w:tc>
          <w:tcPr>
            <w:tcW w:w="1317" w:type="dxa"/>
            <w:tcBorders/>
            <w:shd w:fill="FFFFFF" w:val="clear"/>
            <w:vAlign w:val="center"/>
          </w:tcPr>
          <w:p>
            <w:pPr>
              <w:pStyle w:val="TableContents"/>
              <w:bidi w:val="0"/>
              <w:spacing w:before="0" w:after="283"/>
              <w:jc w:val="right"/>
              <w:rPr>
                <w:color w:val="000000"/>
              </w:rPr>
            </w:pPr>
            <w:r>
              <w:rPr>
                <w:color w:val="000000"/>
              </w:rPr>
              <w:t>1,979,000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 </w:t>
            </w:r>
          </w:p>
        </w:tc>
        <w:tc>
          <w:tcPr>
            <w:tcW w:w="1264" w:type="dxa"/>
            <w:tcBorders/>
            <w:shd w:fill="FFFFFF" w:val="clear"/>
            <w:vAlign w:val="center"/>
          </w:tcPr>
          <w:p>
            <w:pPr>
              <w:pStyle w:val="TableContents"/>
              <w:bidi w:val="0"/>
              <w:spacing w:before="0" w:after="283"/>
              <w:jc w:val="right"/>
              <w:rPr>
                <w:color w:val="000000"/>
              </w:rPr>
            </w:pPr>
            <w:r>
              <w:rPr>
                <w:color w:val="000000"/>
              </w:rPr>
              <w:t>1,254,000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18" w:name="xdx_40F_ecustom--AccruedExitFeeForNotePa"/>
            <w:bookmarkEnd w:id="618"/>
          </w:p>
        </w:tc>
      </w:tr>
      <w:tr>
        <w:trPr/>
        <w:tc>
          <w:tcPr>
            <w:tcW w:w="4520" w:type="dxa"/>
            <w:tcBorders/>
            <w:shd w:fill="CCEEFF" w:val="clear"/>
            <w:vAlign w:val="center"/>
          </w:tcPr>
          <w:p>
            <w:pPr>
              <w:pStyle w:val="TableContents"/>
              <w:bidi w:val="0"/>
              <w:spacing w:before="0" w:after="283"/>
              <w:jc w:val="left"/>
              <w:rPr>
                <w:color w:val="000000"/>
              </w:rPr>
            </w:pPr>
            <w:r>
              <w:rPr>
                <w:color w:val="000000"/>
              </w:rPr>
              <w:t>Accrued exit fee for note payable (see Note 13)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1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2,713,000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619" w:name="xdx_40F_eus-gaap--AccountsPayableAndAccr"/>
            <w:bookmarkEnd w:id="619"/>
          </w:p>
        </w:tc>
      </w:tr>
      <w:tr>
        <w:trPr/>
        <w:tc>
          <w:tcPr>
            <w:tcW w:w="4520" w:type="dxa"/>
            <w:tcBorders/>
            <w:shd w:fill="FFFFFF" w:val="clear"/>
            <w:vAlign w:val="center"/>
          </w:tcPr>
          <w:p>
            <w:pPr>
              <w:pStyle w:val="TableContents"/>
              <w:bidi w:val="0"/>
              <w:spacing w:before="0" w:after="283"/>
              <w:jc w:val="left"/>
              <w:rPr>
                <w:color w:val="000000"/>
              </w:rPr>
            </w:pPr>
            <w:r>
              <w:rPr>
                <w:color w:val="000000"/>
              </w:rPr>
              <w:t>Total accounts payable and accrued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7" w:type="dxa"/>
            <w:tcBorders/>
            <w:shd w:fill="FFFFFF" w:val="clear"/>
            <w:vAlign w:val="center"/>
          </w:tcPr>
          <w:p>
            <w:pPr>
              <w:pStyle w:val="TableContents"/>
              <w:bidi w:val="0"/>
              <w:spacing w:before="0" w:after="283"/>
              <w:jc w:val="left"/>
              <w:rPr>
                <w:color w:val="000000"/>
              </w:rPr>
            </w:pPr>
            <w:r>
              <w:rPr>
                <w:color w:val="000000"/>
              </w:rPr>
              <w:t>$</w:t>
            </w:r>
          </w:p>
        </w:tc>
        <w:tc>
          <w:tcPr>
            <w:tcW w:w="1317" w:type="dxa"/>
            <w:tcBorders/>
            <w:shd w:fill="FFFFFF" w:val="clear"/>
            <w:vAlign w:val="center"/>
          </w:tcPr>
          <w:p>
            <w:pPr>
              <w:pStyle w:val="TableContents"/>
              <w:bidi w:val="0"/>
              <w:spacing w:before="0" w:after="283"/>
              <w:jc w:val="right"/>
              <w:rPr>
                <w:color w:val="000000"/>
              </w:rPr>
            </w:pPr>
            <w:r>
              <w:rPr>
                <w:color w:val="000000"/>
              </w:rPr>
              <w:t>15,485,000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shd w:fill="FFFFFF" w:val="clear"/>
            <w:vAlign w:val="center"/>
          </w:tcPr>
          <w:p>
            <w:pPr>
              <w:pStyle w:val="TableContents"/>
              <w:bidi w:val="0"/>
              <w:spacing w:before="0" w:after="283"/>
              <w:jc w:val="left"/>
              <w:rPr>
                <w:color w:val="000000"/>
              </w:rPr>
            </w:pPr>
            <w:r>
              <w:rPr>
                <w:color w:val="000000"/>
              </w:rPr>
              <w:t>$</w:t>
            </w:r>
          </w:p>
        </w:tc>
        <w:tc>
          <w:tcPr>
            <w:tcW w:w="1264" w:type="dxa"/>
            <w:tcBorders/>
            <w:shd w:fill="FFFFFF" w:val="clear"/>
            <w:vAlign w:val="center"/>
          </w:tcPr>
          <w:p>
            <w:pPr>
              <w:pStyle w:val="TableContents"/>
              <w:bidi w:val="0"/>
              <w:spacing w:before="0" w:after="283"/>
              <w:jc w:val="right"/>
              <w:rPr>
                <w:color w:val="000000"/>
              </w:rPr>
            </w:pPr>
            <w:r>
              <w:rPr>
                <w:color w:val="000000"/>
              </w:rPr>
              <w:t>13,771,000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620" w:name="xdx_40E_eus-gaap--AccountsPayableAndAccr"/>
            <w:bookmarkEnd w:id="620"/>
          </w:p>
        </w:tc>
      </w:tr>
      <w:tr>
        <w:trPr/>
        <w:tc>
          <w:tcPr>
            <w:tcW w:w="4520" w:type="dxa"/>
            <w:tcBorders/>
            <w:shd w:fill="CCEEFF" w:val="clear"/>
            <w:vAlign w:val="center"/>
          </w:tcPr>
          <w:p>
            <w:pPr>
              <w:pStyle w:val="TableContents"/>
              <w:bidi w:val="0"/>
              <w:spacing w:before="0" w:after="283"/>
              <w:jc w:val="left"/>
              <w:rPr>
                <w:color w:val="000000"/>
              </w:rPr>
            </w:pPr>
            <w:r>
              <w:rPr>
                <w:color w:val="000000"/>
              </w:rPr>
              <w:t>Less: current portion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1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(12,772,000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(13,771,000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621" w:name="xdx_405_eus-gaap--AccountsPayableAndAccr"/>
            <w:bookmarkEnd w:id="621"/>
          </w:p>
        </w:tc>
      </w:tr>
      <w:tr>
        <w:trPr/>
        <w:tc>
          <w:tcPr>
            <w:tcW w:w="4520" w:type="dxa"/>
            <w:tcBorders/>
            <w:shd w:fill="FFFFFF" w:val="clear"/>
            <w:vAlign w:val="center"/>
          </w:tcPr>
          <w:p>
            <w:pPr>
              <w:pStyle w:val="TableContents"/>
              <w:bidi w:val="0"/>
              <w:spacing w:before="0" w:after="283"/>
              <w:jc w:val="left"/>
              <w:rPr>
                <w:color w:val="000000"/>
              </w:rPr>
            </w:pPr>
            <w:r>
              <w:rPr>
                <w:color w:val="000000"/>
              </w:rPr>
              <w:t>Non-current total accrued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2,713,000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622" w:name="xdx_8A1_zcUeUVJplFPj"/>
      <w:bookmarkEnd w:id="622"/>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financed all insurance policies for the policy terms of August 17, 2022 through August 16, 2023 and August 17, 2023 through August 16, 2024. The financing agreements have an interest rate of </w:t>
      </w:r>
      <w:bookmarkStart w:id="623" w:name="xdx_90D_eus-gaap--DebtInstrumentInterest"/>
      <w:bookmarkEnd w:id="623"/>
      <w:r>
        <w:rPr>
          <w:rFonts w:ascii="Times New Roman;Times;Serif" w:hAnsi="Times New Roman;Times;Serif"/>
          <w:b w:val="false"/>
          <w:i w:val="false"/>
          <w:caps w:val="false"/>
          <w:smallCaps w:val="false"/>
          <w:color w:val="000000"/>
          <w:sz w:val="20"/>
        </w:rPr>
        <w:t xml:space="preserve">4.13% and </w:t>
      </w:r>
      <w:bookmarkStart w:id="624" w:name="xdx_903_eus-gaap--DebtInstrumentInterest"/>
      <w:bookmarkEnd w:id="624"/>
      <w:r>
        <w:rPr>
          <w:rFonts w:ascii="Times New Roman;Times;Serif" w:hAnsi="Times New Roman;Times;Serif"/>
          <w:b w:val="false"/>
          <w:i w:val="false"/>
          <w:caps w:val="false"/>
          <w:smallCaps w:val="false"/>
          <w:color w:val="000000"/>
          <w:sz w:val="20"/>
        </w:rPr>
        <w:t>7.48% per annum, respectively, and require eight monthly payments of $</w:t>
      </w:r>
      <w:bookmarkStart w:id="625" w:name="xdx_90A_ecustom--AccruedMonthlyPayments_"/>
      <w:bookmarkEnd w:id="625"/>
      <w:r>
        <w:rPr>
          <w:rFonts w:ascii="Times New Roman;Times;Serif" w:hAnsi="Times New Roman;Times;Serif"/>
          <w:b w:val="false"/>
          <w:i w:val="false"/>
          <w:caps w:val="false"/>
          <w:smallCaps w:val="false"/>
          <w:color w:val="000000"/>
          <w:sz w:val="20"/>
        </w:rPr>
        <w:t>114,000 and nine monthly payments of $</w:t>
      </w:r>
      <w:bookmarkStart w:id="626" w:name="xdx_90D_ecustom--AccruedMonthlyPayments_"/>
      <w:bookmarkEnd w:id="626"/>
      <w:r>
        <w:rPr>
          <w:rFonts w:ascii="Times New Roman;Times;Serif" w:hAnsi="Times New Roman;Times;Serif"/>
          <w:b w:val="false"/>
          <w:i w:val="false"/>
          <w:caps w:val="false"/>
          <w:smallCaps w:val="false"/>
          <w:color w:val="000000"/>
          <w:sz w:val="20"/>
        </w:rPr>
        <w:t>169,000,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627" w:name="xdx_804_eus-gaap--DebtDisclosureTextBloc"/>
      <w:bookmarkEnd w:id="627"/>
      <w:r>
        <w:rPr>
          <w:rFonts w:ascii="Times New Roman;Times;Serif" w:hAnsi="Times New Roman;Times;Serif"/>
          <w:b/>
          <w:i w:val="false"/>
          <w:caps w:val="false"/>
          <w:smallCaps w:val="false"/>
          <w:color w:val="000000"/>
          <w:sz w:val="20"/>
        </w:rPr>
        <w:t xml:space="preserve">NOTE 13. </w:t>
      </w:r>
      <w:bookmarkStart w:id="628" w:name="xdx_825_zFml9Qxc9byi"/>
      <w:bookmarkEnd w:id="628"/>
      <w:r>
        <w:rPr>
          <w:rFonts w:ascii="Times New Roman;Times;Serif" w:hAnsi="Times New Roman;Times;Serif"/>
          <w:b/>
          <w:i w:val="false"/>
          <w:caps w:val="false"/>
          <w:smallCaps w:val="false"/>
          <w:color w:val="000000"/>
          <w:sz w:val="20"/>
        </w:rPr>
        <w:t xml:space="preserve">DEBT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Oaktree Loan Due 2026</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March 2023, the Company entered into a Credit Agreement and Guaranty, (the “Oaktree Loan”) with Oaktree Fund Administration, LLC, as administrative agent for the lenders (together, “Oaktree”), providing for a senior secured term loan facility to the Company with a principal amount of up to $</w:t>
      </w:r>
      <w:bookmarkStart w:id="629" w:name="xdx_904_eus-gaap--DebtInstrumentFaceAmou"/>
      <w:bookmarkEnd w:id="629"/>
      <w:r>
        <w:rPr>
          <w:rFonts w:ascii="Times New Roman;Times;Serif" w:hAnsi="Times New Roman;Times;Serif"/>
          <w:b w:val="false"/>
          <w:i w:val="false"/>
          <w:caps w:val="false"/>
          <w:smallCaps w:val="false"/>
          <w:color w:val="000000"/>
          <w:sz w:val="20"/>
        </w:rPr>
        <w:t>100,000,000. Upon entering into the Oaktree Loan, the Company drew a principal amount of $</w:t>
      </w:r>
      <w:bookmarkStart w:id="630" w:name="xdx_90E_eus-gaap--DebtInstrumentFaceAmou"/>
      <w:bookmarkEnd w:id="630"/>
      <w:r>
        <w:rPr>
          <w:rFonts w:ascii="Times New Roman;Times;Serif" w:hAnsi="Times New Roman;Times;Serif"/>
          <w:b w:val="false"/>
          <w:i w:val="false"/>
          <w:caps w:val="false"/>
          <w:smallCaps w:val="false"/>
          <w:color w:val="000000"/>
          <w:sz w:val="20"/>
        </w:rPr>
        <w:t xml:space="preserve">65,000,000 (“Tranche A”) from the Oaktree Loan and used the net proceeds to repay all amounts owed by the Company pursuant to the Loan and Security Agreement the Company previously entered into with B. Riley Commercial Capital, LLC on December 14, 2022 (the “B. Riley Loan”) – see subheading </w:t>
      </w:r>
      <w:r>
        <w:rPr>
          <w:rFonts w:ascii="Times New Roman;Times;Serif" w:hAnsi="Times New Roman;Times;Serif"/>
          <w:b w:val="false"/>
          <w:i/>
          <w:caps w:val="false"/>
          <w:smallCaps w:val="false"/>
          <w:color w:val="000000"/>
          <w:sz w:val="20"/>
        </w:rPr>
        <w:t xml:space="preserve">B. Riley Loan and Security Agreement – Paid in Full </w:t>
      </w:r>
      <w:r>
        <w:rPr>
          <w:rFonts w:ascii="Times New Roman;Times;Serif" w:hAnsi="Times New Roman;Times;Serif"/>
          <w:b w:val="false"/>
          <w:i w:val="false"/>
          <w:caps w:val="false"/>
          <w:smallCaps w:val="false"/>
          <w:color w:val="000000"/>
          <w:sz w:val="20"/>
        </w:rPr>
        <w:t>within this Note 13. The additional principal loan amount of up to $</w:t>
      </w:r>
      <w:bookmarkStart w:id="631" w:name="xdx_909_eus-gaap--DebtInstrumentIncrease"/>
      <w:bookmarkEnd w:id="631"/>
      <w:r>
        <w:rPr>
          <w:rFonts w:ascii="Times New Roman;Times;Serif" w:hAnsi="Times New Roman;Times;Serif"/>
          <w:b w:val="false"/>
          <w:i w:val="false"/>
          <w:caps w:val="false"/>
          <w:smallCaps w:val="false"/>
          <w:color w:val="000000"/>
          <w:sz w:val="20"/>
        </w:rPr>
        <w:t>35,000,000 available under the Oaktree Loan (“Tranche B”) will be made available to the Company upon the commercialization of TRIESENCE. If Tranche B is not drawn by the Company on or before March 27, 2024, the amount available under Tranche B will be decreased to $</w:t>
      </w:r>
      <w:bookmarkStart w:id="632" w:name="xdx_908_eus-gaap--ProceedsFromIssuanceOf"/>
      <w:bookmarkEnd w:id="632"/>
      <w:r>
        <w:rPr>
          <w:rFonts w:ascii="Times New Roman;Times;Serif" w:hAnsi="Times New Roman;Times;Serif"/>
          <w:b w:val="false"/>
          <w:i w:val="false"/>
          <w:caps w:val="false"/>
          <w:smallCaps w:val="false"/>
          <w:color w:val="000000"/>
          <w:sz w:val="20"/>
        </w:rPr>
        <w:t>30,000,000.</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Oaktree Loan is secured by nearly all of the assets, including intellectual property, of the Company and its material subsidiaries. The Oaktree Loan has a maturity date of </w:t>
      </w:r>
      <w:bookmarkStart w:id="633" w:name="xdx_90E_eus-gaap--DebtInstrumentMaturity"/>
      <w:bookmarkEnd w:id="633"/>
      <w:r>
        <w:rPr>
          <w:rFonts w:ascii="Times New Roman;Times;Serif" w:hAnsi="Times New Roman;Times;Serif"/>
          <w:b w:val="false"/>
          <w:i w:val="false"/>
          <w:caps w:val="false"/>
          <w:smallCaps w:val="false"/>
          <w:color w:val="000000"/>
          <w:sz w:val="20"/>
        </w:rPr>
        <w:t xml:space="preserve">January 19, 2026 and carries an interest rate equal to the Secured Overnight Financing Rate plus </w:t>
      </w:r>
      <w:bookmarkStart w:id="634" w:name="xdx_90D_eus-gaap--DebtInstrumentInterest"/>
      <w:bookmarkEnd w:id="634"/>
      <w:r>
        <w:rPr>
          <w:rFonts w:ascii="Times New Roman;Times;Serif" w:hAnsi="Times New Roman;Times;Serif"/>
          <w:b w:val="false"/>
          <w:i w:val="false"/>
          <w:caps w:val="false"/>
          <w:smallCaps w:val="false"/>
          <w:color w:val="000000"/>
          <w:sz w:val="20"/>
        </w:rPr>
        <w:t xml:space="preserve">6.5% per annum (totaling </w:t>
      </w:r>
      <w:bookmarkStart w:id="635" w:name="xdx_90A_eus-gaap--DebtInstrumentInterest"/>
      <w:bookmarkEnd w:id="635"/>
      <w:r>
        <w:rPr>
          <w:rFonts w:ascii="Times New Roman;Times;Serif" w:hAnsi="Times New Roman;Times;Serif"/>
          <w:b w:val="false"/>
          <w:i w:val="false"/>
          <w:caps w:val="false"/>
          <w:smallCaps w:val="false"/>
          <w:color w:val="000000"/>
          <w:sz w:val="20"/>
        </w:rPr>
        <w:t>11.90% at September 30, 2023). From proceeds, the Company paid fees, and offering expenses, and the Oaktree Loan was issued at an original issue discount of $</w:t>
      </w:r>
      <w:bookmarkStart w:id="636" w:name="xdx_909_eus-gaap--AmortizationOfDebtDisc"/>
      <w:bookmarkEnd w:id="636"/>
      <w:r>
        <w:rPr>
          <w:rFonts w:ascii="Times New Roman;Times;Serif" w:hAnsi="Times New Roman;Times;Serif"/>
          <w:b w:val="false"/>
          <w:i w:val="false"/>
          <w:caps w:val="false"/>
          <w:smallCaps w:val="false"/>
          <w:color w:val="000000"/>
          <w:sz w:val="20"/>
        </w:rPr>
        <w:t xml:space="preserve">3,415,000, in aggregate. The Oaktree Loan also carries an exit fee equal to </w:t>
      </w:r>
      <w:bookmarkStart w:id="637" w:name="xdx_909_eus-gaap--DebtInstrumentInterest"/>
      <w:bookmarkEnd w:id="637"/>
      <w:r>
        <w:rPr>
          <w:rFonts w:ascii="Times New Roman;Times;Serif" w:hAnsi="Times New Roman;Times;Serif"/>
          <w:b w:val="false"/>
          <w:i w:val="false"/>
          <w:caps w:val="false"/>
          <w:smallCaps w:val="false"/>
          <w:color w:val="000000"/>
          <w:sz w:val="20"/>
        </w:rPr>
        <w:t>3.5% of the aggregate principal amount owed and the Company accrued $</w:t>
      </w:r>
      <w:bookmarkStart w:id="638" w:name="xdx_903_ecustom--AccruedExpenses_c202301"/>
      <w:bookmarkEnd w:id="638"/>
      <w:r>
        <w:rPr>
          <w:rFonts w:ascii="Times New Roman;Times;Serif" w:hAnsi="Times New Roman;Times;Serif"/>
          <w:b w:val="false"/>
          <w:i w:val="false"/>
          <w:caps w:val="false"/>
          <w:smallCaps w:val="false"/>
          <w:color w:val="000000"/>
          <w:sz w:val="20"/>
        </w:rPr>
        <w:t>2,275,000 related to the exit fee. The original issue discount, fees and expenses (including the exit fee) are being amortized over the term of the Oaktree Loan using the effective interest rate method. The Oaktree Loan requires quarterly interest-only payments with all of the unpaid principal, interest and fees due on the maturity date, January 19, 2026.</w:t>
      </w:r>
    </w:p>
    <w:p>
      <w:pPr>
        <w:pStyle w:val="TextBody"/>
        <w:bidi w:val="0"/>
        <w:spacing w:before="0" w:after="0"/>
        <w:ind w:left="0" w:right="0" w:firstLine="72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the Company entered into the First Amendment to Credit Agreement and Guaranty and Consent (the “Oaktree Amendment”) to the Oaktree Loan. Under the Oaktree Amendment, the overall credit facility size was increased from $</w:t>
      </w:r>
      <w:bookmarkStart w:id="639" w:name="xdx_90C_eus-gaap--DebtInstrumentIncrease"/>
      <w:bookmarkEnd w:id="639"/>
      <w:r>
        <w:rPr>
          <w:rFonts w:ascii="Times New Roman;Times;Serif" w:hAnsi="Times New Roman;Times;Serif"/>
          <w:b w:val="false"/>
          <w:i w:val="false"/>
          <w:caps w:val="false"/>
          <w:smallCaps w:val="false"/>
          <w:color w:val="000000"/>
          <w:sz w:val="20"/>
        </w:rPr>
        <w:t>100,000,000 to $</w:t>
      </w:r>
      <w:bookmarkStart w:id="640" w:name="xdx_90E_eus-gaap--DebtInstrumentIncrease"/>
      <w:bookmarkEnd w:id="640"/>
      <w:r>
        <w:rPr>
          <w:rFonts w:ascii="Times New Roman;Times;Serif" w:hAnsi="Times New Roman;Times;Serif"/>
          <w:b w:val="false"/>
          <w:i w:val="false"/>
          <w:caps w:val="false"/>
          <w:smallCaps w:val="false"/>
          <w:color w:val="000000"/>
          <w:sz w:val="20"/>
        </w:rPr>
        <w:t>112,500,000, and the Company made other changes related to the Santen Products Acquisition (see Note 4). Upon satisfaction of certain conditions to funding, the Company drew down a principal amount of $</w:t>
      </w:r>
      <w:bookmarkStart w:id="641" w:name="xdx_905_eus-gaap--DebtInstrumentFaceAmou"/>
      <w:bookmarkEnd w:id="641"/>
      <w:r>
        <w:rPr>
          <w:rFonts w:ascii="Times New Roman;Times;Serif" w:hAnsi="Times New Roman;Times;Serif"/>
          <w:b w:val="false"/>
          <w:i w:val="false"/>
          <w:caps w:val="false"/>
          <w:smallCaps w:val="false"/>
          <w:color w:val="000000"/>
          <w:sz w:val="20"/>
        </w:rPr>
        <w:t>12,500,000 (the “Loan Increase”) to fund the initial one-time payment associated with the Santen Products Acquisition and for other working capital and general corporate purposes. No other material changes to the Oaktree Loan were made pursuant to the Oaktree Amendment. Following entry into the Oaktree Amendment and the funding of the Loan Increase upon closing of the Santen Products Acquisition, the Company has drawn down a total principal loan amount of $</w:t>
      </w:r>
      <w:bookmarkStart w:id="642" w:name="xdx_901_eus-gaap--DebtInstrumentFaceAmou"/>
      <w:bookmarkEnd w:id="642"/>
      <w:r>
        <w:rPr>
          <w:rFonts w:ascii="Times New Roman;Times;Serif" w:hAnsi="Times New Roman;Times;Serif"/>
          <w:b w:val="false"/>
          <w:i w:val="false"/>
          <w:caps w:val="false"/>
          <w:smallCaps w:val="false"/>
          <w:color w:val="000000"/>
          <w:sz w:val="20"/>
        </w:rPr>
        <w:t>77,500,000 under the Oaktree Loan and an additional principal loan amount of up to $</w:t>
      </w:r>
      <w:bookmarkStart w:id="643" w:name="xdx_903_ecustom--AdditionalLoanAmountAva"/>
      <w:bookmarkEnd w:id="643"/>
      <w:r>
        <w:rPr>
          <w:rFonts w:ascii="Times New Roman;Times;Serif" w:hAnsi="Times New Roman;Times;Serif"/>
          <w:b w:val="false"/>
          <w:i w:val="false"/>
          <w:caps w:val="false"/>
          <w:smallCaps w:val="false"/>
          <w:color w:val="000000"/>
          <w:sz w:val="20"/>
        </w:rPr>
        <w:t>35,000,000 remains available to the Company upon the commercialization of TRIESENCE. The Oaktree Loan exit fee was increased from $</w:t>
      </w:r>
      <w:bookmarkStart w:id="644" w:name="xdx_90D_eus-gaap--DebtInstrumentFaceAmou"/>
      <w:bookmarkEnd w:id="644"/>
      <w:r>
        <w:rPr>
          <w:rFonts w:ascii="Times New Roman;Times;Serif" w:hAnsi="Times New Roman;Times;Serif"/>
          <w:b w:val="false"/>
          <w:i w:val="false"/>
          <w:caps w:val="false"/>
          <w:smallCaps w:val="false"/>
          <w:color w:val="000000"/>
          <w:sz w:val="20"/>
        </w:rPr>
        <w:t>2,275,000 to $</w:t>
      </w:r>
      <w:bookmarkStart w:id="645" w:name="xdx_90F_eus-gaap--DebtInstrumentFaceAmou"/>
      <w:bookmarkEnd w:id="645"/>
      <w:r>
        <w:rPr>
          <w:rFonts w:ascii="Times New Roman;Times;Serif" w:hAnsi="Times New Roman;Times;Serif"/>
          <w:b w:val="false"/>
          <w:i w:val="false"/>
          <w:caps w:val="false"/>
          <w:smallCaps w:val="false"/>
          <w:color w:val="000000"/>
          <w:sz w:val="20"/>
        </w:rPr>
        <w:t>2,713,000 pursuant to the Oaktree Amendment. The exit fee is equal to</w:t>
      </w:r>
      <w:bookmarkStart w:id="646" w:name="xdx_908_eus-gaap--DebtInstrumentInterest"/>
      <w:bookmarkEnd w:id="646"/>
      <w:r>
        <w:rPr>
          <w:rFonts w:ascii="Times New Roman;Times;Serif" w:hAnsi="Times New Roman;Times;Serif"/>
          <w:b w:val="false"/>
          <w:i w:val="false"/>
          <w:caps w:val="false"/>
          <w:smallCaps w:val="false"/>
          <w:color w:val="000000"/>
          <w:sz w:val="20"/>
        </w:rPr>
        <w:t xml:space="preserve"> 3.50% of the amended aggregate principal amount owed and the Company accrued an additional $</w:t>
      </w:r>
      <w:bookmarkStart w:id="647" w:name="xdx_90B_ecustom--AdditionalRelatedExitFe"/>
      <w:bookmarkEnd w:id="647"/>
      <w:r>
        <w:rPr>
          <w:rFonts w:ascii="Times New Roman;Times;Serif" w:hAnsi="Times New Roman;Times;Serif"/>
          <w:b w:val="false"/>
          <w:i w:val="false"/>
          <w:caps w:val="false"/>
          <w:smallCaps w:val="false"/>
          <w:color w:val="000000"/>
          <w:sz w:val="20"/>
        </w:rPr>
        <w:t>438,000 in the three months ended September 30, 2023 related to the exit fee.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Oaktree Loan contains customary guarantees and covenants, including financial covenants related to minimum liquidity and minimum net revenues. At September 30, 2023, the Company was in compliance with these covenants. As of the end of the fiscal quarter ending December 31, 2024, if the Company’s Total Leverage Ratio (as defined in the Oaktree Loan) is greater than or equal to five times, but less than seven times, the Company will be required to issue to Oaktree warrants to purchase </w:t>
      </w:r>
      <w:bookmarkStart w:id="648" w:name="xdx_909_eus-gaap--ClassOfWarrantOrRightN"/>
      <w:bookmarkEnd w:id="648"/>
      <w:r>
        <w:rPr>
          <w:rFonts w:ascii="Times New Roman;Times;Serif" w:hAnsi="Times New Roman;Times;Serif"/>
          <w:b w:val="false"/>
          <w:i w:val="false"/>
          <w:caps w:val="false"/>
          <w:smallCaps w:val="false"/>
          <w:color w:val="000000"/>
          <w:sz w:val="20"/>
        </w:rPr>
        <w:t xml:space="preserve">375,000 shares of the Company’s common stock, and if the Total Leverage Ratio is greater than or equal to seven times, the Company will be required to issue to Oaktree warrants to purchase an additional </w:t>
      </w:r>
      <w:bookmarkStart w:id="649" w:name="xdx_906_eus-gaap--ClassOfWarrantOrRightN"/>
      <w:bookmarkEnd w:id="649"/>
      <w:r>
        <w:rPr>
          <w:rFonts w:ascii="Times New Roman;Times;Serif" w:hAnsi="Times New Roman;Times;Serif"/>
          <w:b w:val="false"/>
          <w:i w:val="false"/>
          <w:caps w:val="false"/>
          <w:smallCaps w:val="false"/>
          <w:color w:val="000000"/>
          <w:sz w:val="20"/>
        </w:rPr>
        <w:t xml:space="preserve">375,000 shares of the Company’s common stock (equaling </w:t>
      </w:r>
      <w:bookmarkStart w:id="650" w:name="xdx_90F_eus-gaap--ClassOfWarrantOrRightN"/>
      <w:bookmarkEnd w:id="650"/>
      <w:r>
        <w:rPr>
          <w:rFonts w:ascii="Times New Roman;Times;Serif" w:hAnsi="Times New Roman;Times;Serif"/>
          <w:b w:val="false"/>
          <w:i w:val="false"/>
          <w:caps w:val="false"/>
          <w:smallCaps w:val="false"/>
          <w:color w:val="000000"/>
          <w:sz w:val="20"/>
        </w:rPr>
        <w:t>750,000 shares in aggregate). If the Total Leverage Ratio as of the end of the fiscal quarter ending December 31, 2024 is less than five times, no warrants will be issued to Oaktree. Based on current projections, the Company does not expect to issue any warrants related to the Oaktree Loan.</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expense related to the Oaktree Loan totaled $</w:t>
      </w:r>
      <w:bookmarkStart w:id="651" w:name="xdx_904_eus-gaap--InterestExpenseOtherLo"/>
      <w:bookmarkEnd w:id="651"/>
      <w:r>
        <w:rPr>
          <w:rFonts w:ascii="Times New Roman;Times;Serif" w:hAnsi="Times New Roman;Times;Serif"/>
          <w:b w:val="false"/>
          <w:i w:val="false"/>
          <w:caps w:val="false"/>
          <w:smallCaps w:val="false"/>
          <w:color w:val="000000"/>
          <w:sz w:val="20"/>
        </w:rPr>
        <w:t>2,995,000 and $</w:t>
      </w:r>
      <w:bookmarkStart w:id="652" w:name="xdx_907_eus-gaap--InterestExpenseOtherLo"/>
      <w:bookmarkEnd w:id="652"/>
      <w:r>
        <w:rPr>
          <w:rFonts w:ascii="Times New Roman;Times;Serif" w:hAnsi="Times New Roman;Times;Serif"/>
          <w:b w:val="false"/>
          <w:i w:val="false"/>
          <w:caps w:val="false"/>
          <w:smallCaps w:val="false"/>
          <w:color w:val="000000"/>
          <w:sz w:val="20"/>
        </w:rPr>
        <w:t>5,660,000 for the three and nine months ended September 30, 2023, respectively, and included the amortization of debt issuance costs and discount of $</w:t>
      </w:r>
      <w:bookmarkStart w:id="653" w:name="xdx_905_eus-gaap--AmortizationOfFinancin"/>
      <w:bookmarkEnd w:id="653"/>
      <w:r>
        <w:rPr>
          <w:rFonts w:ascii="Times New Roman;Times;Serif" w:hAnsi="Times New Roman;Times;Serif"/>
          <w:b w:val="false"/>
          <w:i w:val="false"/>
          <w:caps w:val="false"/>
          <w:smallCaps w:val="false"/>
          <w:color w:val="000000"/>
          <w:sz w:val="20"/>
        </w:rPr>
        <w:t>567,000 and $</w:t>
      </w:r>
      <w:bookmarkStart w:id="654" w:name="xdx_90D_eus-gaap--AmortizationOfFinancin"/>
      <w:bookmarkEnd w:id="654"/>
      <w:r>
        <w:rPr>
          <w:rFonts w:ascii="Times New Roman;Times;Serif" w:hAnsi="Times New Roman;Times;Serif"/>
          <w:b w:val="false"/>
          <w:i w:val="false"/>
          <w:caps w:val="false"/>
          <w:smallCaps w:val="false"/>
          <w:color w:val="000000"/>
          <w:sz w:val="20"/>
        </w:rPr>
        <w:t>1,093,000, respectively.</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HROWM - 11.875% Senior Notes Due 2027</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December 2022 and in January 2023, the Company closed an offering of $</w:t>
      </w:r>
      <w:bookmarkStart w:id="655" w:name="xdx_90A_eus-gaap--DebtInstrumentFaceAmou"/>
      <w:bookmarkEnd w:id="655"/>
      <w:r>
        <w:rPr>
          <w:rFonts w:ascii="Times New Roman;Times;Serif" w:hAnsi="Times New Roman;Times;Serif"/>
          <w:b w:val="false"/>
          <w:i w:val="false"/>
          <w:caps w:val="false"/>
          <w:smallCaps w:val="false"/>
          <w:color w:val="000000"/>
          <w:sz w:val="20"/>
        </w:rPr>
        <w:t>35,000,000 and $</w:t>
      </w:r>
      <w:bookmarkStart w:id="656" w:name="xdx_90C_eus-gaap--DebtInstrumentFaceAmou"/>
      <w:bookmarkEnd w:id="656"/>
      <w:r>
        <w:rPr>
          <w:rFonts w:ascii="Times New Roman;Times;Serif" w:hAnsi="Times New Roman;Times;Serif"/>
          <w:b w:val="false"/>
          <w:i w:val="false"/>
          <w:caps w:val="false"/>
          <w:smallCaps w:val="false"/>
          <w:color w:val="000000"/>
          <w:sz w:val="20"/>
        </w:rPr>
        <w:t xml:space="preserve">5,250,000, respectively, aggregate principal amount of </w:t>
      </w:r>
      <w:bookmarkStart w:id="657" w:name="xdx_906_eus-gaap--DebtInstrumentInterest"/>
      <w:bookmarkStart w:id="658" w:name="xdx_905_eus-gaap--DebtInstrumentInterest"/>
      <w:bookmarkEnd w:id="657"/>
      <w:bookmarkEnd w:id="658"/>
      <w:r>
        <w:rPr>
          <w:rFonts w:ascii="Times New Roman;Times;Serif" w:hAnsi="Times New Roman;Times;Serif"/>
          <w:b w:val="false"/>
          <w:i w:val="false"/>
          <w:caps w:val="false"/>
          <w:smallCaps w:val="false"/>
          <w:color w:val="000000"/>
          <w:sz w:val="20"/>
        </w:rPr>
        <w:t>11.875% senior notes due in December 2027 (the “2027 Notes”). The 2027 Notes were sold to investors at a par value of $</w:t>
      </w:r>
      <w:bookmarkStart w:id="659" w:name="xdx_906_eus-gaap--SharesIssuedPricePerSh"/>
      <w:bookmarkStart w:id="660" w:name="xdx_90A_eus-gaap--SharesIssuedPricePerSh"/>
      <w:bookmarkEnd w:id="659"/>
      <w:bookmarkEnd w:id="660"/>
      <w:r>
        <w:rPr>
          <w:rFonts w:ascii="Times New Roman;Times;Serif" w:hAnsi="Times New Roman;Times;Serif"/>
          <w:b w:val="false"/>
          <w:i w:val="false"/>
          <w:caps w:val="false"/>
          <w:smallCaps w:val="false"/>
          <w:color w:val="000000"/>
          <w:sz w:val="20"/>
        </w:rPr>
        <w:t>25.00 per 2027 Note, and the offering resulted in net proceeds to the Company of approximately $</w:t>
      </w:r>
      <w:bookmarkStart w:id="661" w:name="xdx_903_eus-gaap--ProceedsFromIssuanceOf"/>
      <w:bookmarkStart w:id="662" w:name="xdx_900_eus-gaap--ProceedsFromIssuanceOf"/>
      <w:bookmarkEnd w:id="661"/>
      <w:bookmarkEnd w:id="662"/>
      <w:r>
        <w:rPr>
          <w:rFonts w:ascii="Times New Roman;Times;Serif" w:hAnsi="Times New Roman;Times;Serif"/>
          <w:b w:val="false"/>
          <w:i w:val="false"/>
          <w:caps w:val="false"/>
          <w:smallCaps w:val="false"/>
          <w:color w:val="000000"/>
          <w:sz w:val="20"/>
        </w:rPr>
        <w:t>36,699,000 after deducting underwriting discounts and commissions and other offering expenses of $</w:t>
      </w:r>
      <w:bookmarkStart w:id="663" w:name="xdx_90C_eus-gaap--DebtInstrumentUnamorti"/>
      <w:bookmarkStart w:id="664" w:name="xdx_90C_eus-gaap--DebtInstrumentUnamorti"/>
      <w:bookmarkEnd w:id="663"/>
      <w:bookmarkEnd w:id="664"/>
      <w:r>
        <w:rPr>
          <w:rFonts w:ascii="Times New Roman;Times;Serif" w:hAnsi="Times New Roman;Times;Serif"/>
          <w:b w:val="false"/>
          <w:i w:val="false"/>
          <w:caps w:val="false"/>
          <w:smallCaps w:val="false"/>
          <w:color w:val="000000"/>
          <w:sz w:val="20"/>
        </w:rPr>
        <w:t>3,551,000.</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w:t>
      </w:r>
      <w:bookmarkStart w:id="665" w:name="xdx_900_eus-gaap--DebtInstrumentInterest"/>
      <w:bookmarkEnd w:id="665"/>
      <w:r>
        <w:rPr>
          <w:rFonts w:ascii="Times New Roman;Times;Serif" w:hAnsi="Times New Roman;Times;Serif"/>
          <w:b w:val="false"/>
          <w:i w:val="false"/>
          <w:caps w:val="false"/>
          <w:smallCaps w:val="false"/>
          <w:color w:val="000000"/>
          <w:sz w:val="20"/>
        </w:rPr>
        <w:t xml:space="preserve">11.875% per annum. Interest on the 2027 Notes is payable quarterly in arrears on January 31, April 30, July 31 and October 31 of each year, commencing on January 31, 2023. The 2027 Notes will mature on </w:t>
      </w:r>
      <w:bookmarkStart w:id="666" w:name="xdx_90F_eus-gaap--DebtInstrumentMaturity"/>
      <w:bookmarkEnd w:id="666"/>
      <w:r>
        <w:rPr>
          <w:rFonts w:ascii="Times New Roman;Times;Serif" w:hAnsi="Times New Roman;Times;Serif"/>
          <w:b w:val="false"/>
          <w:i w:val="false"/>
          <w:caps w:val="false"/>
          <w:smallCaps w:val="false"/>
          <w:color w:val="000000"/>
          <w:sz w:val="20"/>
        </w:rPr>
        <w:t>December 31, 2027.</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At any time prior to December 31, 2024, the Company may, at its option, redeem the 2027 Notes, in whole at any time or in part from time to time, at a </w:t>
      </w:r>
      <w:bookmarkStart w:id="667" w:name="xdx_90E_eus-gaap--DebtInstrumentRedempti"/>
      <w:bookmarkEnd w:id="667"/>
      <w:r>
        <w:rPr>
          <w:rFonts w:ascii="Times New Roman;Times;Serif" w:hAnsi="Times New Roman;Times;Serif"/>
          <w:b w:val="false"/>
          <w:i w:val="false"/>
          <w:caps w:val="false"/>
          <w:smallCaps w:val="false"/>
          <w:color w:val="000000"/>
          <w:sz w:val="20"/>
        </w:rPr>
        <w:t>redemption price equal to 100% of the principal amount of the 2027 Notes to be redeemed, plus a make-whole amount, if any, plus accrued and unpaid interest to, but excluding, the date of redemption. The Company may redeem the 2027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the occurrence of a Material Change, as defined in the Second Supplemental Indenture. The 2027 Notes trade on the Nasdaq Stock Market LLC under the symbol “HROWM.”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expense related to the 2027 Notes totaled $</w:t>
      </w:r>
      <w:bookmarkStart w:id="668" w:name="xdx_903_eus-gaap--InterestExpenseOtherLo"/>
      <w:bookmarkEnd w:id="668"/>
      <w:r>
        <w:rPr>
          <w:rFonts w:ascii="Times New Roman;Times;Serif" w:hAnsi="Times New Roman;Times;Serif"/>
          <w:b w:val="false"/>
          <w:i w:val="false"/>
          <w:caps w:val="false"/>
          <w:smallCaps w:val="false"/>
          <w:color w:val="000000"/>
          <w:sz w:val="20"/>
        </w:rPr>
        <w:t>1,375,000 and $</w:t>
      </w:r>
      <w:bookmarkStart w:id="669" w:name="xdx_904_eus-gaap--InterestExpenseOtherLo"/>
      <w:bookmarkEnd w:id="669"/>
      <w:r>
        <w:rPr>
          <w:rFonts w:ascii="Times New Roman;Times;Serif" w:hAnsi="Times New Roman;Times;Serif"/>
          <w:b w:val="false"/>
          <w:i w:val="false"/>
          <w:caps w:val="false"/>
          <w:smallCaps w:val="false"/>
          <w:color w:val="000000"/>
          <w:sz w:val="20"/>
        </w:rPr>
        <w:t>4,141,000 for the three and nine months ended September 30, 2023, respectively, and included amortization of debt issuance costs and debt discount of $</w:t>
      </w:r>
      <w:bookmarkStart w:id="670" w:name="xdx_906_eus-gaap--AmortizationOfFinancin"/>
      <w:bookmarkEnd w:id="670"/>
      <w:r>
        <w:rPr>
          <w:rFonts w:ascii="Times New Roman;Times;Serif" w:hAnsi="Times New Roman;Times;Serif"/>
          <w:b w:val="false"/>
          <w:i w:val="false"/>
          <w:caps w:val="false"/>
          <w:smallCaps w:val="false"/>
          <w:color w:val="000000"/>
          <w:sz w:val="20"/>
        </w:rPr>
        <w:t>180,000 and $</w:t>
      </w:r>
      <w:bookmarkStart w:id="671" w:name="xdx_907_eus-gaap--AmortizationOfFinancin"/>
      <w:bookmarkEnd w:id="671"/>
      <w:r>
        <w:rPr>
          <w:rFonts w:ascii="Times New Roman;Times;Serif" w:hAnsi="Times New Roman;Times;Serif"/>
          <w:b w:val="false"/>
          <w:i w:val="false"/>
          <w:caps w:val="false"/>
          <w:smallCaps w:val="false"/>
          <w:color w:val="000000"/>
          <w:sz w:val="20"/>
        </w:rPr>
        <w:t>556,000, respectively.</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Chief Executive Officer, Mark L. Baum, Chief Financial Officer, Andrew R. Boll, and former directors R. Lawrence Van Horn and Dr. Richard Lindstrom, in the aggregate, purchased $</w:t>
      </w:r>
      <w:bookmarkStart w:id="672" w:name="xdx_905_eus-gaap--DebtInstrumentFaceAmou"/>
      <w:bookmarkEnd w:id="672"/>
      <w:r>
        <w:rPr>
          <w:rFonts w:ascii="Times New Roman;Times;Serif" w:hAnsi="Times New Roman;Times;Serif"/>
          <w:b w:val="false"/>
          <w:i w:val="false"/>
          <w:caps w:val="false"/>
          <w:smallCaps w:val="false"/>
          <w:color w:val="000000"/>
          <w:sz w:val="20"/>
        </w:rPr>
        <w:t>950,000 in principal amount of the 2027 Notes at the time of their offering.</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HROWL – 8.625% Senior Notes Due 2026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April 2021, the Company closed an offering of $</w:t>
      </w:r>
      <w:bookmarkStart w:id="673" w:name="xdx_901_eus-gaap--DebtInstrumentFaceAmou"/>
      <w:bookmarkEnd w:id="673"/>
      <w:r>
        <w:rPr>
          <w:rFonts w:ascii="Times New Roman;Times;Serif" w:hAnsi="Times New Roman;Times;Serif"/>
          <w:b w:val="false"/>
          <w:i w:val="false"/>
          <w:caps w:val="false"/>
          <w:smallCaps w:val="false"/>
          <w:color w:val="000000"/>
          <w:sz w:val="20"/>
        </w:rPr>
        <w:t xml:space="preserve">50,000,000 aggregate principal amount of </w:t>
      </w:r>
      <w:bookmarkStart w:id="674" w:name="xdx_906_eus-gaap--DebtInstrumentInterest"/>
      <w:bookmarkEnd w:id="674"/>
      <w:r>
        <w:rPr>
          <w:rFonts w:ascii="Times New Roman;Times;Serif" w:hAnsi="Times New Roman;Times;Serif"/>
          <w:b w:val="false"/>
          <w:i w:val="false"/>
          <w:caps w:val="false"/>
          <w:smallCaps w:val="false"/>
          <w:color w:val="000000"/>
          <w:sz w:val="20"/>
        </w:rPr>
        <w:t>8.625% senior notes due April 2026, and in May 2021 issued an additional $</w:t>
      </w:r>
      <w:bookmarkStart w:id="675" w:name="xdx_90A_eus-gaap--DebtInstrumentIncrease"/>
      <w:bookmarkEnd w:id="675"/>
      <w:r>
        <w:rPr>
          <w:rFonts w:ascii="Times New Roman;Times;Serif" w:hAnsi="Times New Roman;Times;Serif"/>
          <w:b w:val="false"/>
          <w:i w:val="false"/>
          <w:caps w:val="false"/>
          <w:smallCaps w:val="false"/>
          <w:color w:val="000000"/>
          <w:sz w:val="20"/>
        </w:rPr>
        <w:t>5,000,000 of such notes pursuant to the full exercise of the underwriters’ option to purchase additional notes (collectively, the “April Notes”). The April Notes were sold to investors at a par value of $</w:t>
      </w:r>
      <w:bookmarkStart w:id="676" w:name="xdx_90A_eus-gaap--SharesIssuedPricePerSh"/>
      <w:bookmarkEnd w:id="676"/>
      <w:r>
        <w:rPr>
          <w:rFonts w:ascii="Times New Roman;Times;Serif" w:hAnsi="Times New Roman;Times;Serif"/>
          <w:b w:val="false"/>
          <w:i w:val="false"/>
          <w:caps w:val="false"/>
          <w:smallCaps w:val="false"/>
          <w:color w:val="000000"/>
          <w:sz w:val="20"/>
        </w:rPr>
        <w:t>25.00 per April Note and the offering resulted in net proceeds to the Company of approximately $</w:t>
      </w:r>
      <w:bookmarkStart w:id="677" w:name="xdx_900_eus-gaap--ProceedsFromIssuanceOf"/>
      <w:bookmarkEnd w:id="677"/>
      <w:r>
        <w:rPr>
          <w:rFonts w:ascii="Times New Roman;Times;Serif" w:hAnsi="Times New Roman;Times;Serif"/>
          <w:b w:val="false"/>
          <w:i w:val="false"/>
          <w:caps w:val="false"/>
          <w:smallCaps w:val="false"/>
          <w:color w:val="000000"/>
          <w:sz w:val="20"/>
        </w:rPr>
        <w:t>51,909,000 after deducting underwriting discounts and commissions and other offering expenses of $</w:t>
      </w:r>
      <w:bookmarkStart w:id="678" w:name="xdx_903_eus-gaap--DebtInstrumentUnamorti"/>
      <w:bookmarkEnd w:id="678"/>
      <w:r>
        <w:rPr>
          <w:rFonts w:ascii="Times New Roman;Times;Serif" w:hAnsi="Times New Roman;Times;Serif"/>
          <w:b w:val="false"/>
          <w:i w:val="false"/>
          <w:caps w:val="false"/>
          <w:smallCaps w:val="false"/>
          <w:color w:val="000000"/>
          <w:sz w:val="20"/>
        </w:rPr>
        <w:t>3,091,000. In September 2021, in a further issuance of the April Notes, the Company sold an additional $</w:t>
      </w:r>
      <w:bookmarkStart w:id="679" w:name="xdx_90A_eus-gaap--DebtInstrumentIncrease"/>
      <w:bookmarkEnd w:id="679"/>
      <w:r>
        <w:rPr>
          <w:rFonts w:ascii="Times New Roman;Times;Serif" w:hAnsi="Times New Roman;Times;Serif"/>
          <w:b w:val="false"/>
          <w:i w:val="false"/>
          <w:caps w:val="false"/>
          <w:smallCaps w:val="false"/>
          <w:color w:val="000000"/>
          <w:sz w:val="20"/>
        </w:rPr>
        <w:t>20,000,000 aggregate principal amount of such notes (the “September Notes,” and together with the April Notes, the “2026 Notes”), at a price of $</w:t>
      </w:r>
      <w:bookmarkStart w:id="680" w:name="xdx_907_eus-gaap--SharesIssuedPricePerSh"/>
      <w:bookmarkEnd w:id="680"/>
      <w:r>
        <w:rPr>
          <w:rFonts w:ascii="Times New Roman;Times;Serif" w:hAnsi="Times New Roman;Times;Serif"/>
          <w:b w:val="false"/>
          <w:i w:val="false"/>
          <w:caps w:val="false"/>
          <w:smallCaps w:val="false"/>
          <w:color w:val="000000"/>
          <w:sz w:val="20"/>
        </w:rPr>
        <w:t>25.75 per September Note, with interest of $</w:t>
      </w:r>
      <w:bookmarkStart w:id="681" w:name="xdx_905_eus-gaap--InterestExpenseDebt_c2"/>
      <w:bookmarkEnd w:id="681"/>
      <w:r>
        <w:rPr>
          <w:rFonts w:ascii="Times New Roman;Times;Serif" w:hAnsi="Times New Roman;Times;Serif"/>
          <w:b w:val="false"/>
          <w:i w:val="false"/>
          <w:caps w:val="false"/>
          <w:smallCaps w:val="false"/>
          <w:color w:val="000000"/>
          <w:sz w:val="20"/>
        </w:rPr>
        <w:t>278,000 on the September Notes being accrued from April 20, 2021, the date of issuance of the April Notes. The September offering resulted in net proceeds to the Company of approximately $</w:t>
      </w:r>
      <w:bookmarkStart w:id="682" w:name="xdx_90A_eus-gaap--ProceedsFromIssuanceOf"/>
      <w:bookmarkEnd w:id="682"/>
      <w:r>
        <w:rPr>
          <w:rFonts w:ascii="Times New Roman;Times;Serif" w:hAnsi="Times New Roman;Times;Serif"/>
          <w:b w:val="false"/>
          <w:i w:val="false"/>
          <w:caps w:val="false"/>
          <w:smallCaps w:val="false"/>
          <w:color w:val="000000"/>
          <w:sz w:val="20"/>
        </w:rPr>
        <w:t>19,164,000 after deducting underwriting discounts and commissions and other offering expenses of $</w:t>
      </w:r>
      <w:bookmarkStart w:id="683" w:name="xdx_90F_eus-gaap--DebtInstrumentUnamorti"/>
      <w:bookmarkEnd w:id="683"/>
      <w:r>
        <w:rPr>
          <w:rFonts w:ascii="Times New Roman;Times;Serif" w:hAnsi="Times New Roman;Times;Serif"/>
          <w:b w:val="false"/>
          <w:i w:val="false"/>
          <w:caps w:val="false"/>
          <w:smallCaps w:val="false"/>
          <w:color w:val="000000"/>
          <w:sz w:val="20"/>
        </w:rPr>
        <w:t>1,158,000 and a premium on note issuance of $</w:t>
      </w:r>
      <w:bookmarkStart w:id="684" w:name="xdx_90E_eus-gaap--DebtInstrumentUnamorti"/>
      <w:bookmarkEnd w:id="684"/>
      <w:r>
        <w:rPr>
          <w:rFonts w:ascii="Times New Roman;Times;Serif" w:hAnsi="Times New Roman;Times;Serif"/>
          <w:b w:val="false"/>
          <w:i w:val="false"/>
          <w:caps w:val="false"/>
          <w:smallCaps w:val="false"/>
          <w:color w:val="000000"/>
          <w:sz w:val="20"/>
        </w:rPr>
        <w:t xml:space="preserve">322,000. The September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our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w:t>
      </w:r>
      <w:bookmarkStart w:id="685" w:name="xdx_90A_eus-gaap--DebtInstrumentInterest"/>
      <w:bookmarkEnd w:id="685"/>
      <w:r>
        <w:rPr>
          <w:rFonts w:ascii="Times New Roman;Times;Serif" w:hAnsi="Times New Roman;Times;Serif"/>
          <w:b w:val="false"/>
          <w:i w:val="false"/>
          <w:caps w:val="false"/>
          <w:smallCaps w:val="false"/>
          <w:color w:val="000000"/>
          <w:sz w:val="20"/>
        </w:rPr>
        <w:t xml:space="preserve">8.625% per annum. Interest on the 2026 Notes is payable quarterly in arrears on January 31, April 30, July 31 and October 31 of each year, commencing on July 31, 2021. The 2026 Notes will mature on </w:t>
      </w:r>
      <w:bookmarkStart w:id="686" w:name="xdx_90C_eus-gaap--DebtInstrumentMaturity"/>
      <w:bookmarkEnd w:id="686"/>
      <w:r>
        <w:rPr>
          <w:rFonts w:ascii="Times New Roman;Times;Serif" w:hAnsi="Times New Roman;Times;Serif"/>
          <w:b w:val="false"/>
          <w:i w:val="false"/>
          <w:caps w:val="false"/>
          <w:smallCaps w:val="false"/>
          <w:color w:val="000000"/>
          <w:sz w:val="20"/>
        </w:rPr>
        <w:t>April 30, 2026. The issuance costs were recorded as a debt discount and are being amortized as interest expense, net of the amortization of the premium on note issuance, over the term of the 2026 Notes using the effective interest rate method</w:t>
      </w:r>
      <w:r>
        <w:rPr>
          <w:rFonts w:ascii="Times New Roman;Times;Serif" w:hAnsi="Times New Roman;Times;Serif"/>
          <w:b w:val="false"/>
          <w:i w:val="false"/>
          <w:caps w:val="false"/>
          <w:smallCaps w:val="false"/>
          <w:color w:val="000000"/>
          <w:sz w:val="20"/>
          <w:shd w:fill="FFFFFF" w:val="clear"/>
        </w:rPr>
        <w: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Prior to February 1, 2026, the Company may, at its option, redeem the 2026 Notes, in whole at any time or in part from time to time, at a</w:t>
      </w:r>
      <w:bookmarkStart w:id="687" w:name="xdx_90C_eus-gaap--DebtInstrumentRedempti"/>
      <w:bookmarkEnd w:id="687"/>
      <w:r>
        <w:rPr>
          <w:rFonts w:ascii="Times New Roman;Times;Serif" w:hAnsi="Times New Roman;Times;Serif"/>
          <w:b w:val="false"/>
          <w:i w:val="false"/>
          <w:caps w:val="false"/>
          <w:smallCaps w:val="false"/>
          <w:color w:val="000000"/>
          <w:sz w:val="20"/>
        </w:rPr>
        <w:t xml:space="preserve"> redemption price equal to 100% of the principal amount of the 2026 Notes to be redeemed, plus a make-whole amount, if any, plus accrued and unpaid interest to, but excluding, the date of redemption. The Company may redeem the 2026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expense related to the 2026 Notes totaled $</w:t>
      </w:r>
      <w:bookmarkStart w:id="688" w:name="xdx_90C_eus-gaap--InterestExpenseOtherLo"/>
      <w:bookmarkEnd w:id="688"/>
      <w:r>
        <w:rPr>
          <w:rFonts w:ascii="Times New Roman;Times;Serif" w:hAnsi="Times New Roman;Times;Serif"/>
          <w:b w:val="false"/>
          <w:i w:val="false"/>
          <w:caps w:val="false"/>
          <w:smallCaps w:val="false"/>
          <w:color w:val="000000"/>
          <w:sz w:val="20"/>
        </w:rPr>
        <w:t>1,814,000 and $</w:t>
      </w:r>
      <w:bookmarkStart w:id="689" w:name="xdx_903_eus-gaap--InterestExpenseOtherLo"/>
      <w:bookmarkEnd w:id="689"/>
      <w:r>
        <w:rPr>
          <w:rFonts w:ascii="Times New Roman;Times;Serif" w:hAnsi="Times New Roman;Times;Serif"/>
          <w:b w:val="false"/>
          <w:i w:val="false"/>
          <w:caps w:val="false"/>
          <w:smallCaps w:val="false"/>
          <w:color w:val="000000"/>
          <w:sz w:val="20"/>
        </w:rPr>
        <w:t>5,436,000 and $</w:t>
      </w:r>
      <w:bookmarkStart w:id="690" w:name="xdx_902_eus-gaap--InterestExpenseOtherLo"/>
      <w:bookmarkEnd w:id="690"/>
      <w:r>
        <w:rPr>
          <w:rFonts w:ascii="Times New Roman;Times;Serif" w:hAnsi="Times New Roman;Times;Serif"/>
          <w:b w:val="false"/>
          <w:i w:val="false"/>
          <w:caps w:val="false"/>
          <w:smallCaps w:val="false"/>
          <w:color w:val="000000"/>
          <w:sz w:val="20"/>
        </w:rPr>
        <w:t>1,814,000 and $</w:t>
      </w:r>
      <w:bookmarkStart w:id="691" w:name="xdx_904_eus-gaap--InterestExpenseOtherLo"/>
      <w:bookmarkEnd w:id="691"/>
      <w:r>
        <w:rPr>
          <w:rFonts w:ascii="Times New Roman;Times;Serif" w:hAnsi="Times New Roman;Times;Serif"/>
          <w:b w:val="false"/>
          <w:i w:val="false"/>
          <w:caps w:val="false"/>
          <w:smallCaps w:val="false"/>
          <w:color w:val="000000"/>
          <w:sz w:val="20"/>
        </w:rPr>
        <w:t>5,436,000 for the three and nine months ended September 30, 2023 and 2022, respectively, and included amortization of debt issuance costs and discounts of $</w:t>
      </w:r>
      <w:bookmarkStart w:id="692" w:name="xdx_903_eus-gaap--AmortizationOfFinancin"/>
      <w:bookmarkEnd w:id="692"/>
      <w:r>
        <w:rPr>
          <w:rFonts w:ascii="Times New Roman;Times;Serif" w:hAnsi="Times New Roman;Times;Serif"/>
          <w:b w:val="false"/>
          <w:i w:val="false"/>
          <w:caps w:val="false"/>
          <w:smallCaps w:val="false"/>
          <w:color w:val="000000"/>
          <w:sz w:val="20"/>
        </w:rPr>
        <w:t>197,000 and $</w:t>
      </w:r>
      <w:bookmarkStart w:id="693" w:name="xdx_906_eus-gaap--AmortizationOfFinancin"/>
      <w:bookmarkEnd w:id="693"/>
      <w:r>
        <w:rPr>
          <w:rFonts w:ascii="Times New Roman;Times;Serif" w:hAnsi="Times New Roman;Times;Serif"/>
          <w:b w:val="false"/>
          <w:i w:val="false"/>
          <w:caps w:val="false"/>
          <w:smallCaps w:val="false"/>
          <w:color w:val="000000"/>
          <w:sz w:val="20"/>
        </w:rPr>
        <w:t>585,000 and $</w:t>
      </w:r>
      <w:bookmarkStart w:id="694" w:name="xdx_906_eus-gaap--AmortizationOfFinancin"/>
      <w:bookmarkEnd w:id="694"/>
      <w:r>
        <w:rPr>
          <w:rFonts w:ascii="Times New Roman;Times;Serif" w:hAnsi="Times New Roman;Times;Serif"/>
          <w:b w:val="false"/>
          <w:i w:val="false"/>
          <w:caps w:val="false"/>
          <w:smallCaps w:val="false"/>
          <w:color w:val="000000"/>
          <w:sz w:val="20"/>
        </w:rPr>
        <w:t>197,000 and $</w:t>
      </w:r>
      <w:bookmarkStart w:id="695" w:name="xdx_908_eus-gaap--AmortizationOfFinancin"/>
      <w:bookmarkEnd w:id="695"/>
      <w:r>
        <w:rPr>
          <w:rFonts w:ascii="Times New Roman;Times;Serif" w:hAnsi="Times New Roman;Times;Serif"/>
          <w:b w:val="false"/>
          <w:i w:val="false"/>
          <w:caps w:val="false"/>
          <w:smallCaps w:val="false"/>
          <w:color w:val="000000"/>
          <w:sz w:val="20"/>
        </w:rPr>
        <w:t>585,000 for three and nine months ended September 30, 2023 and 2022, respectively.</w:t>
      </w:r>
    </w:p>
    <w:p>
      <w:pPr>
        <w:pStyle w:val="TextBody"/>
        <w:shd w:fill="FFFFFF" w:val="clear"/>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br/>
        <w:t>B. Riley Loan and Security Agreement – Paid in Full</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December 14, 2022 (the “Effective Date”), the Company entered into a Loan and Security Agreement (the “BR Loan”) with B. Riley Commercial Capital, LLC, as administrative agent for the lenders. The BR Loan provided for a loan facility of up to $</w:t>
      </w:r>
      <w:bookmarkStart w:id="696" w:name="xdx_906_eus-gaap--DebtInstrumentFaceAmou"/>
      <w:bookmarkEnd w:id="696"/>
      <w:r>
        <w:rPr>
          <w:rFonts w:ascii="Times New Roman;Times;Serif" w:hAnsi="Times New Roman;Times;Serif"/>
          <w:b w:val="false"/>
          <w:i w:val="false"/>
          <w:caps w:val="false"/>
          <w:smallCaps w:val="false"/>
          <w:color w:val="000000"/>
          <w:sz w:val="20"/>
        </w:rPr>
        <w:t xml:space="preserve">100,000,000 to the Company with a maturity date of </w:t>
      </w:r>
      <w:bookmarkStart w:id="697" w:name="xdx_902_eus-gaap--DebtInstrumentMaturity"/>
      <w:bookmarkEnd w:id="697"/>
      <w:r>
        <w:rPr>
          <w:rFonts w:ascii="Times New Roman;Times;Serif" w:hAnsi="Times New Roman;Times;Serif"/>
          <w:b w:val="false"/>
          <w:i w:val="false"/>
          <w:caps w:val="false"/>
          <w:smallCaps w:val="false"/>
          <w:color w:val="000000"/>
          <w:sz w:val="20"/>
        </w:rPr>
        <w:t xml:space="preserve">December 14, 2025 (the “Maturity Date”), at an interest rate of </w:t>
      </w:r>
      <w:bookmarkStart w:id="698" w:name="xdx_902_eus-gaap--DebtInstrumentInterest"/>
      <w:bookmarkEnd w:id="698"/>
      <w:r>
        <w:rPr>
          <w:rFonts w:ascii="Times New Roman;Times;Serif" w:hAnsi="Times New Roman;Times;Serif"/>
          <w:b w:val="false"/>
          <w:i w:val="false"/>
          <w:caps w:val="false"/>
          <w:smallCaps w:val="false"/>
          <w:color w:val="000000"/>
          <w:sz w:val="20"/>
        </w:rPr>
        <w:t>10.875% per annum.</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BR Loan was secured by an intellectual property security agreement entered into in connection with the BR Loan, and by all assets of the Company and its material subsidiaries. The outstanding balance of the BR Loan was due in full on the Maturity Date. The BR Loan provided for voluntary prepayment subject to no prepayment fee if no loan amount had been funded or the prepayment or repayment occurred (other than as a result of acceleration of the BR Loan) on or prior to the date that was 90 days following the Effective Date and up to </w:t>
      </w:r>
      <w:bookmarkStart w:id="699" w:name="xdx_90E_eus-gaap--DebtInstrumentInterest"/>
      <w:bookmarkEnd w:id="699"/>
      <w:r>
        <w:rPr>
          <w:rFonts w:ascii="Times New Roman;Times;Serif" w:hAnsi="Times New Roman;Times;Serif"/>
          <w:b w:val="false"/>
          <w:i w:val="false"/>
          <w:caps w:val="false"/>
          <w:smallCaps w:val="false"/>
          <w:color w:val="000000"/>
          <w:sz w:val="20"/>
        </w:rPr>
        <w:t>3.00% of the amount of the BR Loan based on other payment dates.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January 2023, $</w:t>
      </w:r>
      <w:bookmarkStart w:id="700" w:name="xdx_901_eus-gaap--DebtInstrumentFaceAmou"/>
      <w:bookmarkEnd w:id="700"/>
      <w:r>
        <w:rPr>
          <w:rFonts w:ascii="Times New Roman;Times;Serif" w:hAnsi="Times New Roman;Times;Serif"/>
          <w:b w:val="false"/>
          <w:i w:val="false"/>
          <w:caps w:val="false"/>
          <w:smallCaps w:val="false"/>
          <w:color w:val="000000"/>
          <w:sz w:val="20"/>
        </w:rPr>
        <w:t>59,750,000 of principal amount was funded pursuant to the BR Loan simultaneously with the consummation of the Fab 5 Acquisition (see Note 4). In March 2023, the Company repaid all amounts owed under the BR Loan, in connection with the Oaktree Loan, and no exit or prepayment fees were paid as a result of the payoff of the BR Loan pursuant to a side letter agreement among the parties.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expense related to the BR Loan totaled $</w:t>
      </w:r>
      <w:bookmarkStart w:id="701" w:name="xdx_90D_eus-gaap--InterestExpenseOtherLo"/>
      <w:bookmarkEnd w:id="701"/>
      <w:r>
        <w:rPr>
          <w:rFonts w:ascii="Times New Roman;Times;Serif" w:hAnsi="Times New Roman;Times;Serif"/>
          <w:b w:val="false"/>
          <w:i w:val="false"/>
          <w:caps w:val="false"/>
          <w:smallCaps w:val="false"/>
          <w:color w:val="000000"/>
          <w:sz w:val="20"/>
        </w:rPr>
        <w:t>1,565,000 for the nine months ended September 30, 2023, and included amortization of debt issuance costs and debt discount of $</w:t>
      </w:r>
      <w:bookmarkStart w:id="702" w:name="xdx_904_eus-gaap--AmortizationOfFinancin"/>
      <w:bookmarkEnd w:id="702"/>
      <w:r>
        <w:rPr>
          <w:rFonts w:ascii="Times New Roman;Times;Serif" w:hAnsi="Times New Roman;Times;Serif"/>
          <w:b w:val="false"/>
          <w:i w:val="false"/>
          <w:caps w:val="false"/>
          <w:smallCaps w:val="false"/>
          <w:color w:val="000000"/>
          <w:sz w:val="20"/>
        </w:rPr>
        <w:t>356,000. The Company recorded a loss of $</w:t>
      </w:r>
      <w:bookmarkStart w:id="703" w:name="xdx_90F_eus-gaap--ExtinguishmentOfDebtAm"/>
      <w:bookmarkEnd w:id="703"/>
      <w:r>
        <w:rPr>
          <w:rFonts w:ascii="Times New Roman;Times;Serif" w:hAnsi="Times New Roman;Times;Serif"/>
          <w:b w:val="false"/>
          <w:i w:val="false"/>
          <w:caps w:val="false"/>
          <w:smallCaps w:val="false"/>
          <w:color w:val="000000"/>
          <w:sz w:val="20"/>
        </w:rPr>
        <w:t>5,465,000 related to the early extinguishment of debt associated with the BR Loan.</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bookmarkStart w:id="704" w:name="xdx_894_eus-gaap--ScheduleOfDebtInstrume"/>
      <w:bookmarkEnd w:id="704"/>
      <w:r>
        <w:rPr>
          <w:rFonts w:ascii="Times New Roman;Times;Serif" w:hAnsi="Times New Roman;Times;Serif"/>
          <w:b w:val="false"/>
          <w:i w:val="false"/>
          <w:caps w:val="false"/>
          <w:smallCaps w:val="false"/>
          <w:color w:val="000000"/>
          <w:sz w:val="20"/>
        </w:rPr>
        <w:t>A summary of the Company’s debt at September 30, 2023 and December 31, 2022 is described as follows: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bookmarkStart w:id="705" w:name="xdx_8BE_z4MKbCAXsOMl"/>
      <w:bookmarkEnd w:id="705"/>
      <w:r>
        <w:rPr>
          <w:rFonts w:ascii="Times New Roman;Times;Serif" w:hAnsi="Times New Roman;Times;Serif"/>
          <w:b w:val="false"/>
          <w:i w:val="false"/>
          <w:caps w:val="false"/>
          <w:smallCaps w:val="false"/>
          <w:color w:val="000000"/>
          <w:sz w:val="20"/>
        </w:rPr>
        <w:t>SCHEDULE OF LONG TERM DEBT</w:t>
      </w:r>
    </w:p>
    <w:tbl>
      <w:tblPr>
        <w:tblW w:w="7433" w:type="dxa"/>
        <w:jc w:val="left"/>
        <w:tblInd w:w="0" w:type="dxa"/>
        <w:tblLayout w:type="fixed"/>
        <w:tblCellMar>
          <w:top w:w="0" w:type="dxa"/>
          <w:left w:w="0" w:type="dxa"/>
          <w:bottom w:w="0" w:type="dxa"/>
          <w:right w:w="0" w:type="dxa"/>
        </w:tblCellMar>
      </w:tblPr>
      <w:tblGrid>
        <w:gridCol w:w="4220"/>
        <w:gridCol w:w="60"/>
        <w:gridCol w:w="151"/>
        <w:gridCol w:w="1323"/>
        <w:gridCol w:w="95"/>
        <w:gridCol w:w="60"/>
        <w:gridCol w:w="145"/>
        <w:gridCol w:w="1269"/>
        <w:gridCol w:w="110"/>
      </w:tblGrid>
      <w:tr>
        <w:trPr/>
        <w:tc>
          <w:tcPr>
            <w:tcW w:w="42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706" w:name="xdx_490_20230930_zwBdhocrn1j4"/>
            <w:bookmarkEnd w:id="706"/>
          </w:p>
        </w:tc>
        <w:tc>
          <w:tcPr>
            <w:tcW w:w="1474" w:type="dxa"/>
            <w:gridSpan w:val="2"/>
            <w:tcBorders/>
            <w:vAlign w:val="center"/>
          </w:tcPr>
          <w:p>
            <w:pPr>
              <w:pStyle w:val="TableContents"/>
              <w:bidi w:val="0"/>
              <w:spacing w:before="0" w:after="283"/>
              <w:jc w:val="center"/>
              <w:rPr>
                <w:b/>
                <w:color w:val="000000"/>
              </w:rPr>
            </w:pPr>
            <w:r>
              <w:rPr>
                <w:b/>
                <w:color w:val="000000"/>
              </w:rPr>
              <w:t>September 30,</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707" w:name="xdx_494_20221231_z52ZQUEYUqg"/>
            <w:bookmarkEnd w:id="707"/>
          </w:p>
        </w:tc>
        <w:tc>
          <w:tcPr>
            <w:tcW w:w="1414" w:type="dxa"/>
            <w:gridSpan w:val="2"/>
            <w:tcBorders/>
            <w:vAlign w:val="center"/>
          </w:tcPr>
          <w:p>
            <w:pPr>
              <w:pStyle w:val="TableContents"/>
              <w:bidi w:val="0"/>
              <w:spacing w:before="0" w:after="283"/>
              <w:jc w:val="center"/>
              <w:rPr>
                <w:b/>
                <w:color w:val="000000"/>
              </w:rPr>
            </w:pPr>
            <w:r>
              <w:rPr>
                <w:b/>
                <w:color w:val="000000"/>
              </w:rPr>
              <w:t>December 31,</w:t>
            </w:r>
          </w:p>
        </w:tc>
        <w:tc>
          <w:tcPr>
            <w:tcW w:w="110" w:type="dxa"/>
            <w:tcBorders/>
            <w:vAlign w:val="center"/>
          </w:tcPr>
          <w:p>
            <w:pPr>
              <w:pStyle w:val="TableContents"/>
              <w:bidi w:val="0"/>
              <w:spacing w:before="0" w:after="283"/>
              <w:jc w:val="left"/>
              <w:rPr>
                <w:color w:val="000000"/>
              </w:rPr>
            </w:pPr>
            <w:r>
              <w:rPr>
                <w:color w:val="000000"/>
              </w:rPr>
              <w:t> </w:t>
            </w:r>
          </w:p>
        </w:tc>
      </w:tr>
      <w:tr>
        <w:trPr/>
        <w:tc>
          <w:tcPr>
            <w:tcW w:w="42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bookmarkStart w:id="708" w:name="xdx_40B_eus-gaap--DebtInstrumentCarrying"/>
            <w:bookmarkEnd w:id="708"/>
          </w:p>
        </w:tc>
      </w:tr>
      <w:tr>
        <w:trPr/>
        <w:tc>
          <w:tcPr>
            <w:tcW w:w="4220" w:type="dxa"/>
            <w:tcBorders/>
            <w:shd w:fill="CCEEFF" w:val="clear"/>
            <w:vAlign w:val="center"/>
          </w:tcPr>
          <w:p>
            <w:pPr>
              <w:pStyle w:val="TableContents"/>
              <w:bidi w:val="0"/>
              <w:spacing w:before="0" w:after="283"/>
              <w:jc w:val="left"/>
              <w:rPr>
                <w:color w:val="000000"/>
              </w:rPr>
            </w:pPr>
            <w:r>
              <w:rPr>
                <w:color w:val="000000"/>
              </w:rPr>
              <w:t>8.625% Senior Notes, due April 2026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shd w:fill="CCEEFF" w:val="clear"/>
            <w:vAlign w:val="center"/>
          </w:tcPr>
          <w:p>
            <w:pPr>
              <w:pStyle w:val="TableContents"/>
              <w:bidi w:val="0"/>
              <w:spacing w:before="0" w:after="283"/>
              <w:jc w:val="left"/>
              <w:rPr>
                <w:color w:val="000000"/>
              </w:rPr>
            </w:pPr>
            <w:r>
              <w:rPr>
                <w:color w:val="000000"/>
              </w:rPr>
              <w:t>$</w:t>
            </w:r>
          </w:p>
        </w:tc>
        <w:tc>
          <w:tcPr>
            <w:tcW w:w="1323" w:type="dxa"/>
            <w:tcBorders/>
            <w:shd w:fill="CCEEFF" w:val="clear"/>
            <w:vAlign w:val="center"/>
          </w:tcPr>
          <w:p>
            <w:pPr>
              <w:pStyle w:val="TableContents"/>
              <w:bidi w:val="0"/>
              <w:spacing w:before="0" w:after="283"/>
              <w:jc w:val="right"/>
              <w:rPr>
                <w:color w:val="000000"/>
              </w:rPr>
            </w:pPr>
            <w:r>
              <w:rPr>
                <w:color w:val="000000"/>
              </w:rPr>
              <w:t>75,000,000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shd w:fill="CCEEFF" w:val="clear"/>
            <w:vAlign w:val="center"/>
          </w:tcPr>
          <w:p>
            <w:pPr>
              <w:pStyle w:val="TableContents"/>
              <w:bidi w:val="0"/>
              <w:spacing w:before="0" w:after="283"/>
              <w:jc w:val="left"/>
              <w:rPr>
                <w:color w:val="000000"/>
              </w:rPr>
            </w:pPr>
            <w:r>
              <w:rPr>
                <w:color w:val="000000"/>
              </w:rPr>
              <w:t>$</w:t>
            </w:r>
          </w:p>
        </w:tc>
        <w:tc>
          <w:tcPr>
            <w:tcW w:w="1269" w:type="dxa"/>
            <w:tcBorders/>
            <w:shd w:fill="CCEEFF" w:val="clear"/>
            <w:vAlign w:val="center"/>
          </w:tcPr>
          <w:p>
            <w:pPr>
              <w:pStyle w:val="TableContents"/>
              <w:bidi w:val="0"/>
              <w:spacing w:before="0" w:after="283"/>
              <w:jc w:val="right"/>
              <w:rPr>
                <w:color w:val="000000"/>
              </w:rPr>
            </w:pPr>
            <w:r>
              <w:rPr>
                <w:color w:val="000000"/>
              </w:rPr>
              <w:t>75,000,000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09" w:name="xdx_40E_eus-gaap--DebtInstrumentCarrying"/>
            <w:bookmarkEnd w:id="709"/>
          </w:p>
        </w:tc>
      </w:tr>
      <w:tr>
        <w:trPr/>
        <w:tc>
          <w:tcPr>
            <w:tcW w:w="4220" w:type="dxa"/>
            <w:tcBorders/>
            <w:shd w:fill="FFFFFF" w:val="clear"/>
            <w:vAlign w:val="center"/>
          </w:tcPr>
          <w:p>
            <w:pPr>
              <w:pStyle w:val="TableContents"/>
              <w:bidi w:val="0"/>
              <w:spacing w:before="0" w:after="283"/>
              <w:jc w:val="left"/>
              <w:rPr>
                <w:color w:val="000000"/>
              </w:rPr>
            </w:pPr>
            <w:r>
              <w:rPr>
                <w:color w:val="000000"/>
              </w:rPr>
              <w:t>11.875% Senior Notes, due December 2027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1323" w:type="dxa"/>
            <w:tcBorders/>
            <w:shd w:fill="FFFFFF" w:val="clear"/>
            <w:vAlign w:val="center"/>
          </w:tcPr>
          <w:p>
            <w:pPr>
              <w:pStyle w:val="TableContents"/>
              <w:bidi w:val="0"/>
              <w:spacing w:before="0" w:after="283"/>
              <w:jc w:val="right"/>
              <w:rPr>
                <w:color w:val="000000"/>
              </w:rPr>
            </w:pPr>
            <w:r>
              <w:rPr>
                <w:color w:val="000000"/>
              </w:rPr>
              <w:t>40,250,000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shd w:fill="FFFFFF" w:val="clear"/>
            <w:vAlign w:val="center"/>
          </w:tcPr>
          <w:p>
            <w:pPr>
              <w:pStyle w:val="TableContents"/>
              <w:bidi w:val="0"/>
              <w:spacing w:before="0" w:after="283"/>
              <w:jc w:val="left"/>
              <w:rPr>
                <w:color w:val="000000"/>
              </w:rPr>
            </w:pPr>
            <w:r>
              <w:rPr>
                <w:color w:val="000000"/>
              </w:rPr>
              <w:t> </w:t>
            </w:r>
          </w:p>
        </w:tc>
        <w:tc>
          <w:tcPr>
            <w:tcW w:w="1269" w:type="dxa"/>
            <w:tcBorders/>
            <w:shd w:fill="FFFFFF" w:val="clear"/>
            <w:vAlign w:val="center"/>
          </w:tcPr>
          <w:p>
            <w:pPr>
              <w:pStyle w:val="TableContents"/>
              <w:bidi w:val="0"/>
              <w:spacing w:before="0" w:after="283"/>
              <w:jc w:val="right"/>
              <w:rPr>
                <w:color w:val="000000"/>
              </w:rPr>
            </w:pPr>
            <w:r>
              <w:rPr>
                <w:color w:val="000000"/>
              </w:rPr>
              <w:t>35,000,000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10" w:name="xdx_405_eus-gaap--DebtInstrumentCarrying"/>
            <w:bookmarkEnd w:id="710"/>
          </w:p>
        </w:tc>
      </w:tr>
      <w:tr>
        <w:trPr/>
        <w:tc>
          <w:tcPr>
            <w:tcW w:w="4220" w:type="dxa"/>
            <w:tcBorders/>
            <w:shd w:fill="CCEEFF" w:val="clear"/>
            <w:vAlign w:val="center"/>
          </w:tcPr>
          <w:p>
            <w:pPr>
              <w:pStyle w:val="TableContents"/>
              <w:bidi w:val="0"/>
              <w:spacing w:before="0" w:after="283"/>
              <w:jc w:val="left"/>
              <w:rPr>
                <w:color w:val="000000"/>
              </w:rPr>
            </w:pPr>
            <w:r>
              <w:rPr>
                <w:color w:val="000000"/>
              </w:rPr>
              <w:t>Oaktree Loan, due January 2026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77,500,000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11" w:name="xdx_400_eus-gaap--DebtInstrumentCarrying"/>
            <w:bookmarkEnd w:id="711"/>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Notes payable gross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shd w:fill="FFFFFF" w:val="clear"/>
            <w:vAlign w:val="center"/>
          </w:tcPr>
          <w:p>
            <w:pPr>
              <w:pStyle w:val="TableContents"/>
              <w:bidi w:val="0"/>
              <w:spacing w:before="0" w:after="283"/>
              <w:jc w:val="left"/>
              <w:rPr>
                <w:color w:val="000000"/>
              </w:rPr>
            </w:pPr>
            <w:r>
              <w:rPr>
                <w:color w:val="000000"/>
              </w:rPr>
              <w:t> </w:t>
            </w:r>
          </w:p>
        </w:tc>
        <w:tc>
          <w:tcPr>
            <w:tcW w:w="1323" w:type="dxa"/>
            <w:tcBorders/>
            <w:shd w:fill="FFFFFF" w:val="clear"/>
            <w:vAlign w:val="center"/>
          </w:tcPr>
          <w:p>
            <w:pPr>
              <w:pStyle w:val="TableContents"/>
              <w:bidi w:val="0"/>
              <w:spacing w:before="0" w:after="283"/>
              <w:jc w:val="right"/>
              <w:rPr>
                <w:color w:val="000000"/>
              </w:rPr>
            </w:pPr>
            <w:r>
              <w:rPr>
                <w:color w:val="000000"/>
              </w:rPr>
              <w:t>192,750,000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shd w:fill="FFFFFF" w:val="clear"/>
            <w:vAlign w:val="center"/>
          </w:tcPr>
          <w:p>
            <w:pPr>
              <w:pStyle w:val="TableContents"/>
              <w:bidi w:val="0"/>
              <w:spacing w:before="0" w:after="283"/>
              <w:jc w:val="left"/>
              <w:rPr>
                <w:color w:val="000000"/>
              </w:rPr>
            </w:pPr>
            <w:r>
              <w:rPr>
                <w:color w:val="000000"/>
              </w:rPr>
              <w:t> </w:t>
            </w:r>
          </w:p>
        </w:tc>
        <w:tc>
          <w:tcPr>
            <w:tcW w:w="1269" w:type="dxa"/>
            <w:tcBorders/>
            <w:shd w:fill="FFFFFF" w:val="clear"/>
            <w:vAlign w:val="center"/>
          </w:tcPr>
          <w:p>
            <w:pPr>
              <w:pStyle w:val="TableContents"/>
              <w:bidi w:val="0"/>
              <w:spacing w:before="0" w:after="283"/>
              <w:jc w:val="right"/>
              <w:rPr>
                <w:color w:val="000000"/>
              </w:rPr>
            </w:pPr>
            <w:r>
              <w:rPr>
                <w:color w:val="000000"/>
              </w:rPr>
              <w:t>110,000,000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12" w:name="xdx_404_eus-gaap--DebtInstrumentUnamorti"/>
            <w:bookmarkEnd w:id="712"/>
          </w:p>
        </w:tc>
      </w:tr>
      <w:tr>
        <w:trPr/>
        <w:tc>
          <w:tcPr>
            <w:tcW w:w="4220" w:type="dxa"/>
            <w:tcBorders/>
            <w:shd w:fill="CCEEFF" w:val="clear"/>
            <w:vAlign w:val="center"/>
          </w:tcPr>
          <w:p>
            <w:pPr>
              <w:pStyle w:val="TableContents"/>
              <w:bidi w:val="0"/>
              <w:spacing w:before="0" w:after="283"/>
              <w:jc w:val="left"/>
              <w:rPr>
                <w:color w:val="000000"/>
              </w:rPr>
            </w:pPr>
            <w:r>
              <w:rPr>
                <w:color w:val="000000"/>
              </w:rPr>
              <w:t>Less: Unamortized debt issuance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(10,564,000</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(5,826,000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713" w:name="xdx_405_eus-gaap--LongTermNotesPayable_i"/>
            <w:bookmarkEnd w:id="713"/>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Notes payable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182,186,000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104,174,000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shd w:fill="FFFFFF" w:val="clear"/>
        <w:bidi w:val="0"/>
        <w:spacing w:before="0" w:after="0"/>
        <w:ind w:left="0" w:right="0" w:hanging="0"/>
        <w:jc w:val="center"/>
        <w:rPr>
          <w:caps w:val="false"/>
          <w:smallCaps w:val="false"/>
          <w:color w:val="000000"/>
        </w:rPr>
      </w:pPr>
      <w:bookmarkStart w:id="714" w:name="xdx_8A4_zwmVMy5IrzGf"/>
      <w:bookmarkEnd w:id="714"/>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For the three and nine months ended September 30, 2023, the total effective interest rate of the Company’s debt was </w:t>
      </w:r>
      <w:bookmarkStart w:id="715" w:name="xdx_906_eus-gaap--DebtInstrumentInterest"/>
      <w:bookmarkEnd w:id="715"/>
      <w:r>
        <w:rPr>
          <w:rFonts w:ascii="Times New Roman;Times;Serif" w:hAnsi="Times New Roman;Times;Serif"/>
          <w:b w:val="false"/>
          <w:i w:val="false"/>
          <w:caps w:val="false"/>
          <w:smallCaps w:val="false"/>
          <w:color w:val="000000"/>
          <w:sz w:val="20"/>
        </w:rPr>
        <w:t xml:space="preserve">10.78%, and </w:t>
      </w:r>
      <w:bookmarkStart w:id="716" w:name="xdx_90D_eus-gaap--DebtInstrumentInterest"/>
      <w:bookmarkEnd w:id="716"/>
      <w:r>
        <w:rPr>
          <w:rFonts w:ascii="Times New Roman;Times;Serif" w:hAnsi="Times New Roman;Times;Serif"/>
          <w:b w:val="false"/>
          <w:i w:val="false"/>
          <w:caps w:val="false"/>
          <w:smallCaps w:val="false"/>
          <w:color w:val="000000"/>
          <w:sz w:val="20"/>
        </w:rPr>
        <w:t xml:space="preserve">10.91%, respectively, and </w:t>
      </w:r>
      <w:bookmarkStart w:id="717" w:name="xdx_90C_eus-gaap--DebtInstrumentInterest"/>
      <w:bookmarkEnd w:id="717"/>
      <w:r>
        <w:rPr>
          <w:rFonts w:ascii="Times New Roman;Times;Serif" w:hAnsi="Times New Roman;Times;Serif"/>
          <w:b w:val="false"/>
          <w:i w:val="false"/>
          <w:caps w:val="false"/>
          <w:smallCaps w:val="false"/>
          <w:color w:val="000000"/>
          <w:sz w:val="20"/>
        </w:rPr>
        <w:t xml:space="preserve">8.88% and </w:t>
      </w:r>
      <w:bookmarkStart w:id="718" w:name="xdx_90D_eus-gaap--DebtInstrumentInterest"/>
      <w:bookmarkEnd w:id="718"/>
      <w:r>
        <w:rPr>
          <w:rFonts w:ascii="Times New Roman;Times;Serif" w:hAnsi="Times New Roman;Times;Serif"/>
          <w:b w:val="false"/>
          <w:i w:val="false"/>
          <w:caps w:val="false"/>
          <w:smallCaps w:val="false"/>
          <w:color w:val="000000"/>
          <w:sz w:val="20"/>
        </w:rPr>
        <w:t>8.96% for the same periods in the prior year, respectively</w:t>
      </w:r>
      <w:r>
        <w:rPr>
          <w:rFonts w:ascii="Times New Roman;Times;Serif" w:hAnsi="Times New Roman;Times;Serif"/>
          <w:b w:val="false"/>
          <w:i w:val="false"/>
          <w:caps w:val="false"/>
          <w:smallCaps w:val="false"/>
          <w:color w:val="000000"/>
          <w:sz w:val="20"/>
          <w:shd w:fill="FFFFFF" w:val="clear"/>
        </w:rPr>
        <w: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bookmarkStart w:id="719" w:name="xdx_89A_eus-gaap--ScheduleOfMaturitiesOf"/>
      <w:bookmarkEnd w:id="719"/>
      <w:r>
        <w:rPr>
          <w:rFonts w:ascii="Times New Roman;Times;Serif" w:hAnsi="Times New Roman;Times;Serif"/>
          <w:b w:val="false"/>
          <w:i w:val="false"/>
          <w:caps w:val="false"/>
          <w:smallCaps w:val="false"/>
          <w:color w:val="000000"/>
          <w:sz w:val="20"/>
        </w:rPr>
        <w:t>At September 30, 2023, future minimum payments under the Company’s debt were as follows:</w:t>
      </w:r>
    </w:p>
    <w:p>
      <w:pPr>
        <w:pStyle w:val="TextBody"/>
        <w:shd w:fill="FFFFFF" w:val="clear"/>
        <w:bidi w:val="0"/>
        <w:spacing w:before="0" w:after="0"/>
        <w:ind w:left="0" w:right="0" w:hanging="0"/>
        <w:jc w:val="center"/>
        <w:rPr>
          <w:caps w:val="false"/>
          <w:smallCaps w:val="false"/>
          <w:color w:val="000000"/>
        </w:rPr>
      </w:pPr>
      <w:r>
        <w:rPr>
          <w:caps w:val="false"/>
          <w:smallCaps w:val="false"/>
          <w:color w:val="000000"/>
        </w:rPr>
        <w:t> </w:t>
      </w:r>
      <w:bookmarkStart w:id="720" w:name="xdx_8B6_zRMiqHUqxNO4"/>
      <w:bookmarkEnd w:id="720"/>
      <w:r>
        <w:rPr>
          <w:rFonts w:ascii="Times New Roman;Times;Serif" w:hAnsi="Times New Roman;Times;Serif"/>
          <w:b w:val="false"/>
          <w:i w:val="false"/>
          <w:caps w:val="false"/>
          <w:smallCaps w:val="false"/>
          <w:color w:val="000000"/>
          <w:sz w:val="20"/>
        </w:rPr>
        <w:t>SCHEDULE OF FUTURE MINIMUM PAYMENT UNDER NOTES PAYABLES </w:t>
      </w:r>
    </w:p>
    <w:tbl>
      <w:tblPr>
        <w:tblW w:w="6695" w:type="dxa"/>
        <w:jc w:val="left"/>
        <w:tblInd w:w="0" w:type="dxa"/>
        <w:tblLayout w:type="fixed"/>
        <w:tblCellMar>
          <w:top w:w="0" w:type="dxa"/>
          <w:left w:w="0" w:type="dxa"/>
          <w:bottom w:w="0" w:type="dxa"/>
          <w:right w:w="0" w:type="dxa"/>
        </w:tblCellMar>
      </w:tblPr>
      <w:tblGrid>
        <w:gridCol w:w="5165"/>
        <w:gridCol w:w="60"/>
        <w:gridCol w:w="140"/>
        <w:gridCol w:w="1220"/>
        <w:gridCol w:w="110"/>
      </w:tblGrid>
      <w:tr>
        <w:trPr/>
        <w:tc>
          <w:tcPr>
            <w:tcW w:w="516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721" w:name="xdx_493_20230930_zjjGjvwBYu3d"/>
            <w:bookmarkEnd w:id="721"/>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Amount</w:t>
            </w:r>
          </w:p>
        </w:tc>
        <w:tc>
          <w:tcPr>
            <w:tcW w:w="110" w:type="dxa"/>
            <w:tcBorders/>
            <w:vAlign w:val="center"/>
          </w:tcPr>
          <w:p>
            <w:pPr>
              <w:pStyle w:val="TableContents"/>
              <w:bidi w:val="0"/>
              <w:spacing w:before="0" w:after="283"/>
              <w:jc w:val="left"/>
              <w:rPr>
                <w:color w:val="000000"/>
              </w:rPr>
            </w:pPr>
            <w:r>
              <w:rPr>
                <w:color w:val="000000"/>
              </w:rPr>
              <w:t> </w:t>
            </w:r>
            <w:bookmarkStart w:id="722" w:name="xdx_406_eus-gaap--LongTermDebtMaturities"/>
            <w:bookmarkEnd w:id="722"/>
          </w:p>
        </w:tc>
      </w:tr>
      <w:tr>
        <w:trPr/>
        <w:tc>
          <w:tcPr>
            <w:tcW w:w="5165" w:type="dxa"/>
            <w:tcBorders/>
            <w:shd w:fill="CCEEFF" w:val="clear"/>
            <w:vAlign w:val="center"/>
          </w:tcPr>
          <w:p>
            <w:pPr>
              <w:pStyle w:val="TableContents"/>
              <w:bidi w:val="0"/>
              <w:spacing w:before="0" w:after="283"/>
              <w:jc w:val="left"/>
              <w:rPr>
                <w:color w:val="000000"/>
              </w:rPr>
            </w:pPr>
            <w:r>
              <w:rPr>
                <w:color w:val="000000"/>
              </w:rPr>
              <w:t>Remainder of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220" w:type="dxa"/>
            <w:tcBorders/>
            <w:shd w:fill="CCEEFF" w:val="clear"/>
            <w:vAlign w:val="center"/>
          </w:tcPr>
          <w:p>
            <w:pPr>
              <w:pStyle w:val="TableContents"/>
              <w:bidi w:val="0"/>
              <w:spacing w:before="0" w:after="283"/>
              <w:jc w:val="right"/>
              <w:rPr>
                <w:color w:val="000000"/>
              </w:rPr>
            </w:pPr>
            <w:r>
              <w:rPr>
                <w:color w:val="000000"/>
              </w:rPr>
              <w:t>5,347,000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23" w:name="xdx_40C_eus-gaap--LongTermDebtMaturities"/>
            <w:bookmarkEnd w:id="723"/>
          </w:p>
        </w:tc>
      </w:tr>
      <w:tr>
        <w:trPr/>
        <w:tc>
          <w:tcPr>
            <w:tcW w:w="5165" w:type="dxa"/>
            <w:tcBorders/>
            <w:shd w:fill="FFFFFF" w:val="clear"/>
            <w:vAlign w:val="center"/>
          </w:tcPr>
          <w:p>
            <w:pPr>
              <w:pStyle w:val="TableContents"/>
              <w:bidi w:val="0"/>
              <w:spacing w:before="0" w:after="283"/>
              <w:jc w:val="left"/>
              <w:rPr>
                <w:color w:val="000000"/>
              </w:rPr>
            </w:pPr>
            <w:r>
              <w:rPr>
                <w:color w:val="000000"/>
              </w:rPr>
              <w:t>2024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21,159,000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24" w:name="xdx_409_eus-gaap--LongTermDebtMaturities"/>
            <w:bookmarkEnd w:id="724"/>
          </w:p>
        </w:tc>
      </w:tr>
      <w:tr>
        <w:trPr/>
        <w:tc>
          <w:tcPr>
            <w:tcW w:w="5165" w:type="dxa"/>
            <w:tcBorders/>
            <w:shd w:fill="CCEEFF" w:val="clear"/>
            <w:vAlign w:val="center"/>
          </w:tcPr>
          <w:p>
            <w:pPr>
              <w:pStyle w:val="TableContents"/>
              <w:bidi w:val="0"/>
              <w:spacing w:before="0" w:after="283"/>
              <w:jc w:val="left"/>
              <w:rPr>
                <w:color w:val="000000"/>
              </w:rPr>
            </w:pPr>
            <w:r>
              <w:rPr>
                <w:color w:val="000000"/>
              </w:rPr>
              <w:t>2025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color w:val="000000"/>
              </w:rPr>
            </w:pPr>
            <w:r>
              <w:rPr>
                <w:color w:val="000000"/>
              </w:rPr>
              <w:t>20,550,000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25" w:name="xdx_40B_eus-gaap--LongTermDebtMaturities"/>
            <w:bookmarkEnd w:id="725"/>
          </w:p>
        </w:tc>
      </w:tr>
      <w:tr>
        <w:trPr/>
        <w:tc>
          <w:tcPr>
            <w:tcW w:w="5165" w:type="dxa"/>
            <w:tcBorders/>
            <w:shd w:fill="FFFFFF" w:val="clear"/>
            <w:vAlign w:val="center"/>
          </w:tcPr>
          <w:p>
            <w:pPr>
              <w:pStyle w:val="TableContents"/>
              <w:bidi w:val="0"/>
              <w:spacing w:before="0" w:after="283"/>
              <w:jc w:val="left"/>
              <w:rPr>
                <w:color w:val="000000"/>
              </w:rPr>
            </w:pPr>
            <w:r>
              <w:rPr>
                <w:color w:val="000000"/>
              </w:rPr>
              <w:t>2026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159,894,000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26" w:name="xdx_40C_eus-gaap--LongTermDebtMaturities"/>
            <w:bookmarkEnd w:id="726"/>
          </w:p>
        </w:tc>
      </w:tr>
      <w:tr>
        <w:trPr/>
        <w:tc>
          <w:tcPr>
            <w:tcW w:w="5165" w:type="dxa"/>
            <w:tcBorders/>
            <w:shd w:fill="CCEEFF" w:val="clear"/>
            <w:vAlign w:val="center"/>
          </w:tcPr>
          <w:p>
            <w:pPr>
              <w:pStyle w:val="TableContents"/>
              <w:bidi w:val="0"/>
              <w:spacing w:before="0" w:after="283"/>
              <w:jc w:val="left"/>
              <w:rPr>
                <w:color w:val="000000"/>
              </w:rPr>
            </w:pPr>
            <w:r>
              <w:rPr>
                <w:color w:val="000000"/>
              </w:rPr>
              <w:t>2027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45,030,000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27" w:name="xdx_403_eus-gaap--LongTermDebt_iTI_mtCzg"/>
            <w:bookmarkEnd w:id="727"/>
          </w:p>
        </w:tc>
      </w:tr>
      <w:tr>
        <w:trPr/>
        <w:tc>
          <w:tcPr>
            <w:tcW w:w="5165" w:type="dxa"/>
            <w:tcBorders/>
            <w:shd w:fill="FFFFFF" w:val="clear"/>
            <w:vAlign w:val="center"/>
          </w:tcPr>
          <w:p>
            <w:pPr>
              <w:pStyle w:val="TableContents"/>
              <w:bidi w:val="0"/>
              <w:spacing w:before="0" w:after="283"/>
              <w:jc w:val="left"/>
              <w:rPr>
                <w:color w:val="000000"/>
              </w:rPr>
            </w:pPr>
            <w:r>
              <w:rPr>
                <w:color w:val="000000"/>
              </w:rPr>
              <w:t>Total minimum payments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251,980,000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28" w:name="xdx_405_eus-gaap--InterestPayableCurrent"/>
            <w:bookmarkEnd w:id="728"/>
          </w:p>
        </w:tc>
      </w:tr>
      <w:tr>
        <w:trPr/>
        <w:tc>
          <w:tcPr>
            <w:tcW w:w="5165" w:type="dxa"/>
            <w:tcBorders/>
            <w:shd w:fill="CCEEFF" w:val="clear"/>
            <w:vAlign w:val="center"/>
          </w:tcPr>
          <w:p>
            <w:pPr>
              <w:pStyle w:val="TableContents"/>
              <w:bidi w:val="0"/>
              <w:spacing w:before="0" w:after="283"/>
              <w:jc w:val="left"/>
              <w:rPr>
                <w:color w:val="000000"/>
              </w:rPr>
            </w:pPr>
            <w:r>
              <w:rPr>
                <w:color w:val="000000"/>
              </w:rPr>
              <w:t>Less: amount representing interest payments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(59,230,000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729" w:name="xdx_401_eus-gaap--DebtInstrumentCarrying"/>
            <w:bookmarkEnd w:id="729"/>
          </w:p>
        </w:tc>
      </w:tr>
      <w:tr>
        <w:trPr/>
        <w:tc>
          <w:tcPr>
            <w:tcW w:w="5165" w:type="dxa"/>
            <w:tcBorders/>
            <w:shd w:fill="FFFFFF" w:val="clear"/>
            <w:vAlign w:val="center"/>
          </w:tcPr>
          <w:p>
            <w:pPr>
              <w:pStyle w:val="TableContents"/>
              <w:bidi w:val="0"/>
              <w:spacing w:before="0" w:after="283"/>
              <w:jc w:val="left"/>
              <w:rPr>
                <w:color w:val="000000"/>
              </w:rPr>
            </w:pPr>
            <w:r>
              <w:rPr>
                <w:color w:val="000000"/>
              </w:rPr>
              <w:t>Notes payable, gross principal amount due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color w:val="000000"/>
              </w:rPr>
            </w:pPr>
            <w:r>
              <w:rPr>
                <w:color w:val="000000"/>
              </w:rPr>
              <w:t>192,750,000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30" w:name="xdx_40F_eus-gaap--DebtInstrumentUnamorti"/>
            <w:bookmarkEnd w:id="730"/>
          </w:p>
        </w:tc>
      </w:tr>
      <w:tr>
        <w:trPr/>
        <w:tc>
          <w:tcPr>
            <w:tcW w:w="5165" w:type="dxa"/>
            <w:tcBorders/>
            <w:shd w:fill="CCEEFF" w:val="clear"/>
            <w:vAlign w:val="center"/>
          </w:tcPr>
          <w:p>
            <w:pPr>
              <w:pStyle w:val="TableContents"/>
              <w:bidi w:val="0"/>
              <w:spacing w:before="0" w:after="283"/>
              <w:jc w:val="left"/>
              <w:rPr>
                <w:color w:val="000000"/>
              </w:rPr>
            </w:pPr>
            <w:r>
              <w:rPr>
                <w:color w:val="000000"/>
              </w:rPr>
              <w:t>Less: unamortized debt issuance costs, net of premium</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(10,564,000</w:t>
            </w:r>
          </w:p>
        </w:tc>
        <w:tc>
          <w:tcPr>
            <w:tcW w:w="110" w:type="dxa"/>
            <w:tcBorders/>
            <w:shd w:fill="CCEEFF" w:val="clear"/>
            <w:vAlign w:val="center"/>
          </w:tcPr>
          <w:p>
            <w:pPr>
              <w:pStyle w:val="TableContents"/>
              <w:bidi w:val="0"/>
              <w:spacing w:before="0" w:after="283"/>
              <w:jc w:val="left"/>
              <w:rPr>
                <w:color w:val="000000"/>
              </w:rPr>
            </w:pPr>
            <w:r>
              <w:rPr>
                <w:color w:val="000000"/>
              </w:rPr>
              <w:t>)</w:t>
            </w:r>
            <w:bookmarkStart w:id="731" w:name="xdx_40F_eus-gaap--LongTermNotesPayable_i"/>
            <w:bookmarkEnd w:id="731"/>
          </w:p>
        </w:tc>
      </w:tr>
      <w:tr>
        <w:trPr/>
        <w:tc>
          <w:tcPr>
            <w:tcW w:w="5165" w:type="dxa"/>
            <w:tcBorders/>
            <w:shd w:fill="FFFFFF" w:val="clear"/>
            <w:vAlign w:val="center"/>
          </w:tcPr>
          <w:p>
            <w:pPr>
              <w:pStyle w:val="TableContents"/>
              <w:bidi w:val="0"/>
              <w:spacing w:before="0" w:after="283"/>
              <w:jc w:val="left"/>
              <w:rPr>
                <w:color w:val="000000"/>
              </w:rPr>
            </w:pPr>
            <w:r>
              <w:rPr>
                <w:color w:val="000000"/>
              </w:rPr>
              <w:t>Notes payable, net of unamortized debt issuance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182,186,000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shd w:fill="FFFFFF" w:val="clear"/>
        <w:bidi w:val="0"/>
        <w:spacing w:before="0" w:after="0"/>
        <w:ind w:left="0" w:right="0" w:hanging="0"/>
        <w:jc w:val="both"/>
        <w:rPr>
          <w:caps w:val="false"/>
          <w:smallCaps w:val="false"/>
          <w:color w:val="000000"/>
        </w:rPr>
      </w:pPr>
      <w:bookmarkStart w:id="732" w:name="xdx_8A0_z5BNEpaDUrf8"/>
      <w:bookmarkEnd w:id="732"/>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733" w:name="xdx_80A_eus-gaap--LesseeOperatingLeasesT"/>
      <w:bookmarkEnd w:id="733"/>
      <w:r>
        <w:rPr>
          <w:rFonts w:ascii="Times New Roman;Times;Serif" w:hAnsi="Times New Roman;Times;Serif"/>
          <w:b/>
          <w:i w:val="false"/>
          <w:caps w:val="false"/>
          <w:smallCaps w:val="false"/>
          <w:color w:val="000000"/>
          <w:sz w:val="20"/>
        </w:rPr>
        <w:t xml:space="preserve">NOTE 14. </w:t>
      </w:r>
      <w:bookmarkStart w:id="734" w:name="xdx_82D_zhR2u5JgI3Z6"/>
      <w:bookmarkEnd w:id="734"/>
      <w:r>
        <w:rPr>
          <w:rFonts w:ascii="Times New Roman;Times;Serif" w:hAnsi="Times New Roman;Times;Serif"/>
          <w:b/>
          <w:i w:val="false"/>
          <w:caps w:val="false"/>
          <w:smallCaps w:val="false"/>
          <w:color w:val="000000"/>
          <w:sz w:val="20"/>
        </w:rPr>
        <w:t>LEASES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leases office and laboratory space under non-cancelable operating leases listed below. These lease agreements have remaining terms between </w:t>
      </w:r>
      <w:bookmarkStart w:id="735" w:name="xdx_90B_eus-gaap--LesseeOperatingLeaseRe"/>
      <w:bookmarkEnd w:id="735"/>
      <w:r>
        <w:rPr>
          <w:rFonts w:ascii="Times New Roman;Times;Serif" w:hAnsi="Times New Roman;Times;Serif"/>
          <w:b w:val="false"/>
          <w:i w:val="false"/>
          <w:caps w:val="false"/>
          <w:smallCaps w:val="false"/>
          <w:color w:val="000000"/>
          <w:sz w:val="20"/>
        </w:rPr>
        <w:t xml:space="preserve">one to </w:t>
      </w:r>
      <w:bookmarkStart w:id="736" w:name="xdx_90C_eus-gaap--LesseeOperatingLeaseRe"/>
      <w:bookmarkEnd w:id="736"/>
      <w:r>
        <w:rPr>
          <w:rFonts w:ascii="Times New Roman;Times;Serif" w:hAnsi="Times New Roman;Times;Serif"/>
          <w:b w:val="false"/>
          <w:i w:val="false"/>
          <w:caps w:val="false"/>
          <w:smallCaps w:val="false"/>
          <w:color w:val="000000"/>
          <w:sz w:val="20"/>
        </w:rPr>
        <w:t>five years and contain various clauses for renewal at the Company’s option.</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An operating lease for </w:t>
            </w:r>
            <w:bookmarkStart w:id="737" w:name="xdx_904_eus-gaap--AreaOfLand_iI_uSquareF"/>
            <w:bookmarkEnd w:id="737"/>
            <w:r>
              <w:rPr>
                <w:rFonts w:ascii="Times New Roman;Times;Serif" w:hAnsi="Times New Roman;Times;Serif"/>
                <w:b w:val="false"/>
                <w:i w:val="false"/>
                <w:caps w:val="false"/>
                <w:smallCaps w:val="false"/>
                <w:color w:val="000000"/>
                <w:sz w:val="20"/>
              </w:rPr>
              <w:t xml:space="preserve">5,789 square feet of office space in Carlsbad, California, which commenced in January 2022 and will expire in </w:t>
            </w:r>
            <w:bookmarkStart w:id="738" w:name="xdx_904_ecustom--LeaseExpirationDateDesc"/>
            <w:bookmarkEnd w:id="738"/>
            <w:r>
              <w:rPr>
                <w:rFonts w:ascii="Times New Roman;Times;Serif" w:hAnsi="Times New Roman;Times;Serif"/>
                <w:b w:val="false"/>
                <w:i w:val="false"/>
                <w:caps w:val="false"/>
                <w:smallCaps w:val="false"/>
                <w:color w:val="000000"/>
                <w:sz w:val="20"/>
              </w:rPr>
              <w:t>March 2025.</w:t>
            </w:r>
          </w:p>
        </w:tc>
      </w:tr>
    </w:tbl>
    <w:p>
      <w:pPr>
        <w:pStyle w:val="TextBody"/>
        <w:bidi w:val="0"/>
        <w:spacing w:before="0" w:after="0"/>
        <w:ind w:left="72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An operating lease for </w:t>
            </w:r>
            <w:bookmarkStart w:id="739" w:name="xdx_90D_eus-gaap--AreaOfLand_iI_uSquareF"/>
            <w:bookmarkEnd w:id="739"/>
            <w:r>
              <w:rPr>
                <w:rFonts w:ascii="Times New Roman;Times;Serif" w:hAnsi="Times New Roman;Times;Serif"/>
                <w:b w:val="false"/>
                <w:i w:val="false"/>
                <w:caps w:val="false"/>
                <w:smallCaps w:val="false"/>
                <w:color w:val="000000"/>
                <w:sz w:val="20"/>
              </w:rPr>
              <w:t xml:space="preserve">35,326 square feet of lab, warehouse and office space in Ledgewood, New Jersey that expires in </w:t>
            </w:r>
            <w:bookmarkStart w:id="740" w:name="xdx_902_ecustom--LeaseExpirationDateDesc"/>
            <w:bookmarkEnd w:id="740"/>
            <w:r>
              <w:rPr>
                <w:rFonts w:ascii="Times New Roman;Times;Serif" w:hAnsi="Times New Roman;Times;Serif"/>
                <w:b w:val="false"/>
                <w:i w:val="false"/>
                <w:caps w:val="false"/>
                <w:smallCaps w:val="false"/>
                <w:color w:val="000000"/>
                <w:sz w:val="20"/>
              </w:rPr>
              <w:t xml:space="preserve">July 2027, with an option to extend the term for two additional five-year periods. This includes an amendment, which was made effective July 2020, that extended the term of the original lease and added </w:t>
            </w:r>
            <w:bookmarkStart w:id="741" w:name="xdx_904_ecustom--AdditionalAreaOfLand_uS"/>
            <w:bookmarkEnd w:id="741"/>
            <w:r>
              <w:rPr>
                <w:rFonts w:ascii="Times New Roman;Times;Serif" w:hAnsi="Times New Roman;Times;Serif"/>
                <w:b w:val="false"/>
                <w:i w:val="false"/>
                <w:caps w:val="false"/>
                <w:smallCaps w:val="false"/>
                <w:color w:val="000000"/>
                <w:sz w:val="20"/>
              </w:rPr>
              <w:t xml:space="preserve">1,400 of additional square footage to the lease, and another amendment entered into in May 2021 that extended the term of the lease to July 2027 and added </w:t>
            </w:r>
            <w:bookmarkStart w:id="742" w:name="xdx_904_ecustom--AdditionalAreaOfLand_uS"/>
            <w:bookmarkEnd w:id="742"/>
            <w:r>
              <w:rPr>
                <w:rFonts w:ascii="Times New Roman;Times;Serif" w:hAnsi="Times New Roman;Times;Serif"/>
                <w:b w:val="false"/>
                <w:i w:val="false"/>
                <w:caps w:val="false"/>
                <w:smallCaps w:val="false"/>
                <w:color w:val="000000"/>
                <w:sz w:val="20"/>
              </w:rPr>
              <w:t>8,900 square feet of space.</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An operating lease for </w:t>
            </w:r>
            <w:bookmarkStart w:id="743" w:name="xdx_908_eus-gaap--AreaOfLand_iI_uSquareF"/>
            <w:bookmarkEnd w:id="743"/>
            <w:r>
              <w:rPr>
                <w:rFonts w:ascii="Times New Roman;Times;Serif" w:hAnsi="Times New Roman;Times;Serif"/>
                <w:b w:val="false"/>
                <w:i w:val="false"/>
                <w:caps w:val="false"/>
                <w:smallCaps w:val="false"/>
                <w:color w:val="000000"/>
                <w:sz w:val="20"/>
              </w:rPr>
              <w:t xml:space="preserve">5,500 square feet of office space in Nashville, Tennessee, which commenced in January 2020 and will expire in </w:t>
            </w:r>
            <w:bookmarkStart w:id="744" w:name="xdx_90D_ecustom--LeaseExpirationDateDesc"/>
            <w:bookmarkEnd w:id="744"/>
            <w:r>
              <w:rPr>
                <w:rFonts w:ascii="Times New Roman;Times;Serif" w:hAnsi="Times New Roman;Times;Serif"/>
                <w:b w:val="false"/>
                <w:i w:val="false"/>
                <w:caps w:val="false"/>
                <w:smallCaps w:val="false"/>
                <w:color w:val="000000"/>
                <w:sz w:val="20"/>
              </w:rPr>
              <w:t>December 2024, with an option to extend the term for two additional five-year periods.</w:t>
            </w:r>
          </w:p>
        </w:tc>
      </w:tr>
    </w:tbl>
    <w:p>
      <w:pPr>
        <w:pStyle w:val="TextBody"/>
        <w:bidi w:val="0"/>
        <w:spacing w:before="0" w:after="0"/>
        <w:ind w:left="72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An operating lease for </w:t>
            </w:r>
            <w:bookmarkStart w:id="745" w:name="xdx_90D_eus-gaap--AreaOfLand_iI_uSquareF"/>
            <w:bookmarkEnd w:id="745"/>
            <w:r>
              <w:rPr>
                <w:rFonts w:ascii="Times New Roman;Times;Serif" w:hAnsi="Times New Roman;Times;Serif"/>
                <w:b w:val="false"/>
                <w:i w:val="false"/>
                <w:caps w:val="false"/>
                <w:smallCaps w:val="false"/>
                <w:color w:val="000000"/>
                <w:sz w:val="20"/>
              </w:rPr>
              <w:t xml:space="preserve">11,552 square feet of lab and office space in Nashville, Tennessee which commenced in September 2022 and will expire in </w:t>
            </w:r>
            <w:bookmarkStart w:id="746" w:name="xdx_90D_ecustom--LeaseExpirationDateDesc"/>
            <w:bookmarkEnd w:id="746"/>
            <w:r>
              <w:rPr>
                <w:rFonts w:ascii="Times New Roman;Times;Serif" w:hAnsi="Times New Roman;Times;Serif"/>
                <w:b w:val="false"/>
                <w:i w:val="false"/>
                <w:caps w:val="false"/>
                <w:smallCaps w:val="false"/>
                <w:color w:val="000000"/>
                <w:sz w:val="20"/>
              </w:rPr>
              <w:t>September 2027.</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At September 30, 2023, the weighted average incremental borrowing rate and the weighted average remaining lease term for the operating leases held by the Company were </w:t>
      </w:r>
      <w:bookmarkStart w:id="747" w:name="xdx_908_eus-gaap--OperatingLeaseWeighted"/>
      <w:bookmarkEnd w:id="747"/>
      <w:r>
        <w:rPr>
          <w:rFonts w:ascii="Times New Roman;Times;Serif" w:hAnsi="Times New Roman;Times;Serif"/>
          <w:b w:val="false"/>
          <w:i w:val="false"/>
          <w:caps w:val="false"/>
          <w:smallCaps w:val="false"/>
          <w:color w:val="000000"/>
          <w:sz w:val="20"/>
        </w:rPr>
        <w:t xml:space="preserve">6.60% and </w:t>
      </w:r>
      <w:bookmarkStart w:id="748" w:name="xdx_90D_eus-gaap--OperatingLeaseWeighted"/>
      <w:bookmarkEnd w:id="748"/>
      <w:r>
        <w:rPr>
          <w:rFonts w:ascii="Times New Roman;Times;Serif" w:hAnsi="Times New Roman;Times;Serif"/>
          <w:b w:val="false"/>
          <w:i w:val="false"/>
          <w:caps w:val="false"/>
          <w:smallCaps w:val="false"/>
          <w:color w:val="000000"/>
          <w:sz w:val="20"/>
        </w:rPr>
        <w:t>10.54 years,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nine months ended September 30, 2023, cash paid for amounts included for the operating lease liabilities was $</w:t>
      </w:r>
      <w:bookmarkStart w:id="749" w:name="xdx_90B_eus-gaap--OperatingLeasePayments"/>
      <w:bookmarkEnd w:id="749"/>
      <w:r>
        <w:rPr>
          <w:rFonts w:ascii="Times New Roman;Times;Serif" w:hAnsi="Times New Roman;Times;Serif"/>
          <w:b w:val="false"/>
          <w:i w:val="false"/>
          <w:caps w:val="false"/>
          <w:smallCaps w:val="false"/>
          <w:color w:val="000000"/>
          <w:sz w:val="20"/>
        </w:rPr>
        <w:t>310,000 and $</w:t>
      </w:r>
      <w:bookmarkStart w:id="750" w:name="xdx_90C_eus-gaap--OperatingLeasePayments"/>
      <w:bookmarkEnd w:id="750"/>
      <w:r>
        <w:rPr>
          <w:rFonts w:ascii="Times New Roman;Times;Serif" w:hAnsi="Times New Roman;Times;Serif"/>
          <w:b w:val="false"/>
          <w:i w:val="false"/>
          <w:caps w:val="false"/>
          <w:smallCaps w:val="false"/>
          <w:color w:val="000000"/>
          <w:sz w:val="20"/>
        </w:rPr>
        <w:t>921,000, respectively, and $</w:t>
      </w:r>
      <w:bookmarkStart w:id="751" w:name="xdx_90D_eus-gaap--OperatingLeasePayments"/>
      <w:bookmarkEnd w:id="751"/>
      <w:r>
        <w:rPr>
          <w:rFonts w:ascii="Times New Roman;Times;Serif" w:hAnsi="Times New Roman;Times;Serif"/>
          <w:b w:val="false"/>
          <w:i w:val="false"/>
          <w:caps w:val="false"/>
          <w:smallCaps w:val="false"/>
          <w:color w:val="000000"/>
          <w:sz w:val="20"/>
        </w:rPr>
        <w:t>249,000 and $</w:t>
      </w:r>
      <w:bookmarkStart w:id="752" w:name="xdx_90C_eus-gaap--OperatingLeasePayments"/>
      <w:bookmarkEnd w:id="752"/>
      <w:r>
        <w:rPr>
          <w:rFonts w:ascii="Times New Roman;Times;Serif" w:hAnsi="Times New Roman;Times;Serif"/>
          <w:b w:val="false"/>
          <w:i w:val="false"/>
          <w:caps w:val="false"/>
          <w:smallCaps w:val="false"/>
          <w:color w:val="000000"/>
          <w:sz w:val="20"/>
        </w:rPr>
        <w:t>622,000 during the same periods in 2022, respectively. During the three and nine months ended September 30, 2023 and 2022, the Company recorded operating lease expense of $</w:t>
      </w:r>
      <w:bookmarkStart w:id="753" w:name="xdx_90A_eus-gaap--OperatingLeaseExpense_"/>
      <w:bookmarkEnd w:id="753"/>
      <w:r>
        <w:rPr>
          <w:rFonts w:ascii="Times New Roman;Times;Serif" w:hAnsi="Times New Roman;Times;Serif"/>
          <w:b w:val="false"/>
          <w:i w:val="false"/>
          <w:caps w:val="false"/>
          <w:smallCaps w:val="false"/>
          <w:color w:val="000000"/>
          <w:sz w:val="20"/>
        </w:rPr>
        <w:t>309,000 and $</w:t>
      </w:r>
      <w:bookmarkStart w:id="754" w:name="xdx_909_eus-gaap--OperatingLeaseExpense_"/>
      <w:bookmarkEnd w:id="754"/>
      <w:r>
        <w:rPr>
          <w:rFonts w:ascii="Times New Roman;Times;Serif" w:hAnsi="Times New Roman;Times;Serif"/>
          <w:b w:val="false"/>
          <w:i w:val="false"/>
          <w:caps w:val="false"/>
          <w:smallCaps w:val="false"/>
          <w:color w:val="000000"/>
          <w:sz w:val="20"/>
        </w:rPr>
        <w:t>926,000 and $</w:t>
      </w:r>
      <w:bookmarkStart w:id="755" w:name="xdx_908_eus-gaap--OperatingLeaseExpense_"/>
      <w:bookmarkEnd w:id="755"/>
      <w:r>
        <w:rPr>
          <w:rFonts w:ascii="Times New Roman;Times;Serif" w:hAnsi="Times New Roman;Times;Serif"/>
          <w:b w:val="false"/>
          <w:i w:val="false"/>
          <w:caps w:val="false"/>
          <w:smallCaps w:val="false"/>
          <w:color w:val="000000"/>
          <w:sz w:val="20"/>
        </w:rPr>
        <w:t>309,000 and $</w:t>
      </w:r>
      <w:bookmarkStart w:id="756" w:name="xdx_90C_eus-gaap--OperatingLeaseExpense_"/>
      <w:bookmarkEnd w:id="756"/>
      <w:r>
        <w:rPr>
          <w:rFonts w:ascii="Times New Roman;Times;Serif" w:hAnsi="Times New Roman;Times;Serif"/>
          <w:b w:val="false"/>
          <w:i w:val="false"/>
          <w:caps w:val="false"/>
          <w:smallCaps w:val="false"/>
          <w:color w:val="000000"/>
          <w:sz w:val="20"/>
        </w:rPr>
        <w:t>809,000, respectively, which is included in selling, general and administrative expenses.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757" w:name="xdx_89E_eus-gaap--LesseeOperatingLeaseLi"/>
      <w:bookmarkEnd w:id="757"/>
      <w:r>
        <w:rPr>
          <w:rFonts w:ascii="Times New Roman;Times;Serif" w:hAnsi="Times New Roman;Times;Serif"/>
          <w:b w:val="false"/>
          <w:i w:val="false"/>
          <w:caps w:val="false"/>
          <w:smallCaps w:val="false"/>
          <w:color w:val="000000"/>
          <w:sz w:val="20"/>
        </w:rPr>
        <w:t>Future lease payments under operating leases as of September 30, 2023 were as follows</w:t>
      </w:r>
      <w:r>
        <w:rPr>
          <w:rFonts w:ascii="Times New Roman;Times;Serif" w:hAnsi="Times New Roman;Times;Serif"/>
          <w:b/>
          <w:i w:val="false"/>
          <w:caps w:val="false"/>
          <w:smallCaps w:val="false"/>
          <w:color w:val="000000"/>
          <w:sz w:val="20"/>
        </w:rPr>
        <w:t>:</w:t>
      </w:r>
    </w:p>
    <w:p>
      <w:pPr>
        <w:pStyle w:val="TextBody"/>
        <w:bidi w:val="0"/>
        <w:spacing w:before="0" w:after="0"/>
        <w:ind w:left="0" w:right="0" w:hanging="0"/>
        <w:jc w:val="center"/>
        <w:rPr>
          <w:caps w:val="false"/>
          <w:smallCaps w:val="false"/>
        </w:rPr>
      </w:pPr>
      <w:r>
        <w:rPr>
          <w:caps w:val="false"/>
          <w:smallCaps w:val="false"/>
        </w:rPr>
        <w:t> </w:t>
      </w:r>
      <w:bookmarkStart w:id="758" w:name="xdx_8B2_z8a5htrsVo72"/>
      <w:bookmarkEnd w:id="758"/>
      <w:r>
        <w:rPr>
          <w:rFonts w:ascii="Times New Roman;Times;Serif" w:hAnsi="Times New Roman;Times;Serif"/>
          <w:b w:val="false"/>
          <w:i w:val="false"/>
          <w:caps w:val="false"/>
          <w:smallCaps w:val="false"/>
          <w:sz w:val="20"/>
        </w:rPr>
        <w:t>SCHEDULE OF FUTURE LEASE PAYMENT UNDER OPERATING LEASES </w:t>
      </w:r>
      <w:r>
        <w:rPr>
          <w:rFonts w:ascii="Times New Roman;Times;Serif" w:hAnsi="Times New Roman;Times;Serif"/>
          <w:b w:val="false"/>
          <w:i w:val="false"/>
          <w:caps w:val="false"/>
          <w:smallCaps w:val="false"/>
          <w:color w:val="000000"/>
          <w:sz w:val="20"/>
        </w:rPr>
        <w:t> </w:t>
      </w:r>
    </w:p>
    <w:tbl>
      <w:tblPr>
        <w:tblW w:w="6674" w:type="dxa"/>
        <w:jc w:val="left"/>
        <w:tblInd w:w="0" w:type="dxa"/>
        <w:tblLayout w:type="fixed"/>
        <w:tblCellMar>
          <w:top w:w="0" w:type="dxa"/>
          <w:left w:w="0" w:type="dxa"/>
          <w:bottom w:w="0" w:type="dxa"/>
          <w:right w:w="0" w:type="dxa"/>
        </w:tblCellMar>
      </w:tblPr>
      <w:tblGrid>
        <w:gridCol w:w="4715"/>
        <w:gridCol w:w="60"/>
        <w:gridCol w:w="202"/>
        <w:gridCol w:w="1587"/>
        <w:gridCol w:w="110"/>
      </w:tblGrid>
      <w:tr>
        <w:trPr/>
        <w:tc>
          <w:tcPr>
            <w:tcW w:w="47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759" w:name="xdx_492_20230930_zvGiDxZutHFg"/>
            <w:bookmarkEnd w:id="759"/>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Operating Leases</w:t>
            </w:r>
          </w:p>
        </w:tc>
        <w:tc>
          <w:tcPr>
            <w:tcW w:w="110" w:type="dxa"/>
            <w:tcBorders/>
            <w:vAlign w:val="center"/>
          </w:tcPr>
          <w:p>
            <w:pPr>
              <w:pStyle w:val="TableContents"/>
              <w:bidi w:val="0"/>
              <w:spacing w:before="0" w:after="283"/>
              <w:jc w:val="left"/>
              <w:rPr>
                <w:color w:val="000000"/>
              </w:rPr>
            </w:pPr>
            <w:r>
              <w:rPr>
                <w:color w:val="000000"/>
              </w:rPr>
              <w:t> </w:t>
            </w:r>
            <w:bookmarkStart w:id="760" w:name="xdx_40E_eus-gaap--LesseeOperatingLeaseLi"/>
            <w:bookmarkEnd w:id="760"/>
          </w:p>
        </w:tc>
      </w:tr>
      <w:tr>
        <w:trPr/>
        <w:tc>
          <w:tcPr>
            <w:tcW w:w="4715" w:type="dxa"/>
            <w:tcBorders/>
            <w:shd w:fill="CCEEFF" w:val="clear"/>
            <w:vAlign w:val="center"/>
          </w:tcPr>
          <w:p>
            <w:pPr>
              <w:pStyle w:val="TableContents"/>
              <w:bidi w:val="0"/>
              <w:spacing w:before="0" w:after="283"/>
              <w:jc w:val="left"/>
              <w:rPr>
                <w:color w:val="000000"/>
              </w:rPr>
            </w:pPr>
            <w:r>
              <w:rPr>
                <w:color w:val="000000"/>
              </w:rPr>
              <w:t>Remainder of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w:t>
            </w:r>
          </w:p>
        </w:tc>
        <w:tc>
          <w:tcPr>
            <w:tcW w:w="1587" w:type="dxa"/>
            <w:tcBorders/>
            <w:shd w:fill="CCEEFF" w:val="clear"/>
            <w:vAlign w:val="center"/>
          </w:tcPr>
          <w:p>
            <w:pPr>
              <w:pStyle w:val="TableContents"/>
              <w:bidi w:val="0"/>
              <w:spacing w:before="0" w:after="283"/>
              <w:jc w:val="right"/>
              <w:rPr>
                <w:color w:val="000000"/>
              </w:rPr>
            </w:pPr>
            <w:r>
              <w:rPr>
                <w:color w:val="000000"/>
              </w:rPr>
              <w:t>310,000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61" w:name="xdx_408_eus-gaap--LesseeOperatingLeaseLi"/>
            <w:bookmarkEnd w:id="761"/>
          </w:p>
        </w:tc>
      </w:tr>
      <w:tr>
        <w:trPr/>
        <w:tc>
          <w:tcPr>
            <w:tcW w:w="4715" w:type="dxa"/>
            <w:tcBorders/>
            <w:shd w:fill="FFFFFF" w:val="clear"/>
            <w:vAlign w:val="center"/>
          </w:tcPr>
          <w:p>
            <w:pPr>
              <w:pStyle w:val="TableContents"/>
              <w:bidi w:val="0"/>
              <w:spacing w:before="0" w:after="283"/>
              <w:jc w:val="left"/>
              <w:rPr>
                <w:color w:val="000000"/>
              </w:rPr>
            </w:pPr>
            <w:r>
              <w:rPr>
                <w:color w:val="000000"/>
              </w:rPr>
              <w:t>2024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shd w:fill="FFFFFF" w:val="clear"/>
            <w:vAlign w:val="center"/>
          </w:tcPr>
          <w:p>
            <w:pPr>
              <w:pStyle w:val="TableContents"/>
              <w:bidi w:val="0"/>
              <w:spacing w:before="0" w:after="283"/>
              <w:jc w:val="left"/>
              <w:rPr>
                <w:color w:val="000000"/>
              </w:rPr>
            </w:pPr>
            <w:r>
              <w:rPr>
                <w:color w:val="000000"/>
              </w:rPr>
              <w:t> </w:t>
            </w:r>
          </w:p>
        </w:tc>
        <w:tc>
          <w:tcPr>
            <w:tcW w:w="1587" w:type="dxa"/>
            <w:tcBorders/>
            <w:shd w:fill="FFFFFF" w:val="clear"/>
            <w:vAlign w:val="center"/>
          </w:tcPr>
          <w:p>
            <w:pPr>
              <w:pStyle w:val="TableContents"/>
              <w:bidi w:val="0"/>
              <w:spacing w:before="0" w:after="283"/>
              <w:jc w:val="right"/>
              <w:rPr>
                <w:color w:val="000000"/>
              </w:rPr>
            </w:pPr>
            <w:r>
              <w:rPr>
                <w:color w:val="000000"/>
              </w:rPr>
              <w:t>1,262,000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62" w:name="xdx_40E_eus-gaap--LesseeOperatingLeaseLi"/>
            <w:bookmarkEnd w:id="762"/>
          </w:p>
        </w:tc>
      </w:tr>
      <w:tr>
        <w:trPr/>
        <w:tc>
          <w:tcPr>
            <w:tcW w:w="4715" w:type="dxa"/>
            <w:tcBorders/>
            <w:shd w:fill="CCEEFF" w:val="clear"/>
            <w:vAlign w:val="center"/>
          </w:tcPr>
          <w:p>
            <w:pPr>
              <w:pStyle w:val="TableContents"/>
              <w:bidi w:val="0"/>
              <w:spacing w:before="0" w:after="283"/>
              <w:jc w:val="left"/>
              <w:rPr>
                <w:color w:val="000000"/>
              </w:rPr>
            </w:pPr>
            <w:r>
              <w:rPr>
                <w:color w:val="000000"/>
              </w:rPr>
              <w:t>2025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 </w:t>
            </w:r>
          </w:p>
        </w:tc>
        <w:tc>
          <w:tcPr>
            <w:tcW w:w="1587" w:type="dxa"/>
            <w:tcBorders/>
            <w:shd w:fill="CCEEFF" w:val="clear"/>
            <w:vAlign w:val="center"/>
          </w:tcPr>
          <w:p>
            <w:pPr>
              <w:pStyle w:val="TableContents"/>
              <w:bidi w:val="0"/>
              <w:spacing w:before="0" w:after="283"/>
              <w:jc w:val="right"/>
              <w:rPr>
                <w:color w:val="000000"/>
              </w:rPr>
            </w:pPr>
            <w:r>
              <w:rPr>
                <w:color w:val="000000"/>
              </w:rPr>
              <w:t>1,093,000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63" w:name="xdx_400_eus-gaap--LesseeOperatingLeaseLi"/>
            <w:bookmarkEnd w:id="763"/>
          </w:p>
        </w:tc>
      </w:tr>
      <w:tr>
        <w:trPr/>
        <w:tc>
          <w:tcPr>
            <w:tcW w:w="4715" w:type="dxa"/>
            <w:tcBorders/>
            <w:shd w:fill="FFFFFF" w:val="clear"/>
            <w:vAlign w:val="center"/>
          </w:tcPr>
          <w:p>
            <w:pPr>
              <w:pStyle w:val="TableContents"/>
              <w:bidi w:val="0"/>
              <w:spacing w:before="0" w:after="283"/>
              <w:jc w:val="left"/>
              <w:rPr>
                <w:color w:val="000000"/>
              </w:rPr>
            </w:pPr>
            <w:r>
              <w:rPr>
                <w:color w:val="000000"/>
              </w:rPr>
              <w:t>2026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shd w:fill="FFFFFF" w:val="clear"/>
            <w:vAlign w:val="center"/>
          </w:tcPr>
          <w:p>
            <w:pPr>
              <w:pStyle w:val="TableContents"/>
              <w:bidi w:val="0"/>
              <w:spacing w:before="0" w:after="283"/>
              <w:jc w:val="left"/>
              <w:rPr>
                <w:color w:val="000000"/>
              </w:rPr>
            </w:pPr>
            <w:r>
              <w:rPr>
                <w:color w:val="000000"/>
              </w:rPr>
              <w:t> </w:t>
            </w:r>
          </w:p>
        </w:tc>
        <w:tc>
          <w:tcPr>
            <w:tcW w:w="1587" w:type="dxa"/>
            <w:tcBorders/>
            <w:shd w:fill="FFFFFF" w:val="clear"/>
            <w:vAlign w:val="center"/>
          </w:tcPr>
          <w:p>
            <w:pPr>
              <w:pStyle w:val="TableContents"/>
              <w:bidi w:val="0"/>
              <w:spacing w:before="0" w:after="283"/>
              <w:jc w:val="right"/>
              <w:rPr>
                <w:color w:val="000000"/>
              </w:rPr>
            </w:pPr>
            <w:r>
              <w:rPr>
                <w:color w:val="000000"/>
              </w:rPr>
              <w:t>1,114,000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64" w:name="xdx_40A_eus-gaap--LesseeOperatingLeaseLi"/>
            <w:bookmarkEnd w:id="764"/>
          </w:p>
        </w:tc>
      </w:tr>
      <w:tr>
        <w:trPr/>
        <w:tc>
          <w:tcPr>
            <w:tcW w:w="4715" w:type="dxa"/>
            <w:tcBorders/>
            <w:shd w:fill="CCEEFF" w:val="clear"/>
            <w:vAlign w:val="center"/>
          </w:tcPr>
          <w:p>
            <w:pPr>
              <w:pStyle w:val="TableContents"/>
              <w:bidi w:val="0"/>
              <w:spacing w:before="0" w:after="283"/>
              <w:jc w:val="left"/>
              <w:rPr>
                <w:color w:val="000000"/>
              </w:rPr>
            </w:pPr>
            <w:r>
              <w:rPr>
                <w:color w:val="000000"/>
              </w:rPr>
              <w:t>2027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 </w:t>
            </w:r>
          </w:p>
        </w:tc>
        <w:tc>
          <w:tcPr>
            <w:tcW w:w="1587" w:type="dxa"/>
            <w:tcBorders/>
            <w:shd w:fill="CCEEFF" w:val="clear"/>
            <w:vAlign w:val="center"/>
          </w:tcPr>
          <w:p>
            <w:pPr>
              <w:pStyle w:val="TableContents"/>
              <w:bidi w:val="0"/>
              <w:spacing w:before="0" w:after="283"/>
              <w:jc w:val="right"/>
              <w:rPr>
                <w:color w:val="000000"/>
              </w:rPr>
            </w:pPr>
            <w:r>
              <w:rPr>
                <w:color w:val="000000"/>
              </w:rPr>
              <w:t>972,000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65" w:name="xdx_403_eus-gaap--LesseeOperatingLeaseLi"/>
            <w:bookmarkEnd w:id="765"/>
          </w:p>
        </w:tc>
      </w:tr>
      <w:tr>
        <w:trPr/>
        <w:tc>
          <w:tcPr>
            <w:tcW w:w="4715" w:type="dxa"/>
            <w:tcBorders/>
            <w:shd w:fill="FFFFFF" w:val="clear"/>
            <w:vAlign w:val="center"/>
          </w:tcPr>
          <w:p>
            <w:pPr>
              <w:pStyle w:val="TableContents"/>
              <w:bidi w:val="0"/>
              <w:spacing w:before="0" w:after="283"/>
              <w:jc w:val="left"/>
              <w:rPr>
                <w:color w:val="000000"/>
              </w:rPr>
            </w:pPr>
            <w:r>
              <w:rPr>
                <w:color w:val="000000"/>
              </w:rPr>
              <w:t>Thereafter</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5,829,000</w:t>
            </w:r>
          </w:p>
        </w:tc>
        <w:tc>
          <w:tcPr>
            <w:tcW w:w="110" w:type="dxa"/>
            <w:tcBorders/>
            <w:shd w:fill="FFFFFF" w:val="clear"/>
            <w:vAlign w:val="center"/>
          </w:tcPr>
          <w:p>
            <w:pPr>
              <w:pStyle w:val="TableContents"/>
              <w:bidi w:val="0"/>
              <w:spacing w:before="0" w:after="283"/>
              <w:jc w:val="left"/>
              <w:rPr>
                <w:color w:val="000000"/>
              </w:rPr>
            </w:pPr>
            <w:r>
              <w:rPr>
                <w:color w:val="000000"/>
              </w:rPr>
              <w:t> </w:t>
            </w:r>
            <w:bookmarkStart w:id="766" w:name="xdx_401_eus-gaap--LesseeOperatingLeaseLi"/>
            <w:bookmarkEnd w:id="766"/>
          </w:p>
        </w:tc>
      </w:tr>
      <w:tr>
        <w:trPr/>
        <w:tc>
          <w:tcPr>
            <w:tcW w:w="4715" w:type="dxa"/>
            <w:tcBorders/>
            <w:shd w:fill="CCEEFF" w:val="clear"/>
            <w:vAlign w:val="center"/>
          </w:tcPr>
          <w:p>
            <w:pPr>
              <w:pStyle w:val="TableContents"/>
              <w:bidi w:val="0"/>
              <w:spacing w:before="0" w:after="283"/>
              <w:jc w:val="left"/>
              <w:rPr>
                <w:color w:val="000000"/>
              </w:rPr>
            </w:pPr>
            <w:r>
              <w:rPr>
                <w:color w:val="000000"/>
              </w:rPr>
              <w:t>Total minimum lease payments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 </w:t>
            </w:r>
          </w:p>
        </w:tc>
        <w:tc>
          <w:tcPr>
            <w:tcW w:w="1587" w:type="dxa"/>
            <w:tcBorders/>
            <w:shd w:fill="CCEEFF" w:val="clear"/>
            <w:vAlign w:val="center"/>
          </w:tcPr>
          <w:p>
            <w:pPr>
              <w:pStyle w:val="TableContents"/>
              <w:bidi w:val="0"/>
              <w:spacing w:before="0" w:after="283"/>
              <w:jc w:val="right"/>
              <w:rPr>
                <w:color w:val="000000"/>
              </w:rPr>
            </w:pPr>
            <w:r>
              <w:rPr>
                <w:color w:val="000000"/>
              </w:rPr>
              <w:t>10,580,000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67" w:name="xdx_400_eus-gaap--LesseeOperatingLeaseLi"/>
            <w:bookmarkEnd w:id="767"/>
          </w:p>
        </w:tc>
      </w:tr>
      <w:tr>
        <w:trPr/>
        <w:tc>
          <w:tcPr>
            <w:tcW w:w="4715" w:type="dxa"/>
            <w:tcBorders/>
            <w:shd w:fill="FFFFFF" w:val="clear"/>
            <w:vAlign w:val="center"/>
          </w:tcPr>
          <w:p>
            <w:pPr>
              <w:pStyle w:val="TableContents"/>
              <w:bidi w:val="0"/>
              <w:spacing w:before="0" w:after="283"/>
              <w:jc w:val="left"/>
              <w:rPr>
                <w:color w:val="000000"/>
              </w:rPr>
            </w:pPr>
            <w:r>
              <w:rPr>
                <w:color w:val="000000"/>
              </w:rPr>
              <w:t>Less: amount representing interest payments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(3,060,000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768" w:name="xdx_406_eus-gaap--OperatingLeaseLiabilit"/>
            <w:bookmarkEnd w:id="768"/>
          </w:p>
        </w:tc>
      </w:tr>
      <w:tr>
        <w:trPr/>
        <w:tc>
          <w:tcPr>
            <w:tcW w:w="4715" w:type="dxa"/>
            <w:tcBorders/>
            <w:shd w:fill="CCEEFF" w:val="clear"/>
            <w:vAlign w:val="center"/>
          </w:tcPr>
          <w:p>
            <w:pPr>
              <w:pStyle w:val="TableContents"/>
              <w:bidi w:val="0"/>
              <w:spacing w:before="0" w:after="283"/>
              <w:jc w:val="left"/>
              <w:rPr>
                <w:color w:val="000000"/>
              </w:rPr>
            </w:pPr>
            <w:r>
              <w:rPr>
                <w:color w:val="000000"/>
              </w:rPr>
              <w:t>Total operating lease obligations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shd w:fill="CCEEFF" w:val="clear"/>
            <w:vAlign w:val="center"/>
          </w:tcPr>
          <w:p>
            <w:pPr>
              <w:pStyle w:val="TableContents"/>
              <w:bidi w:val="0"/>
              <w:spacing w:before="0" w:after="283"/>
              <w:jc w:val="left"/>
              <w:rPr>
                <w:color w:val="000000"/>
              </w:rPr>
            </w:pPr>
            <w:r>
              <w:rPr>
                <w:color w:val="000000"/>
              </w:rPr>
              <w:t> </w:t>
            </w:r>
          </w:p>
        </w:tc>
        <w:tc>
          <w:tcPr>
            <w:tcW w:w="1587" w:type="dxa"/>
            <w:tcBorders/>
            <w:shd w:fill="CCEEFF" w:val="clear"/>
            <w:vAlign w:val="center"/>
          </w:tcPr>
          <w:p>
            <w:pPr>
              <w:pStyle w:val="TableContents"/>
              <w:bidi w:val="0"/>
              <w:spacing w:before="0" w:after="283"/>
              <w:jc w:val="right"/>
              <w:rPr>
                <w:color w:val="000000"/>
              </w:rPr>
            </w:pPr>
            <w:r>
              <w:rPr>
                <w:color w:val="000000"/>
              </w:rPr>
              <w:t>7,520,000</w:t>
            </w:r>
          </w:p>
        </w:tc>
        <w:tc>
          <w:tcPr>
            <w:tcW w:w="110" w:type="dxa"/>
            <w:tcBorders/>
            <w:shd w:fill="CCEEFF" w:val="clear"/>
            <w:vAlign w:val="center"/>
          </w:tcPr>
          <w:p>
            <w:pPr>
              <w:pStyle w:val="TableContents"/>
              <w:bidi w:val="0"/>
              <w:spacing w:before="0" w:after="283"/>
              <w:jc w:val="left"/>
              <w:rPr>
                <w:color w:val="000000"/>
              </w:rPr>
            </w:pPr>
            <w:r>
              <w:rPr>
                <w:color w:val="000000"/>
              </w:rPr>
              <w:t> </w:t>
            </w:r>
            <w:bookmarkStart w:id="769" w:name="xdx_40E_eus-gaap--OperatingLeaseLiabilit"/>
            <w:bookmarkEnd w:id="769"/>
          </w:p>
        </w:tc>
      </w:tr>
      <w:tr>
        <w:trPr/>
        <w:tc>
          <w:tcPr>
            <w:tcW w:w="4715" w:type="dxa"/>
            <w:tcBorders/>
            <w:shd w:fill="FFFFFF" w:val="clear"/>
            <w:vAlign w:val="center"/>
          </w:tcPr>
          <w:p>
            <w:pPr>
              <w:pStyle w:val="TableContents"/>
              <w:bidi w:val="0"/>
              <w:spacing w:before="0" w:after="283"/>
              <w:jc w:val="left"/>
              <w:rPr>
                <w:color w:val="000000"/>
              </w:rPr>
            </w:pPr>
            <w:r>
              <w:rPr>
                <w:color w:val="000000"/>
              </w:rPr>
              <w:t>Less: current portion, operating lease obligations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(785,000</w:t>
            </w:r>
          </w:p>
        </w:tc>
        <w:tc>
          <w:tcPr>
            <w:tcW w:w="110" w:type="dxa"/>
            <w:tcBorders/>
            <w:shd w:fill="FFFFFF" w:val="clear"/>
            <w:vAlign w:val="center"/>
          </w:tcPr>
          <w:p>
            <w:pPr>
              <w:pStyle w:val="TableContents"/>
              <w:bidi w:val="0"/>
              <w:spacing w:before="0" w:after="283"/>
              <w:jc w:val="left"/>
              <w:rPr>
                <w:color w:val="000000"/>
              </w:rPr>
            </w:pPr>
            <w:r>
              <w:rPr>
                <w:color w:val="000000"/>
              </w:rPr>
              <w:t>)</w:t>
            </w:r>
            <w:bookmarkStart w:id="770" w:name="xdx_40C_eus-gaap--OperatingLeaseLiabilit"/>
            <w:bookmarkEnd w:id="770"/>
          </w:p>
        </w:tc>
      </w:tr>
      <w:tr>
        <w:trPr/>
        <w:tc>
          <w:tcPr>
            <w:tcW w:w="4715" w:type="dxa"/>
            <w:tcBorders/>
            <w:shd w:fill="CCEEFF" w:val="clear"/>
            <w:vAlign w:val="center"/>
          </w:tcPr>
          <w:p>
            <w:pPr>
              <w:pStyle w:val="TableContents"/>
              <w:bidi w:val="0"/>
              <w:spacing w:before="0" w:after="283"/>
              <w:jc w:val="left"/>
              <w:rPr>
                <w:color w:val="000000"/>
              </w:rPr>
            </w:pPr>
            <w:r>
              <w:rPr>
                <w:color w:val="000000"/>
              </w:rPr>
              <w:t>Operating lease obligations, net of current portion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6,735,000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771" w:name="xdx_8AF_zRxaTUMOY2ma"/>
      <w:bookmarkEnd w:id="771"/>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772" w:name="xdx_806_eus-gaap--ShareholdersEquityAndS"/>
      <w:bookmarkEnd w:id="772"/>
      <w:r>
        <w:rPr>
          <w:rFonts w:ascii="Times New Roman;Times;Serif" w:hAnsi="Times New Roman;Times;Serif"/>
          <w:b/>
          <w:i w:val="false"/>
          <w:caps w:val="false"/>
          <w:smallCaps w:val="false"/>
          <w:color w:val="000000"/>
          <w:sz w:val="20"/>
        </w:rPr>
        <w:t xml:space="preserve">NOTE 15. </w:t>
      </w:r>
      <w:bookmarkStart w:id="773" w:name="xdx_820_zt98ULD14vm7"/>
      <w:bookmarkEnd w:id="773"/>
      <w:r>
        <w:rPr>
          <w:rFonts w:ascii="Times New Roman;Times;Serif" w:hAnsi="Times New Roman;Times;Serif"/>
          <w:b/>
          <w:i w:val="false"/>
          <w:caps w:val="false"/>
          <w:smallCaps w:val="false"/>
          <w:color w:val="000000"/>
          <w:sz w:val="20"/>
        </w:rPr>
        <w:t xml:space="preserve">STOCKHOLDERS’ EQUITY AND STOCK-BASED COMPENSATION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Common Stock</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the Company closed a public offering of shares of its common stock at an offering price of $</w:t>
      </w:r>
      <w:bookmarkStart w:id="774" w:name="xdx_905_eus-gaap--SaleOfStockPricePerSha"/>
      <w:bookmarkEnd w:id="774"/>
      <w:r>
        <w:rPr>
          <w:rFonts w:ascii="Times New Roman;Times;Serif" w:hAnsi="Times New Roman;Times;Serif"/>
          <w:b w:val="false"/>
          <w:i w:val="false"/>
          <w:caps w:val="false"/>
          <w:smallCaps w:val="false"/>
          <w:color w:val="000000"/>
          <w:sz w:val="20"/>
        </w:rPr>
        <w:t xml:space="preserve">17.75 per share (the “Offering”). The Company sold </w:t>
      </w:r>
      <w:bookmarkStart w:id="775" w:name="xdx_90D_eus-gaap--SaleOfStockNumberOfSha"/>
      <w:bookmarkEnd w:id="775"/>
      <w:r>
        <w:rPr>
          <w:rFonts w:ascii="Times New Roman;Times;Serif" w:hAnsi="Times New Roman;Times;Serif"/>
          <w:b w:val="false"/>
          <w:i w:val="false"/>
          <w:caps w:val="false"/>
          <w:smallCaps w:val="false"/>
          <w:color w:val="000000"/>
          <w:sz w:val="20"/>
        </w:rPr>
        <w:t>3,887,324 shares of its common stock in the Offering, resulting in the Company receiving aggregate net proceeds of $</w:t>
      </w:r>
      <w:bookmarkStart w:id="776" w:name="xdx_909_eus-gaap--ProceedsFromIssuanceOf"/>
      <w:bookmarkEnd w:id="776"/>
      <w:r>
        <w:rPr>
          <w:rFonts w:ascii="Times New Roman;Times;Serif" w:hAnsi="Times New Roman;Times;Serif"/>
          <w:b w:val="false"/>
          <w:i w:val="false"/>
          <w:caps w:val="false"/>
          <w:smallCaps w:val="false"/>
          <w:color w:val="000000"/>
          <w:sz w:val="20"/>
        </w:rPr>
        <w:t>64,520,000, after deducting underwriting discounts and commissions and other offering expenses of $</w:t>
      </w:r>
      <w:bookmarkStart w:id="777" w:name="xdx_90E_eus-gaap--OtherExpenses_c2023070"/>
      <w:bookmarkEnd w:id="777"/>
      <w:r>
        <w:rPr>
          <w:rFonts w:ascii="Times New Roman;Times;Serif" w:hAnsi="Times New Roman;Times;Serif"/>
          <w:b w:val="false"/>
          <w:i w:val="false"/>
          <w:caps w:val="false"/>
          <w:smallCaps w:val="false"/>
          <w:color w:val="000000"/>
          <w:sz w:val="20"/>
        </w:rPr>
        <w:t>4,480,000.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July 2023, the Company settled </w:t>
      </w:r>
      <w:bookmarkStart w:id="778" w:name="xdx_905_eus-gaap--ShareBasedCompensation"/>
      <w:bookmarkEnd w:id="778"/>
      <w:r>
        <w:rPr>
          <w:rFonts w:ascii="Times New Roman;Times;Serif" w:hAnsi="Times New Roman;Times;Serif"/>
          <w:b w:val="false"/>
          <w:i w:val="false"/>
          <w:caps w:val="false"/>
          <w:smallCaps w:val="false"/>
          <w:color w:val="000000"/>
          <w:sz w:val="20"/>
        </w:rPr>
        <w:t xml:space="preserve">1,567,913 outstanding PSUs as a result of the achievement of the total stockholder returns (“TSR”) targets set forth in equity incentive awards (the “PSU Agreements”) previously issued to members of the Company’s management team in 2021 (the “2021 Awards”). The 2021 Awards were separated into four tranches and required that the Company achieve and maintain certain levels of TSR ranging from </w:t>
      </w:r>
      <w:bookmarkStart w:id="779" w:name="xdx_901_ecustom--PercentageOfStockholder"/>
      <w:bookmarkEnd w:id="779"/>
      <w:r>
        <w:rPr>
          <w:rFonts w:ascii="Times New Roman;Times;Serif" w:hAnsi="Times New Roman;Times;Serif"/>
          <w:b w:val="false"/>
          <w:i w:val="false"/>
          <w:caps w:val="false"/>
          <w:smallCaps w:val="false"/>
          <w:color w:val="000000"/>
          <w:sz w:val="20"/>
        </w:rPr>
        <w:t xml:space="preserve">50% to </w:t>
      </w:r>
      <w:bookmarkStart w:id="780" w:name="xdx_90A_ecustom--PercentageOfStockholder"/>
      <w:bookmarkEnd w:id="780"/>
      <w:r>
        <w:rPr>
          <w:rFonts w:ascii="Times New Roman;Times;Serif" w:hAnsi="Times New Roman;Times;Serif"/>
          <w:b w:val="false"/>
          <w:i w:val="false"/>
          <w:caps w:val="false"/>
          <w:smallCaps w:val="false"/>
          <w:color w:val="000000"/>
          <w:sz w:val="20"/>
        </w:rPr>
        <w:t xml:space="preserve">175% per share during the five-year period following the grant date. TSR was based on the aggregate of: (i) the percent increase of the closing price of the Company’s common stock from July 22, 2021; and (ii) any dividends or like stockholder distributions as specified in the PSU Agreements. In connection with the settlement of the 2021 Awards, an aggregate of </w:t>
      </w:r>
      <w:bookmarkStart w:id="781" w:name="xdx_906_eus-gaap--SharesPaidForTaxWithho"/>
      <w:bookmarkEnd w:id="781"/>
      <w:r>
        <w:rPr>
          <w:rFonts w:ascii="Times New Roman;Times;Serif" w:hAnsi="Times New Roman;Times;Serif"/>
          <w:b w:val="false"/>
          <w:i w:val="false"/>
          <w:caps w:val="false"/>
          <w:smallCaps w:val="false"/>
          <w:color w:val="000000"/>
          <w:sz w:val="20"/>
        </w:rPr>
        <w:t>616,984 shares of the Company’s common stock was withheld by Harrow for payroll tax obligations totaling $</w:t>
      </w:r>
      <w:bookmarkStart w:id="782" w:name="xdx_904_eus-gaap--PaymentsRelatedToTaxWi"/>
      <w:bookmarkEnd w:id="782"/>
      <w:r>
        <w:rPr>
          <w:rFonts w:ascii="Times New Roman;Times;Serif" w:hAnsi="Times New Roman;Times;Serif"/>
          <w:b w:val="false"/>
          <w:i w:val="false"/>
          <w:caps w:val="false"/>
          <w:smallCaps w:val="false"/>
          <w:color w:val="000000"/>
          <w:sz w:val="20"/>
        </w:rPr>
        <w:t>11,273,000.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the Company issued </w:t>
      </w:r>
      <w:bookmarkStart w:id="783" w:name="xdx_90A_eus-gaap--StockIssuedDuringPerio"/>
      <w:bookmarkEnd w:id="783"/>
      <w:r>
        <w:rPr>
          <w:rFonts w:ascii="Times New Roman;Times;Serif" w:hAnsi="Times New Roman;Times;Serif"/>
          <w:b w:val="false"/>
          <w:i w:val="false"/>
          <w:caps w:val="false"/>
          <w:smallCaps w:val="false"/>
          <w:color w:val="000000"/>
          <w:sz w:val="20"/>
        </w:rPr>
        <w:t xml:space="preserve">131,760 shares of its common stock underlying RSUs held by a director that ceased providing services to the Company. The RSUs had previously vested, including </w:t>
      </w:r>
      <w:bookmarkStart w:id="784" w:name="xdx_908_eus-gaap--SharebasedCompensation"/>
      <w:bookmarkEnd w:id="784"/>
      <w:r>
        <w:rPr>
          <w:rFonts w:ascii="Times New Roman;Times;Serif" w:hAnsi="Times New Roman;Times;Serif"/>
          <w:b w:val="false"/>
          <w:i w:val="false"/>
          <w:caps w:val="false"/>
          <w:smallCaps w:val="false"/>
          <w:color w:val="000000"/>
          <w:sz w:val="20"/>
        </w:rPr>
        <w:t>13,123 RSUs during the nine months ended September 30, 2023, but the issuance and delivery of the shares were deferred until the director ceased providing services to the Company.</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the Company issued </w:t>
      </w:r>
      <w:bookmarkStart w:id="785" w:name="xdx_908_eus-gaap--StockIssuedDuringPerio"/>
      <w:bookmarkEnd w:id="785"/>
      <w:r>
        <w:rPr>
          <w:rFonts w:ascii="Times New Roman;Times;Serif" w:hAnsi="Times New Roman;Times;Serif"/>
          <w:b w:val="false"/>
          <w:i w:val="false"/>
          <w:caps w:val="false"/>
          <w:smallCaps w:val="false"/>
          <w:color w:val="000000"/>
          <w:sz w:val="20"/>
        </w:rPr>
        <w:t>61,934 shares of common stock and received proceeds of $</w:t>
      </w:r>
      <w:bookmarkStart w:id="786" w:name="xdx_909_eus-gaap--ProceedsFromStockOptio"/>
      <w:bookmarkEnd w:id="786"/>
      <w:r>
        <w:rPr>
          <w:rFonts w:ascii="Times New Roman;Times;Serif" w:hAnsi="Times New Roman;Times;Serif"/>
          <w:b w:val="false"/>
          <w:i w:val="false"/>
          <w:caps w:val="false"/>
          <w:smallCaps w:val="false"/>
          <w:color w:val="000000"/>
          <w:sz w:val="20"/>
        </w:rPr>
        <w:t xml:space="preserve">355,000 upon the exercise of options to purchase </w:t>
      </w:r>
      <w:bookmarkStart w:id="787" w:name="xdx_90C_eus-gaap--StockIssuedDuringPerio"/>
      <w:bookmarkEnd w:id="787"/>
      <w:r>
        <w:rPr>
          <w:rFonts w:ascii="Times New Roman;Times;Serif" w:hAnsi="Times New Roman;Times;Serif"/>
          <w:b w:val="false"/>
          <w:i w:val="false"/>
          <w:caps w:val="false"/>
          <w:smallCaps w:val="false"/>
          <w:color w:val="000000"/>
          <w:sz w:val="20"/>
        </w:rPr>
        <w:t>61,934 shares of common stock with exercise prices ranging from $</w:t>
      </w:r>
      <w:bookmarkStart w:id="788" w:name="xdx_904_eus-gaap--ShareBasedCompensation"/>
      <w:bookmarkEnd w:id="788"/>
      <w:r>
        <w:rPr>
          <w:rFonts w:ascii="Times New Roman;Times;Serif" w:hAnsi="Times New Roman;Times;Serif"/>
          <w:b w:val="false"/>
          <w:i w:val="false"/>
          <w:caps w:val="false"/>
          <w:smallCaps w:val="false"/>
          <w:color w:val="000000"/>
          <w:sz w:val="20"/>
        </w:rPr>
        <w:t>1.70 to $</w:t>
      </w:r>
      <w:bookmarkStart w:id="789" w:name="xdx_905_eus-gaap--ShareBasedCompensation"/>
      <w:bookmarkEnd w:id="789"/>
      <w:r>
        <w:rPr>
          <w:rFonts w:ascii="Times New Roman;Times;Serif" w:hAnsi="Times New Roman;Times;Serif"/>
          <w:b w:val="false"/>
          <w:i w:val="false"/>
          <w:caps w:val="false"/>
          <w:smallCaps w:val="false"/>
          <w:color w:val="000000"/>
          <w:sz w:val="20"/>
        </w:rPr>
        <w:t>8.50 per share.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the Company issued </w:t>
      </w:r>
      <w:bookmarkStart w:id="790" w:name="xdx_902_eus-gaap--StockIssuedDuringPerio"/>
      <w:bookmarkEnd w:id="790"/>
      <w:r>
        <w:rPr>
          <w:rFonts w:ascii="Times New Roman;Times;Serif" w:hAnsi="Times New Roman;Times;Serif"/>
          <w:b w:val="false"/>
          <w:i w:val="false"/>
          <w:caps w:val="false"/>
          <w:smallCaps w:val="false"/>
          <w:color w:val="000000"/>
          <w:sz w:val="20"/>
        </w:rPr>
        <w:t xml:space="preserve">62,367 shares of common stock to Mark L. Baum, the Company’s Chief Executive Officer, upon the cashless exercise of options to purchase </w:t>
      </w:r>
      <w:bookmarkStart w:id="791" w:name="xdx_909_ecustom--CashlessExerciseOfOptio"/>
      <w:bookmarkEnd w:id="791"/>
      <w:r>
        <w:rPr>
          <w:rFonts w:ascii="Times New Roman;Times;Serif" w:hAnsi="Times New Roman;Times;Serif"/>
          <w:b w:val="false"/>
          <w:i w:val="false"/>
          <w:caps w:val="false"/>
          <w:smallCaps w:val="false"/>
          <w:color w:val="000000"/>
          <w:sz w:val="20"/>
        </w:rPr>
        <w:t>180,000 shares at an exercise price of $</w:t>
      </w:r>
      <w:bookmarkStart w:id="792" w:name="xdx_906_eus-gaap--ShareBasedCompensation"/>
      <w:bookmarkEnd w:id="792"/>
      <w:r>
        <w:rPr>
          <w:rFonts w:ascii="Times New Roman;Times;Serif" w:hAnsi="Times New Roman;Times;Serif"/>
          <w:b w:val="false"/>
          <w:i w:val="false"/>
          <w:caps w:val="false"/>
          <w:smallCaps w:val="false"/>
          <w:color w:val="000000"/>
          <w:sz w:val="20"/>
        </w:rPr>
        <w:t xml:space="preserve">8.99 per share. The Company withheld from Mr. Baum </w:t>
      </w:r>
      <w:bookmarkStart w:id="793" w:name="xdx_903_eus-gaap--SharesPaidForTaxWithho"/>
      <w:bookmarkEnd w:id="793"/>
      <w:r>
        <w:rPr>
          <w:rFonts w:ascii="Times New Roman;Times;Serif" w:hAnsi="Times New Roman;Times;Serif"/>
          <w:b w:val="false"/>
          <w:i w:val="false"/>
          <w:caps w:val="false"/>
          <w:smallCaps w:val="false"/>
          <w:color w:val="000000"/>
          <w:sz w:val="20"/>
        </w:rPr>
        <w:t xml:space="preserve">77,167 shares as consideration for the cashless exercise and an additional </w:t>
      </w:r>
      <w:bookmarkStart w:id="794" w:name="xdx_901_ecustom--AddtionalSharesPaidForT"/>
      <w:bookmarkEnd w:id="794"/>
      <w:r>
        <w:rPr>
          <w:rFonts w:ascii="Times New Roman;Times;Serif" w:hAnsi="Times New Roman;Times;Serif"/>
          <w:b w:val="false"/>
          <w:i w:val="false"/>
          <w:caps w:val="false"/>
          <w:smallCaps w:val="false"/>
          <w:color w:val="000000"/>
          <w:sz w:val="20"/>
        </w:rPr>
        <w:t>40,466 shares for payroll tax obligations totaling $</w:t>
      </w:r>
      <w:bookmarkStart w:id="795" w:name="xdx_902_eus-gaap--PaymentsRelatedToTaxWi"/>
      <w:bookmarkEnd w:id="795"/>
      <w:r>
        <w:rPr>
          <w:rFonts w:ascii="Times New Roman;Times;Serif" w:hAnsi="Times New Roman;Times;Serif"/>
          <w:b w:val="false"/>
          <w:i w:val="false"/>
          <w:caps w:val="false"/>
          <w:smallCaps w:val="false"/>
          <w:color w:val="000000"/>
          <w:sz w:val="20"/>
        </w:rPr>
        <w:t>849,000.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the Company issued </w:t>
      </w:r>
      <w:bookmarkStart w:id="796" w:name="xdx_900_eus-gaap--StockIssuedDuringPerio"/>
      <w:bookmarkEnd w:id="796"/>
      <w:r>
        <w:rPr>
          <w:rFonts w:ascii="Times New Roman;Times;Serif" w:hAnsi="Times New Roman;Times;Serif"/>
          <w:b w:val="false"/>
          <w:i w:val="false"/>
          <w:caps w:val="false"/>
          <w:smallCaps w:val="false"/>
          <w:color w:val="000000"/>
          <w:sz w:val="20"/>
        </w:rPr>
        <w:t xml:space="preserve">55,558 shares of common stock to Andrew R. Boll, the Company’s Chief Financial Officer, upon the cashless exercise of options to purchase </w:t>
      </w:r>
      <w:bookmarkStart w:id="797" w:name="xdx_902_ecustom--CashlessExerciseOfOptio"/>
      <w:bookmarkEnd w:id="797"/>
      <w:r>
        <w:rPr>
          <w:rFonts w:ascii="Times New Roman;Times;Serif" w:hAnsi="Times New Roman;Times;Serif"/>
          <w:b w:val="false"/>
          <w:i w:val="false"/>
          <w:caps w:val="false"/>
          <w:smallCaps w:val="false"/>
          <w:color w:val="000000"/>
          <w:sz w:val="20"/>
        </w:rPr>
        <w:t>90,000 shares at an exercise price of $</w:t>
      </w:r>
      <w:bookmarkStart w:id="798" w:name="xdx_90E_eus-gaap--ShareBasedCompensation"/>
      <w:bookmarkEnd w:id="798"/>
      <w:r>
        <w:rPr>
          <w:rFonts w:ascii="Times New Roman;Times;Serif" w:hAnsi="Times New Roman;Times;Serif"/>
          <w:b w:val="false"/>
          <w:i w:val="false"/>
          <w:caps w:val="false"/>
          <w:smallCaps w:val="false"/>
          <w:color w:val="000000"/>
          <w:sz w:val="20"/>
        </w:rPr>
        <w:t xml:space="preserve">6.00 per share. The Company withheld from Mr. Boll </w:t>
      </w:r>
      <w:bookmarkStart w:id="799" w:name="xdx_90F_eus-gaap--SharesPaidForTaxWithho"/>
      <w:bookmarkEnd w:id="799"/>
      <w:r>
        <w:rPr>
          <w:rFonts w:ascii="Times New Roman;Times;Serif" w:hAnsi="Times New Roman;Times;Serif"/>
          <w:b w:val="false"/>
          <w:i w:val="false"/>
          <w:caps w:val="false"/>
          <w:smallCaps w:val="false"/>
          <w:color w:val="000000"/>
          <w:sz w:val="20"/>
        </w:rPr>
        <w:t xml:space="preserve">25,521 shares as consideration for the cashless exercise and an additional </w:t>
      </w:r>
      <w:bookmarkStart w:id="800" w:name="xdx_909_ecustom--AddtionalSharesPaidForT"/>
      <w:bookmarkEnd w:id="800"/>
      <w:r>
        <w:rPr>
          <w:rFonts w:ascii="Times New Roman;Times;Serif" w:hAnsi="Times New Roman;Times;Serif"/>
          <w:b w:val="false"/>
          <w:i w:val="false"/>
          <w:caps w:val="false"/>
          <w:smallCaps w:val="false"/>
          <w:color w:val="000000"/>
          <w:sz w:val="20"/>
        </w:rPr>
        <w:t>8,921 shares for payroll tax obligations totaling $</w:t>
      </w:r>
      <w:bookmarkStart w:id="801" w:name="xdx_90A_eus-gaap--PaymentsRelatedToTaxWi"/>
      <w:bookmarkEnd w:id="801"/>
      <w:r>
        <w:rPr>
          <w:rFonts w:ascii="Times New Roman;Times;Serif" w:hAnsi="Times New Roman;Times;Serif"/>
          <w:b w:val="false"/>
          <w:i w:val="false"/>
          <w:caps w:val="false"/>
          <w:smallCaps w:val="false"/>
          <w:color w:val="000000"/>
          <w:sz w:val="20"/>
        </w:rPr>
        <w:t>189,000.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upon vesting of </w:t>
      </w:r>
      <w:bookmarkStart w:id="802" w:name="xdx_907_eus-gaap--ShareBasedCompensation"/>
      <w:bookmarkEnd w:id="802"/>
      <w:r>
        <w:rPr>
          <w:rFonts w:ascii="Times New Roman;Times;Serif" w:hAnsi="Times New Roman;Times;Serif"/>
          <w:b w:val="false"/>
          <w:i w:val="false"/>
          <w:caps w:val="false"/>
          <w:smallCaps w:val="false"/>
          <w:color w:val="000000"/>
          <w:sz w:val="20"/>
        </w:rPr>
        <w:t xml:space="preserve">23,000 RSUs granted in January 2020 to Andrew R. Boll, the Company’s Chief Financial Officer, the Company issued </w:t>
      </w:r>
      <w:bookmarkStart w:id="803" w:name="xdx_90C_eus-gaap--StockIssuedDuringPerio"/>
      <w:bookmarkEnd w:id="803"/>
      <w:r>
        <w:rPr>
          <w:rFonts w:ascii="Times New Roman;Times;Serif" w:hAnsi="Times New Roman;Times;Serif"/>
          <w:b w:val="false"/>
          <w:i w:val="false"/>
          <w:caps w:val="false"/>
          <w:smallCaps w:val="false"/>
          <w:color w:val="000000"/>
          <w:sz w:val="20"/>
        </w:rPr>
        <w:t xml:space="preserve">13,398 shares of common stock to Mr. Boll, net of </w:t>
      </w:r>
      <w:bookmarkStart w:id="804" w:name="xdx_902_eus-gaap--SharesPaidForTaxWithho"/>
      <w:bookmarkEnd w:id="804"/>
      <w:r>
        <w:rPr>
          <w:rFonts w:ascii="Times New Roman;Times;Serif" w:hAnsi="Times New Roman;Times;Serif"/>
          <w:b w:val="false"/>
          <w:i w:val="false"/>
          <w:caps w:val="false"/>
          <w:smallCaps w:val="false"/>
          <w:color w:val="000000"/>
          <w:sz w:val="20"/>
        </w:rPr>
        <w:t>9,602 shares of common stock withheld for payroll tax withholdings totaling $</w:t>
      </w:r>
      <w:bookmarkStart w:id="805" w:name="xdx_90C_eus-gaap--PaymentsRelatedToTaxWi"/>
      <w:bookmarkEnd w:id="805"/>
      <w:r>
        <w:rPr>
          <w:rFonts w:ascii="Times New Roman;Times;Serif" w:hAnsi="Times New Roman;Times;Serif"/>
          <w:b w:val="false"/>
          <w:i w:val="false"/>
          <w:caps w:val="false"/>
          <w:smallCaps w:val="false"/>
          <w:color w:val="000000"/>
          <w:sz w:val="20"/>
        </w:rPr>
        <w:t>142,000.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upon vesting of </w:t>
      </w:r>
      <w:bookmarkStart w:id="806" w:name="xdx_907_eus-gaap--ShareBasedCompensation"/>
      <w:bookmarkEnd w:id="806"/>
      <w:r>
        <w:rPr>
          <w:rFonts w:ascii="Times New Roman;Times;Serif" w:hAnsi="Times New Roman;Times;Serif"/>
          <w:b w:val="false"/>
          <w:i w:val="false"/>
          <w:caps w:val="false"/>
          <w:smallCaps w:val="false"/>
          <w:color w:val="000000"/>
          <w:sz w:val="20"/>
        </w:rPr>
        <w:t xml:space="preserve">88,000 RSUs granted in January 2020 to Mark L. Baum, the Company’s Chief Executive Officer, the Company issued </w:t>
      </w:r>
      <w:bookmarkStart w:id="807" w:name="xdx_907_eus-gaap--StockIssuedDuringPerio"/>
      <w:bookmarkEnd w:id="807"/>
      <w:r>
        <w:rPr>
          <w:rFonts w:ascii="Times New Roman;Times;Serif" w:hAnsi="Times New Roman;Times;Serif"/>
          <w:b w:val="false"/>
          <w:i w:val="false"/>
          <w:caps w:val="false"/>
          <w:smallCaps w:val="false"/>
          <w:color w:val="000000"/>
          <w:sz w:val="20"/>
        </w:rPr>
        <w:t xml:space="preserve">52,821 shares of common stock to Mr. Baum, net of </w:t>
      </w:r>
      <w:bookmarkStart w:id="808" w:name="xdx_90E_eus-gaap--SharesPaidForTaxWithho"/>
      <w:bookmarkEnd w:id="808"/>
      <w:r>
        <w:rPr>
          <w:rFonts w:ascii="Times New Roman;Times;Serif" w:hAnsi="Times New Roman;Times;Serif"/>
          <w:b w:val="false"/>
          <w:i w:val="false"/>
          <w:caps w:val="false"/>
          <w:smallCaps w:val="false"/>
          <w:color w:val="000000"/>
          <w:sz w:val="20"/>
        </w:rPr>
        <w:t>35,179 shares of common stock withheld for payroll tax withholdings totaling $</w:t>
      </w:r>
      <w:bookmarkStart w:id="809" w:name="xdx_908_eus-gaap--PaymentsRelatedToTaxWi"/>
      <w:bookmarkEnd w:id="809"/>
      <w:r>
        <w:rPr>
          <w:rFonts w:ascii="Times New Roman;Times;Serif" w:hAnsi="Times New Roman;Times;Serif"/>
          <w:b w:val="false"/>
          <w:i w:val="false"/>
          <w:caps w:val="false"/>
          <w:smallCaps w:val="false"/>
          <w:color w:val="000000"/>
          <w:sz w:val="20"/>
        </w:rPr>
        <w:t>519,000.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w:t>
      </w:r>
      <w:bookmarkStart w:id="810" w:name="xdx_90A_eus-gaap--ShareBasedCompensation"/>
      <w:bookmarkEnd w:id="810"/>
      <w:r>
        <w:rPr>
          <w:rFonts w:ascii="Times New Roman;Times;Serif" w:hAnsi="Times New Roman;Times;Serif"/>
          <w:b w:val="false"/>
          <w:i w:val="false"/>
          <w:caps w:val="false"/>
          <w:smallCaps w:val="false"/>
          <w:color w:val="000000"/>
          <w:sz w:val="20"/>
        </w:rPr>
        <w:t>43,130 shares of the Company’s common stock underlying RSUs issued to directors vested, but the issuance and delivery of these shares were deferred until the applicable director ceased providing services to the Company.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Stock Option Plan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September 13, 2017, the Company’s Board of Directors and stockholders adopted the Company’s 2017 Incentive Stock and Awards Plan which was subsequently amended on September 3, 2021 (as amended, the “2017 Plan” and together with the 2007 Plan, the “Plans”). As of September 30, 2023, the 2017 Plan provided for the issuance of a maximum of </w:t>
      </w:r>
      <w:bookmarkStart w:id="811" w:name="xdx_90E_eus-gaap--ShareBasedCompensation"/>
      <w:bookmarkEnd w:id="811"/>
      <w:r>
        <w:rPr>
          <w:rFonts w:ascii="Times New Roman;Times;Serif" w:hAnsi="Times New Roman;Times;Serif"/>
          <w:b w:val="false"/>
          <w:i w:val="false"/>
          <w:caps w:val="false"/>
          <w:smallCaps w:val="false"/>
          <w:color w:val="000000"/>
          <w:sz w:val="20"/>
        </w:rPr>
        <w:t xml:space="preserve">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IRC of 1986, as amended, non-qualified stock options, restricted stock units, performance stock units and restricted stock. The Plans are administered by the Compensation Committee of the Company’s Board of Directors. The Company had </w:t>
      </w:r>
      <w:bookmarkStart w:id="812" w:name="xdx_900_eus-gaap--CommonStockCapitalShar"/>
      <w:bookmarkEnd w:id="812"/>
      <w:r>
        <w:rPr>
          <w:rFonts w:ascii="Times New Roman;Times;Serif" w:hAnsi="Times New Roman;Times;Serif"/>
          <w:b w:val="false"/>
          <w:i w:val="false"/>
          <w:caps w:val="false"/>
          <w:smallCaps w:val="false"/>
          <w:color w:val="000000"/>
          <w:sz w:val="20"/>
        </w:rPr>
        <w:t>490,493 shares available for future issuances under the 2017 Plan at September 30, 2023</w:t>
      </w:r>
      <w:r>
        <w:rPr>
          <w:rFonts w:ascii="Times New Roman;Times;Serif" w:hAnsi="Times New Roman;Times;Serif"/>
          <w:b w:val="false"/>
          <w:i w:val="false"/>
          <w:caps w:val="false"/>
          <w:smallCaps w:val="false"/>
          <w:color w:val="000000"/>
          <w:sz w:val="20"/>
          <w:shd w:fill="FFFFFF" w:val="clear"/>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Stock Options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bookmarkStart w:id="813" w:name="xdx_896_eus-gaap--ScheduleOfShareBasedCo"/>
      <w:bookmarkEnd w:id="813"/>
      <w:r>
        <w:rPr>
          <w:rFonts w:ascii="Times New Roman;Times;Serif" w:hAnsi="Times New Roman;Times;Serif"/>
          <w:b w:val="false"/>
          <w:i w:val="false"/>
          <w:caps w:val="false"/>
          <w:smallCaps w:val="false"/>
          <w:color w:val="000000"/>
          <w:sz w:val="20"/>
        </w:rPr>
        <w:t>A summary of stock option activity under the Plans for the nine months ended September 30, 2023 is as follows: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bookmarkStart w:id="814" w:name="xdx_8B5_z19cwQtiMZR1"/>
      <w:bookmarkEnd w:id="814"/>
      <w:r>
        <w:rPr>
          <w:rFonts w:ascii="Times New Roman;Times;Serif" w:hAnsi="Times New Roman;Times;Serif"/>
          <w:b w:val="false"/>
          <w:i w:val="false"/>
          <w:caps w:val="false"/>
          <w:smallCaps w:val="false"/>
          <w:color w:val="000000"/>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478"/>
        <w:gridCol w:w="60"/>
        <w:gridCol w:w="81"/>
        <w:gridCol w:w="1327"/>
        <w:gridCol w:w="95"/>
        <w:gridCol w:w="60"/>
        <w:gridCol w:w="279"/>
        <w:gridCol w:w="1117"/>
        <w:gridCol w:w="60"/>
        <w:gridCol w:w="60"/>
        <w:gridCol w:w="338"/>
        <w:gridCol w:w="2485"/>
        <w:gridCol w:w="60"/>
        <w:gridCol w:w="60"/>
        <w:gridCol w:w="176"/>
        <w:gridCol w:w="1389"/>
        <w:gridCol w:w="80"/>
      </w:tblGrid>
      <w:tr>
        <w:trPr/>
        <w:tc>
          <w:tcPr>
            <w:tcW w:w="2478"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Number of 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96" w:type="dxa"/>
            <w:gridSpan w:val="2"/>
            <w:tcBorders>
              <w:bottom w:val="single" w:sz="12" w:space="0" w:color="000000"/>
            </w:tcBorders>
            <w:tcMar>
              <w:bottom w:w="28" w:type="dxa"/>
            </w:tcMar>
            <w:vAlign w:val="center"/>
          </w:tcPr>
          <w:p>
            <w:pPr>
              <w:pStyle w:val="TableContents"/>
              <w:bidi w:val="0"/>
              <w:jc w:val="center"/>
              <w:rPr>
                <w:b/>
                <w:color w:val="000000"/>
              </w:rPr>
            </w:pPr>
            <w:r>
              <w:rPr>
                <w:b/>
                <w:color w:val="000000"/>
              </w:rPr>
              <w:t>Weighted Average</w:t>
              <w:br/>
              <w:t>Exercise</w:t>
            </w:r>
          </w:p>
          <w:p>
            <w:pPr>
              <w:pStyle w:val="TableContents"/>
              <w:bidi w:val="0"/>
              <w:spacing w:before="0" w:after="283"/>
              <w:jc w:val="center"/>
              <w:rPr>
                <w:b/>
                <w:color w:val="000000"/>
              </w:rPr>
            </w:pPr>
            <w:r>
              <w:rPr>
                <w:b/>
                <w:color w:val="000000"/>
              </w:rPr>
              <w:t>Price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2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Weighted Average Remaining Contractual Life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65" w:type="dxa"/>
            <w:gridSpan w:val="2"/>
            <w:tcBorders>
              <w:bottom w:val="single" w:sz="12" w:space="0" w:color="000000"/>
            </w:tcBorders>
            <w:tcMar>
              <w:bottom w:w="28" w:type="dxa"/>
            </w:tcMar>
            <w:vAlign w:val="center"/>
          </w:tcPr>
          <w:p>
            <w:pPr>
              <w:pStyle w:val="TableContents"/>
              <w:bidi w:val="0"/>
              <w:jc w:val="center"/>
              <w:rPr>
                <w:b/>
                <w:color w:val="000000"/>
              </w:rPr>
            </w:pPr>
            <w:r>
              <w:rPr>
                <w:b/>
                <w:color w:val="000000"/>
              </w:rPr>
              <w:t>Aggregate Intrinsic</w:t>
            </w:r>
          </w:p>
          <w:p>
            <w:pPr>
              <w:pStyle w:val="TableContents"/>
              <w:bidi w:val="0"/>
              <w:spacing w:before="0" w:after="283"/>
              <w:jc w:val="center"/>
              <w:rPr>
                <w:b/>
                <w:color w:val="000000"/>
              </w:rPr>
            </w:pPr>
            <w:r>
              <w:rPr>
                <w:b/>
                <w:color w:val="000000"/>
              </w:rPr>
              <w:t>Value</w:t>
            </w:r>
          </w:p>
        </w:tc>
        <w:tc>
          <w:tcPr>
            <w:tcW w:w="80" w:type="dxa"/>
            <w:tcBorders/>
            <w:vAlign w:val="center"/>
          </w:tcPr>
          <w:p>
            <w:pPr>
              <w:pStyle w:val="TableContents"/>
              <w:bidi w:val="0"/>
              <w:spacing w:before="0" w:after="283"/>
              <w:jc w:val="left"/>
              <w:rPr>
                <w:color w:val="000000"/>
              </w:rPr>
            </w:pPr>
            <w:r>
              <w:rPr>
                <w:color w:val="000000"/>
              </w:rPr>
              <w:t> </w:t>
            </w:r>
          </w:p>
        </w:tc>
      </w:tr>
      <w:tr>
        <w:trPr/>
        <w:tc>
          <w:tcPr>
            <w:tcW w:w="2478" w:type="dxa"/>
            <w:tcBorders/>
            <w:shd w:fill="CCEEFF" w:val="clear"/>
            <w:vAlign w:val="center"/>
          </w:tcPr>
          <w:p>
            <w:pPr>
              <w:pStyle w:val="TableContents"/>
              <w:bidi w:val="0"/>
              <w:spacing w:before="0" w:after="283"/>
              <w:jc w:val="left"/>
              <w:rPr>
                <w:color w:val="000000"/>
              </w:rPr>
            </w:pPr>
            <w:r>
              <w:rPr>
                <w:color w:val="000000"/>
              </w:rPr>
              <w:t>Options outstanding –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shd w:fill="CCEEFF" w:val="clear"/>
            <w:vAlign w:val="center"/>
          </w:tcPr>
          <w:p>
            <w:pPr>
              <w:pStyle w:val="TableContents"/>
              <w:bidi w:val="0"/>
              <w:spacing w:before="0" w:after="283"/>
              <w:jc w:val="left"/>
              <w:rPr>
                <w:color w:val="000000"/>
              </w:rPr>
            </w:pPr>
            <w:r>
              <w:rPr>
                <w:color w:val="000000"/>
              </w:rPr>
              <w:t> </w:t>
            </w:r>
            <w:bookmarkStart w:id="815" w:name="xdx_98F_eus-gaap--ShareBasedCompensation"/>
            <w:bookmarkEnd w:id="815"/>
          </w:p>
        </w:tc>
        <w:tc>
          <w:tcPr>
            <w:tcW w:w="1327" w:type="dxa"/>
            <w:tcBorders/>
            <w:shd w:fill="CCEEFF" w:val="clear"/>
            <w:vAlign w:val="center"/>
          </w:tcPr>
          <w:p>
            <w:pPr>
              <w:pStyle w:val="TableContents"/>
              <w:bidi w:val="0"/>
              <w:spacing w:before="0" w:after="283"/>
              <w:jc w:val="right"/>
              <w:rPr>
                <w:color w:val="000000"/>
              </w:rPr>
            </w:pPr>
            <w:r>
              <w:rPr>
                <w:color w:val="000000"/>
              </w:rPr>
              <w:t>3,027,701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79" w:type="dxa"/>
            <w:tcBorders/>
            <w:shd w:fill="CCEEFF" w:val="clear"/>
            <w:vAlign w:val="center"/>
          </w:tcPr>
          <w:p>
            <w:pPr>
              <w:pStyle w:val="TableContents"/>
              <w:bidi w:val="0"/>
              <w:spacing w:before="0" w:after="283"/>
              <w:jc w:val="left"/>
              <w:rPr>
                <w:color w:val="000000"/>
              </w:rPr>
            </w:pPr>
            <w:r>
              <w:rPr>
                <w:color w:val="000000"/>
              </w:rPr>
              <w:t>$</w:t>
            </w:r>
            <w:bookmarkStart w:id="816" w:name="xdx_981_eus-gaap--ShareBasedCompensation"/>
            <w:bookmarkEnd w:id="816"/>
          </w:p>
        </w:tc>
        <w:tc>
          <w:tcPr>
            <w:tcW w:w="1117" w:type="dxa"/>
            <w:tcBorders/>
            <w:shd w:fill="CCEEFF" w:val="clear"/>
            <w:vAlign w:val="center"/>
          </w:tcPr>
          <w:p>
            <w:pPr>
              <w:pStyle w:val="TableContents"/>
              <w:bidi w:val="0"/>
              <w:spacing w:before="0" w:after="283"/>
              <w:jc w:val="right"/>
              <w:rPr>
                <w:color w:val="000000"/>
              </w:rPr>
            </w:pPr>
            <w:r>
              <w:rPr>
                <w:color w:val="000000"/>
              </w:rPr>
              <w:t>5.90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38" w:type="dxa"/>
            <w:tcBorders/>
            <w:shd w:fill="CCEEFF" w:val="clear"/>
            <w:vAlign w:val="center"/>
          </w:tcPr>
          <w:p>
            <w:pPr>
              <w:pStyle w:val="TableContents"/>
              <w:bidi w:val="0"/>
              <w:spacing w:before="0" w:after="283"/>
              <w:jc w:val="left"/>
              <w:rPr>
                <w:color w:val="000000"/>
              </w:rPr>
            </w:pPr>
            <w:r>
              <w:rPr>
                <w:color w:val="000000"/>
              </w:rPr>
              <w:t> </w:t>
            </w:r>
          </w:p>
        </w:tc>
        <w:tc>
          <w:tcPr>
            <w:tcW w:w="2485"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389" w:type="dxa"/>
            <w:tcBorders/>
            <w:shd w:fill="CCEEFF" w:val="clear"/>
            <w:vAlign w:val="center"/>
          </w:tcPr>
          <w:p>
            <w:pPr>
              <w:pStyle w:val="TableContents"/>
              <w:bidi w:val="0"/>
              <w:spacing w:before="0" w:after="283"/>
              <w:jc w:val="right"/>
              <w:rPr>
                <w:color w:val="000000"/>
              </w:rPr>
            </w:pPr>
            <w:r>
              <w:rPr>
                <w:color w:val="000000"/>
              </w:rPr>
              <w:t> </w:t>
            </w:r>
          </w:p>
        </w:tc>
        <w:tc>
          <w:tcPr>
            <w:tcW w:w="80" w:type="dxa"/>
            <w:tcBorders/>
            <w:shd w:fill="CCEEFF" w:val="clear"/>
            <w:vAlign w:val="center"/>
          </w:tcPr>
          <w:p>
            <w:pPr>
              <w:pStyle w:val="TableContents"/>
              <w:bidi w:val="0"/>
              <w:spacing w:before="0" w:after="283"/>
              <w:jc w:val="left"/>
              <w:rPr>
                <w:color w:val="000000"/>
              </w:rPr>
            </w:pPr>
            <w:r>
              <w:rPr>
                <w:color w:val="000000"/>
              </w:rPr>
              <w:t> </w:t>
            </w:r>
          </w:p>
        </w:tc>
      </w:tr>
      <w:tr>
        <w:trPr/>
        <w:tc>
          <w:tcPr>
            <w:tcW w:w="2478" w:type="dxa"/>
            <w:tcBorders/>
            <w:shd w:fill="FFFFFF" w:val="clear"/>
            <w:vAlign w:val="center"/>
          </w:tcPr>
          <w:p>
            <w:pPr>
              <w:pStyle w:val="TableContents"/>
              <w:bidi w:val="0"/>
              <w:spacing w:before="0" w:after="283"/>
              <w:jc w:val="left"/>
              <w:rPr>
                <w:color w:val="000000"/>
              </w:rPr>
            </w:pPr>
            <w:r>
              <w:rPr>
                <w:color w:val="000000"/>
              </w:rPr>
              <w:t>Options 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1" w:type="dxa"/>
            <w:tcBorders/>
            <w:shd w:fill="FFFFFF" w:val="clear"/>
            <w:vAlign w:val="center"/>
          </w:tcPr>
          <w:p>
            <w:pPr>
              <w:pStyle w:val="TableContents"/>
              <w:bidi w:val="0"/>
              <w:spacing w:before="0" w:after="283"/>
              <w:jc w:val="left"/>
              <w:rPr>
                <w:color w:val="000000"/>
              </w:rPr>
            </w:pPr>
            <w:r>
              <w:rPr>
                <w:color w:val="000000"/>
              </w:rPr>
              <w:t> </w:t>
            </w:r>
            <w:bookmarkStart w:id="817" w:name="xdx_981_eus-gaap--ShareBasedCompensation"/>
            <w:bookmarkEnd w:id="817"/>
          </w:p>
        </w:tc>
        <w:tc>
          <w:tcPr>
            <w:tcW w:w="1327" w:type="dxa"/>
            <w:tcBorders/>
            <w:shd w:fill="FFFFFF" w:val="clear"/>
            <w:vAlign w:val="center"/>
          </w:tcPr>
          <w:p>
            <w:pPr>
              <w:pStyle w:val="TableContents"/>
              <w:bidi w:val="0"/>
              <w:spacing w:before="0" w:after="283"/>
              <w:jc w:val="right"/>
              <w:rPr>
                <w:color w:val="000000"/>
              </w:rPr>
            </w:pPr>
            <w:r>
              <w:rPr>
                <w:color w:val="000000"/>
              </w:rPr>
              <w:t>95,500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79" w:type="dxa"/>
            <w:tcBorders/>
            <w:shd w:fill="FFFFFF" w:val="clear"/>
            <w:vAlign w:val="center"/>
          </w:tcPr>
          <w:p>
            <w:pPr>
              <w:pStyle w:val="TableContents"/>
              <w:bidi w:val="0"/>
              <w:spacing w:before="0" w:after="283"/>
              <w:jc w:val="left"/>
              <w:rPr>
                <w:color w:val="000000"/>
              </w:rPr>
            </w:pPr>
            <w:r>
              <w:rPr>
                <w:color w:val="000000"/>
              </w:rPr>
              <w:t>$</w:t>
            </w:r>
            <w:bookmarkStart w:id="818" w:name="xdx_984_eus-gaap--ShareBasedCompensation"/>
            <w:bookmarkEnd w:id="818"/>
          </w:p>
        </w:tc>
        <w:tc>
          <w:tcPr>
            <w:tcW w:w="1117" w:type="dxa"/>
            <w:tcBorders/>
            <w:shd w:fill="FFFFFF" w:val="clear"/>
            <w:vAlign w:val="center"/>
          </w:tcPr>
          <w:p>
            <w:pPr>
              <w:pStyle w:val="TableContents"/>
              <w:bidi w:val="0"/>
              <w:spacing w:before="0" w:after="283"/>
              <w:jc w:val="right"/>
              <w:rPr>
                <w:color w:val="000000"/>
              </w:rPr>
            </w:pPr>
            <w:r>
              <w:rPr>
                <w:color w:val="000000"/>
              </w:rPr>
              <w:t>19.54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38" w:type="dxa"/>
            <w:tcBorders/>
            <w:shd w:fill="FFFFFF" w:val="clear"/>
            <w:vAlign w:val="center"/>
          </w:tcPr>
          <w:p>
            <w:pPr>
              <w:pStyle w:val="TableContents"/>
              <w:bidi w:val="0"/>
              <w:spacing w:before="0" w:after="283"/>
              <w:jc w:val="left"/>
              <w:rPr>
                <w:color w:val="000000"/>
              </w:rPr>
            </w:pPr>
            <w:r>
              <w:rPr>
                <w:color w:val="000000"/>
              </w:rPr>
              <w:t> </w:t>
            </w:r>
          </w:p>
        </w:tc>
        <w:tc>
          <w:tcPr>
            <w:tcW w:w="2485"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389" w:type="dxa"/>
            <w:tcBorders/>
            <w:shd w:fill="FFFFFF" w:val="clear"/>
            <w:vAlign w:val="center"/>
          </w:tcPr>
          <w:p>
            <w:pPr>
              <w:pStyle w:val="TableContents"/>
              <w:bidi w:val="0"/>
              <w:spacing w:before="0" w:after="283"/>
              <w:jc w:val="right"/>
              <w:rPr>
                <w:color w:val="000000"/>
              </w:rPr>
            </w:pPr>
            <w:r>
              <w:rPr>
                <w:color w:val="000000"/>
              </w:rPr>
              <w:t> </w:t>
            </w:r>
          </w:p>
        </w:tc>
        <w:tc>
          <w:tcPr>
            <w:tcW w:w="80" w:type="dxa"/>
            <w:tcBorders/>
            <w:shd w:fill="FFFFFF" w:val="clear"/>
            <w:vAlign w:val="center"/>
          </w:tcPr>
          <w:p>
            <w:pPr>
              <w:pStyle w:val="TableContents"/>
              <w:bidi w:val="0"/>
              <w:spacing w:before="0" w:after="283"/>
              <w:jc w:val="left"/>
              <w:rPr>
                <w:color w:val="000000"/>
              </w:rPr>
            </w:pPr>
            <w:r>
              <w:rPr>
                <w:color w:val="000000"/>
              </w:rPr>
              <w:t> </w:t>
            </w:r>
          </w:p>
        </w:tc>
      </w:tr>
      <w:tr>
        <w:trPr/>
        <w:tc>
          <w:tcPr>
            <w:tcW w:w="2478" w:type="dxa"/>
            <w:tcBorders/>
            <w:shd w:fill="CCEEFF" w:val="clear"/>
            <w:vAlign w:val="center"/>
          </w:tcPr>
          <w:p>
            <w:pPr>
              <w:pStyle w:val="TableContents"/>
              <w:bidi w:val="0"/>
              <w:spacing w:before="0" w:after="283"/>
              <w:jc w:val="left"/>
              <w:rPr>
                <w:color w:val="000000"/>
              </w:rPr>
            </w:pPr>
            <w:r>
              <w:rPr>
                <w:color w:val="000000"/>
              </w:rPr>
              <w:t>Options exercised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shd w:fill="CCEEFF" w:val="clear"/>
            <w:vAlign w:val="center"/>
          </w:tcPr>
          <w:p>
            <w:pPr>
              <w:pStyle w:val="TableContents"/>
              <w:bidi w:val="0"/>
              <w:spacing w:before="0" w:after="283"/>
              <w:jc w:val="left"/>
              <w:rPr>
                <w:color w:val="000000"/>
              </w:rPr>
            </w:pPr>
            <w:r>
              <w:rPr>
                <w:color w:val="000000"/>
              </w:rPr>
              <w:t> </w:t>
            </w:r>
            <w:bookmarkStart w:id="819" w:name="xdx_98B_eus-gaap--StockIssuedDuringPerio"/>
            <w:bookmarkEnd w:id="819"/>
          </w:p>
        </w:tc>
        <w:tc>
          <w:tcPr>
            <w:tcW w:w="1327" w:type="dxa"/>
            <w:tcBorders/>
            <w:shd w:fill="CCEEFF" w:val="clear"/>
            <w:vAlign w:val="center"/>
          </w:tcPr>
          <w:p>
            <w:pPr>
              <w:pStyle w:val="TableContents"/>
              <w:bidi w:val="0"/>
              <w:spacing w:before="0" w:after="283"/>
              <w:jc w:val="right"/>
              <w:rPr>
                <w:color w:val="000000"/>
              </w:rPr>
            </w:pPr>
            <w:r>
              <w:rPr>
                <w:color w:val="000000"/>
              </w:rPr>
              <w:t>(331,934</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79" w:type="dxa"/>
            <w:tcBorders/>
            <w:shd w:fill="CCEEFF" w:val="clear"/>
            <w:vAlign w:val="center"/>
          </w:tcPr>
          <w:p>
            <w:pPr>
              <w:pStyle w:val="TableContents"/>
              <w:bidi w:val="0"/>
              <w:spacing w:before="0" w:after="283"/>
              <w:jc w:val="left"/>
              <w:rPr>
                <w:color w:val="000000"/>
              </w:rPr>
            </w:pPr>
            <w:r>
              <w:rPr>
                <w:color w:val="000000"/>
              </w:rPr>
              <w:t>$</w:t>
            </w:r>
            <w:bookmarkStart w:id="820" w:name="xdx_98D_eus-gaap--ShareBasedCompensation"/>
            <w:bookmarkEnd w:id="820"/>
          </w:p>
        </w:tc>
        <w:tc>
          <w:tcPr>
            <w:tcW w:w="1117" w:type="dxa"/>
            <w:tcBorders/>
            <w:shd w:fill="CCEEFF" w:val="clear"/>
            <w:vAlign w:val="center"/>
          </w:tcPr>
          <w:p>
            <w:pPr>
              <w:pStyle w:val="TableContents"/>
              <w:bidi w:val="0"/>
              <w:spacing w:before="0" w:after="283"/>
              <w:jc w:val="right"/>
              <w:rPr>
                <w:color w:val="000000"/>
              </w:rPr>
            </w:pPr>
            <w:r>
              <w:rPr>
                <w:color w:val="000000"/>
              </w:rPr>
              <w:t>7.55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38" w:type="dxa"/>
            <w:tcBorders/>
            <w:shd w:fill="CCEEFF" w:val="clear"/>
            <w:vAlign w:val="center"/>
          </w:tcPr>
          <w:p>
            <w:pPr>
              <w:pStyle w:val="TableContents"/>
              <w:bidi w:val="0"/>
              <w:spacing w:before="0" w:after="283"/>
              <w:jc w:val="left"/>
              <w:rPr>
                <w:color w:val="000000"/>
              </w:rPr>
            </w:pPr>
            <w:r>
              <w:rPr>
                <w:color w:val="000000"/>
              </w:rPr>
              <w:t> </w:t>
            </w:r>
          </w:p>
        </w:tc>
        <w:tc>
          <w:tcPr>
            <w:tcW w:w="2485"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 </w:t>
            </w:r>
          </w:p>
        </w:tc>
        <w:tc>
          <w:tcPr>
            <w:tcW w:w="1389" w:type="dxa"/>
            <w:tcBorders/>
            <w:shd w:fill="CCEEFF" w:val="clear"/>
            <w:vAlign w:val="center"/>
          </w:tcPr>
          <w:p>
            <w:pPr>
              <w:pStyle w:val="TableContents"/>
              <w:bidi w:val="0"/>
              <w:spacing w:before="0" w:after="283"/>
              <w:jc w:val="right"/>
              <w:rPr>
                <w:color w:val="000000"/>
              </w:rPr>
            </w:pPr>
            <w:r>
              <w:rPr>
                <w:color w:val="000000"/>
              </w:rPr>
              <w:t> </w:t>
            </w:r>
          </w:p>
        </w:tc>
        <w:tc>
          <w:tcPr>
            <w:tcW w:w="80" w:type="dxa"/>
            <w:tcBorders/>
            <w:shd w:fill="CCEEFF" w:val="clear"/>
            <w:vAlign w:val="center"/>
          </w:tcPr>
          <w:p>
            <w:pPr>
              <w:pStyle w:val="TableContents"/>
              <w:bidi w:val="0"/>
              <w:spacing w:before="0" w:after="283"/>
              <w:jc w:val="left"/>
              <w:rPr>
                <w:color w:val="000000"/>
              </w:rPr>
            </w:pPr>
            <w:r>
              <w:rPr>
                <w:color w:val="000000"/>
              </w:rPr>
              <w:t> </w:t>
            </w:r>
          </w:p>
        </w:tc>
      </w:tr>
      <w:tr>
        <w:trPr/>
        <w:tc>
          <w:tcPr>
            <w:tcW w:w="2478" w:type="dxa"/>
            <w:tcBorders/>
            <w:shd w:fill="FFFFFF" w:val="clear"/>
            <w:vAlign w:val="center"/>
          </w:tcPr>
          <w:p>
            <w:pPr>
              <w:pStyle w:val="TableContents"/>
              <w:bidi w:val="0"/>
              <w:spacing w:before="0" w:after="283"/>
              <w:jc w:val="left"/>
              <w:rPr>
                <w:color w:val="000000"/>
              </w:rPr>
            </w:pPr>
            <w:r>
              <w:rPr>
                <w:color w:val="000000"/>
              </w:rPr>
              <w:t>Options cancelled/forfeited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821" w:name="xdx_98D_eus-gaap--ShareBasedCompensation"/>
            <w:bookmarkEnd w:id="821"/>
          </w:p>
        </w:tc>
        <w:tc>
          <w:tcPr>
            <w:tcW w:w="1327"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(76,175</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79" w:type="dxa"/>
            <w:tcBorders/>
            <w:shd w:fill="FFFFFF" w:val="clear"/>
            <w:vAlign w:val="center"/>
          </w:tcPr>
          <w:p>
            <w:pPr>
              <w:pStyle w:val="TableContents"/>
              <w:bidi w:val="0"/>
              <w:spacing w:before="0" w:after="283"/>
              <w:jc w:val="left"/>
              <w:rPr>
                <w:color w:val="000000"/>
              </w:rPr>
            </w:pPr>
            <w:r>
              <w:rPr>
                <w:color w:val="000000"/>
              </w:rPr>
              <w:t>$</w:t>
            </w:r>
            <w:bookmarkStart w:id="822" w:name="xdx_98E_eus-gaap--ShareBasedCompensation"/>
            <w:bookmarkEnd w:id="822"/>
          </w:p>
        </w:tc>
        <w:tc>
          <w:tcPr>
            <w:tcW w:w="1117" w:type="dxa"/>
            <w:tcBorders/>
            <w:shd w:fill="FFFFFF" w:val="clear"/>
            <w:vAlign w:val="center"/>
          </w:tcPr>
          <w:p>
            <w:pPr>
              <w:pStyle w:val="TableContents"/>
              <w:bidi w:val="0"/>
              <w:spacing w:before="0" w:after="283"/>
              <w:jc w:val="right"/>
              <w:rPr>
                <w:color w:val="000000"/>
              </w:rPr>
            </w:pPr>
            <w:r>
              <w:rPr>
                <w:color w:val="000000"/>
              </w:rPr>
              <w:t>6.85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38" w:type="dxa"/>
            <w:tcBorders/>
            <w:shd w:fill="FFFFFF" w:val="clear"/>
            <w:vAlign w:val="center"/>
          </w:tcPr>
          <w:p>
            <w:pPr>
              <w:pStyle w:val="TableContents"/>
              <w:bidi w:val="0"/>
              <w:spacing w:before="0" w:after="283"/>
              <w:jc w:val="left"/>
              <w:rPr>
                <w:color w:val="000000"/>
              </w:rPr>
            </w:pPr>
            <w:r>
              <w:rPr>
                <w:color w:val="000000"/>
              </w:rPr>
              <w:t> </w:t>
            </w:r>
          </w:p>
        </w:tc>
        <w:tc>
          <w:tcPr>
            <w:tcW w:w="2485"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 </w:t>
            </w:r>
          </w:p>
        </w:tc>
        <w:tc>
          <w:tcPr>
            <w:tcW w:w="1389" w:type="dxa"/>
            <w:tcBorders/>
            <w:shd w:fill="FFFFFF" w:val="clear"/>
            <w:vAlign w:val="center"/>
          </w:tcPr>
          <w:p>
            <w:pPr>
              <w:pStyle w:val="TableContents"/>
              <w:bidi w:val="0"/>
              <w:spacing w:before="0" w:after="283"/>
              <w:jc w:val="right"/>
              <w:rPr>
                <w:color w:val="000000"/>
              </w:rPr>
            </w:pPr>
            <w:r>
              <w:rPr>
                <w:color w:val="000000"/>
              </w:rPr>
              <w:t> </w:t>
            </w:r>
          </w:p>
        </w:tc>
        <w:tc>
          <w:tcPr>
            <w:tcW w:w="80" w:type="dxa"/>
            <w:tcBorders/>
            <w:shd w:fill="FFFFFF" w:val="clear"/>
            <w:vAlign w:val="center"/>
          </w:tcPr>
          <w:p>
            <w:pPr>
              <w:pStyle w:val="TableContents"/>
              <w:bidi w:val="0"/>
              <w:spacing w:before="0" w:after="283"/>
              <w:jc w:val="left"/>
              <w:rPr>
                <w:color w:val="000000"/>
              </w:rPr>
            </w:pPr>
            <w:r>
              <w:rPr>
                <w:color w:val="000000"/>
              </w:rPr>
              <w:t> </w:t>
            </w:r>
          </w:p>
        </w:tc>
      </w:tr>
      <w:tr>
        <w:trPr/>
        <w:tc>
          <w:tcPr>
            <w:tcW w:w="2478" w:type="dxa"/>
            <w:tcBorders/>
            <w:shd w:fill="CCEEFF" w:val="clear"/>
            <w:vAlign w:val="center"/>
          </w:tcPr>
          <w:p>
            <w:pPr>
              <w:pStyle w:val="TableContents"/>
              <w:bidi w:val="0"/>
              <w:spacing w:before="0" w:after="283"/>
              <w:jc w:val="left"/>
              <w:rPr>
                <w:color w:val="000000"/>
              </w:rPr>
            </w:pPr>
            <w:r>
              <w:rPr>
                <w:color w:val="000000"/>
              </w:rPr>
              <w:t>Options outstanding – September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823" w:name="xdx_98F_eus-gaap--ShareBasedCompensation"/>
            <w:bookmarkEnd w:id="823"/>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2,715,092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79" w:type="dxa"/>
            <w:tcBorders/>
            <w:shd w:fill="CCEEFF" w:val="clear"/>
            <w:vAlign w:val="center"/>
          </w:tcPr>
          <w:p>
            <w:pPr>
              <w:pStyle w:val="TableContents"/>
              <w:bidi w:val="0"/>
              <w:spacing w:before="0" w:after="283"/>
              <w:jc w:val="left"/>
              <w:rPr>
                <w:color w:val="000000"/>
              </w:rPr>
            </w:pPr>
            <w:r>
              <w:rPr>
                <w:color w:val="000000"/>
              </w:rPr>
              <w:t>$</w:t>
            </w:r>
            <w:bookmarkStart w:id="824" w:name="xdx_988_eus-gaap--ShareBasedCompensation"/>
            <w:bookmarkEnd w:id="824"/>
          </w:p>
        </w:tc>
        <w:tc>
          <w:tcPr>
            <w:tcW w:w="1117" w:type="dxa"/>
            <w:tcBorders/>
            <w:shd w:fill="CCEEFF" w:val="clear"/>
            <w:vAlign w:val="center"/>
          </w:tcPr>
          <w:p>
            <w:pPr>
              <w:pStyle w:val="TableContents"/>
              <w:bidi w:val="0"/>
              <w:spacing w:before="0" w:after="283"/>
              <w:jc w:val="right"/>
              <w:rPr>
                <w:color w:val="000000"/>
              </w:rPr>
            </w:pPr>
            <w:r>
              <w:rPr>
                <w:color w:val="000000"/>
              </w:rPr>
              <w:t>6.15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38" w:type="dxa"/>
            <w:tcBorders/>
            <w:shd w:fill="CCEEFF" w:val="clear"/>
            <w:vAlign w:val="center"/>
          </w:tcPr>
          <w:p>
            <w:pPr>
              <w:pStyle w:val="TableContents"/>
              <w:bidi w:val="0"/>
              <w:spacing w:before="0" w:after="283"/>
              <w:jc w:val="left"/>
              <w:rPr>
                <w:color w:val="000000"/>
              </w:rPr>
            </w:pPr>
            <w:r>
              <w:rPr>
                <w:color w:val="000000"/>
              </w:rPr>
              <w:t> </w:t>
            </w:r>
          </w:p>
        </w:tc>
        <w:tc>
          <w:tcPr>
            <w:tcW w:w="2485" w:type="dxa"/>
            <w:tcBorders/>
            <w:shd w:fill="CCEEFF" w:val="clear"/>
            <w:vAlign w:val="center"/>
          </w:tcPr>
          <w:p>
            <w:pPr>
              <w:pStyle w:val="TableContents"/>
              <w:bidi w:val="0"/>
              <w:spacing w:before="0" w:after="283"/>
              <w:jc w:val="right"/>
              <w:rPr>
                <w:color w:val="000000"/>
              </w:rPr>
            </w:pPr>
            <w:bookmarkStart w:id="825" w:name="xdx_90A_eus-gaap--SharebasedCompensation"/>
            <w:bookmarkEnd w:id="825"/>
            <w:r>
              <w:rPr>
                <w:color w:val="000000"/>
              </w:rPr>
              <w:t>4.18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w:t>
            </w:r>
            <w:bookmarkStart w:id="826" w:name="xdx_982_eus-gaap--ShareBasedCompensation"/>
            <w:bookmarkEnd w:id="826"/>
          </w:p>
        </w:tc>
        <w:tc>
          <w:tcPr>
            <w:tcW w:w="1389" w:type="dxa"/>
            <w:tcBorders/>
            <w:shd w:fill="CCEEFF" w:val="clear"/>
            <w:vAlign w:val="center"/>
          </w:tcPr>
          <w:p>
            <w:pPr>
              <w:pStyle w:val="TableContents"/>
              <w:bidi w:val="0"/>
              <w:spacing w:before="0" w:after="283"/>
              <w:jc w:val="right"/>
              <w:rPr>
                <w:color w:val="000000"/>
              </w:rPr>
            </w:pPr>
            <w:r>
              <w:rPr>
                <w:color w:val="000000"/>
              </w:rPr>
              <w:t>32,347,000</w:t>
            </w:r>
          </w:p>
        </w:tc>
        <w:tc>
          <w:tcPr>
            <w:tcW w:w="80" w:type="dxa"/>
            <w:tcBorders/>
            <w:shd w:fill="CCEEFF" w:val="clear"/>
            <w:vAlign w:val="center"/>
          </w:tcPr>
          <w:p>
            <w:pPr>
              <w:pStyle w:val="TableContents"/>
              <w:bidi w:val="0"/>
              <w:spacing w:before="0" w:after="283"/>
              <w:jc w:val="left"/>
              <w:rPr>
                <w:color w:val="000000"/>
              </w:rPr>
            </w:pPr>
            <w:r>
              <w:rPr>
                <w:color w:val="000000"/>
              </w:rPr>
              <w:t> </w:t>
            </w:r>
          </w:p>
        </w:tc>
      </w:tr>
      <w:tr>
        <w:trPr/>
        <w:tc>
          <w:tcPr>
            <w:tcW w:w="2478" w:type="dxa"/>
            <w:tcBorders/>
            <w:shd w:fill="FFFFFF" w:val="clear"/>
            <w:vAlign w:val="center"/>
          </w:tcPr>
          <w:p>
            <w:pPr>
              <w:pStyle w:val="TableContents"/>
              <w:bidi w:val="0"/>
              <w:spacing w:before="0" w:after="283"/>
              <w:jc w:val="left"/>
              <w:rPr>
                <w:color w:val="000000"/>
              </w:rPr>
            </w:pPr>
            <w:r>
              <w:rPr>
                <w:color w:val="000000"/>
              </w:rPr>
              <w:t>Options exercisable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827" w:name="xdx_983_eus-gaap--ShareBasedCompensation"/>
            <w:bookmarkEnd w:id="827"/>
          </w:p>
        </w:tc>
        <w:tc>
          <w:tcPr>
            <w:tcW w:w="1327"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2,436,946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79" w:type="dxa"/>
            <w:tcBorders/>
            <w:shd w:fill="FFFFFF" w:val="clear"/>
            <w:vAlign w:val="center"/>
          </w:tcPr>
          <w:p>
            <w:pPr>
              <w:pStyle w:val="TableContents"/>
              <w:bidi w:val="0"/>
              <w:spacing w:before="0" w:after="283"/>
              <w:jc w:val="left"/>
              <w:rPr>
                <w:color w:val="000000"/>
              </w:rPr>
            </w:pPr>
            <w:r>
              <w:rPr>
                <w:color w:val="000000"/>
              </w:rPr>
              <w:t>$</w:t>
            </w:r>
            <w:bookmarkStart w:id="828" w:name="xdx_983_eus-gaap--ShareBasedCompensation"/>
            <w:bookmarkEnd w:id="828"/>
          </w:p>
        </w:tc>
        <w:tc>
          <w:tcPr>
            <w:tcW w:w="1117" w:type="dxa"/>
            <w:tcBorders/>
            <w:shd w:fill="FFFFFF" w:val="clear"/>
            <w:vAlign w:val="center"/>
          </w:tcPr>
          <w:p>
            <w:pPr>
              <w:pStyle w:val="TableContents"/>
              <w:bidi w:val="0"/>
              <w:spacing w:before="0" w:after="283"/>
              <w:jc w:val="right"/>
              <w:rPr>
                <w:color w:val="000000"/>
              </w:rPr>
            </w:pPr>
            <w:r>
              <w:rPr>
                <w:color w:val="000000"/>
              </w:rPr>
              <w:t>5.51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38" w:type="dxa"/>
            <w:tcBorders/>
            <w:shd w:fill="FFFFFF" w:val="clear"/>
            <w:vAlign w:val="center"/>
          </w:tcPr>
          <w:p>
            <w:pPr>
              <w:pStyle w:val="TableContents"/>
              <w:bidi w:val="0"/>
              <w:spacing w:before="0" w:after="283"/>
              <w:jc w:val="left"/>
              <w:rPr>
                <w:color w:val="000000"/>
              </w:rPr>
            </w:pPr>
            <w:r>
              <w:rPr>
                <w:color w:val="000000"/>
              </w:rPr>
              <w:t> </w:t>
            </w:r>
          </w:p>
        </w:tc>
        <w:tc>
          <w:tcPr>
            <w:tcW w:w="2485" w:type="dxa"/>
            <w:tcBorders/>
            <w:shd w:fill="FFFFFF" w:val="clear"/>
            <w:vAlign w:val="center"/>
          </w:tcPr>
          <w:p>
            <w:pPr>
              <w:pStyle w:val="TableContents"/>
              <w:bidi w:val="0"/>
              <w:spacing w:before="0" w:after="283"/>
              <w:jc w:val="right"/>
              <w:rPr>
                <w:color w:val="000000"/>
              </w:rPr>
            </w:pPr>
            <w:bookmarkStart w:id="829" w:name="xdx_90B_eus-gaap--SharebasedCompensation"/>
            <w:bookmarkEnd w:id="829"/>
            <w:r>
              <w:rPr>
                <w:color w:val="000000"/>
              </w:rPr>
              <w:t>3.65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6" w:type="dxa"/>
            <w:tcBorders/>
            <w:shd w:fill="FFFFFF" w:val="clear"/>
            <w:vAlign w:val="center"/>
          </w:tcPr>
          <w:p>
            <w:pPr>
              <w:pStyle w:val="TableContents"/>
              <w:bidi w:val="0"/>
              <w:spacing w:before="0" w:after="283"/>
              <w:jc w:val="left"/>
              <w:rPr>
                <w:color w:val="000000"/>
              </w:rPr>
            </w:pPr>
            <w:r>
              <w:rPr>
                <w:color w:val="000000"/>
              </w:rPr>
              <w:t>$</w:t>
            </w:r>
            <w:bookmarkStart w:id="830" w:name="xdx_984_eus-gaap--SharebasedCompensation"/>
            <w:bookmarkEnd w:id="830"/>
          </w:p>
        </w:tc>
        <w:tc>
          <w:tcPr>
            <w:tcW w:w="1389" w:type="dxa"/>
            <w:tcBorders/>
            <w:shd w:fill="FFFFFF" w:val="clear"/>
            <w:vAlign w:val="center"/>
          </w:tcPr>
          <w:p>
            <w:pPr>
              <w:pStyle w:val="TableContents"/>
              <w:bidi w:val="0"/>
              <w:spacing w:before="0" w:after="283"/>
              <w:jc w:val="right"/>
              <w:rPr>
                <w:color w:val="000000"/>
              </w:rPr>
            </w:pPr>
            <w:r>
              <w:rPr>
                <w:color w:val="000000"/>
              </w:rPr>
              <w:t>30,441,000</w:t>
            </w:r>
          </w:p>
        </w:tc>
        <w:tc>
          <w:tcPr>
            <w:tcW w:w="80" w:type="dxa"/>
            <w:tcBorders/>
            <w:shd w:fill="FFFFFF" w:val="clear"/>
            <w:vAlign w:val="center"/>
          </w:tcPr>
          <w:p>
            <w:pPr>
              <w:pStyle w:val="TableContents"/>
              <w:bidi w:val="0"/>
              <w:spacing w:before="0" w:after="283"/>
              <w:jc w:val="left"/>
              <w:rPr>
                <w:color w:val="000000"/>
              </w:rPr>
            </w:pPr>
            <w:r>
              <w:rPr>
                <w:color w:val="000000"/>
              </w:rPr>
              <w:t> </w:t>
            </w:r>
          </w:p>
        </w:tc>
      </w:tr>
      <w:tr>
        <w:trPr/>
        <w:tc>
          <w:tcPr>
            <w:tcW w:w="2478" w:type="dxa"/>
            <w:tcBorders/>
            <w:shd w:fill="CCEEFF" w:val="clear"/>
            <w:vAlign w:val="center"/>
          </w:tcPr>
          <w:p>
            <w:pPr>
              <w:pStyle w:val="TableContents"/>
              <w:bidi w:val="0"/>
              <w:spacing w:before="0" w:after="283"/>
              <w:jc w:val="left"/>
              <w:rPr>
                <w:color w:val="000000"/>
              </w:rPr>
            </w:pPr>
            <w:r>
              <w:rPr>
                <w:color w:val="000000"/>
              </w:rPr>
              <w:t>Options vested and expected to vest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831" w:name="xdx_982_eus-gaap--ShareBasedCompensation"/>
            <w:bookmarkEnd w:id="831"/>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2,676,550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79" w:type="dxa"/>
            <w:tcBorders/>
            <w:shd w:fill="CCEEFF" w:val="clear"/>
            <w:vAlign w:val="center"/>
          </w:tcPr>
          <w:p>
            <w:pPr>
              <w:pStyle w:val="TableContents"/>
              <w:bidi w:val="0"/>
              <w:spacing w:before="0" w:after="283"/>
              <w:jc w:val="left"/>
              <w:rPr>
                <w:color w:val="000000"/>
              </w:rPr>
            </w:pPr>
            <w:r>
              <w:rPr>
                <w:color w:val="000000"/>
              </w:rPr>
              <w:t>$</w:t>
            </w:r>
            <w:bookmarkStart w:id="832" w:name="xdx_983_eus-gaap--ShareBasedCompensation"/>
            <w:bookmarkEnd w:id="832"/>
          </w:p>
        </w:tc>
        <w:tc>
          <w:tcPr>
            <w:tcW w:w="1117" w:type="dxa"/>
            <w:tcBorders/>
            <w:shd w:fill="CCEEFF" w:val="clear"/>
            <w:vAlign w:val="center"/>
          </w:tcPr>
          <w:p>
            <w:pPr>
              <w:pStyle w:val="TableContents"/>
              <w:bidi w:val="0"/>
              <w:spacing w:before="0" w:after="283"/>
              <w:jc w:val="right"/>
              <w:rPr>
                <w:color w:val="000000"/>
              </w:rPr>
            </w:pPr>
            <w:r>
              <w:rPr>
                <w:color w:val="000000"/>
              </w:rPr>
              <w:t>6.06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38" w:type="dxa"/>
            <w:tcBorders/>
            <w:shd w:fill="CCEEFF" w:val="clear"/>
            <w:vAlign w:val="center"/>
          </w:tcPr>
          <w:p>
            <w:pPr>
              <w:pStyle w:val="TableContents"/>
              <w:bidi w:val="0"/>
              <w:spacing w:before="0" w:after="283"/>
              <w:jc w:val="left"/>
              <w:rPr>
                <w:color w:val="000000"/>
              </w:rPr>
            </w:pPr>
            <w:r>
              <w:rPr>
                <w:color w:val="000000"/>
              </w:rPr>
              <w:t> </w:t>
            </w:r>
          </w:p>
        </w:tc>
        <w:tc>
          <w:tcPr>
            <w:tcW w:w="2485" w:type="dxa"/>
            <w:tcBorders/>
            <w:shd w:fill="CCEEFF" w:val="clear"/>
            <w:vAlign w:val="center"/>
          </w:tcPr>
          <w:p>
            <w:pPr>
              <w:pStyle w:val="TableContents"/>
              <w:bidi w:val="0"/>
              <w:spacing w:before="0" w:after="283"/>
              <w:jc w:val="right"/>
              <w:rPr>
                <w:color w:val="000000"/>
              </w:rPr>
            </w:pPr>
            <w:bookmarkStart w:id="833" w:name="xdx_90A_eus-gaap--SharebasedCompensation"/>
            <w:bookmarkEnd w:id="833"/>
            <w:r>
              <w:rPr>
                <w:color w:val="000000"/>
              </w:rPr>
              <w:t>4.11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shd w:fill="CCEEFF" w:val="clear"/>
            <w:vAlign w:val="center"/>
          </w:tcPr>
          <w:p>
            <w:pPr>
              <w:pStyle w:val="TableContents"/>
              <w:bidi w:val="0"/>
              <w:spacing w:before="0" w:after="283"/>
              <w:jc w:val="left"/>
              <w:rPr>
                <w:color w:val="000000"/>
              </w:rPr>
            </w:pPr>
            <w:r>
              <w:rPr>
                <w:color w:val="000000"/>
              </w:rPr>
              <w:t>$</w:t>
            </w:r>
            <w:bookmarkStart w:id="834" w:name="xdx_981_eus-gaap--ShareBasedCompensation"/>
            <w:bookmarkEnd w:id="834"/>
          </w:p>
        </w:tc>
        <w:tc>
          <w:tcPr>
            <w:tcW w:w="1389" w:type="dxa"/>
            <w:tcBorders/>
            <w:shd w:fill="CCEEFF" w:val="clear"/>
            <w:vAlign w:val="center"/>
          </w:tcPr>
          <w:p>
            <w:pPr>
              <w:pStyle w:val="TableContents"/>
              <w:bidi w:val="0"/>
              <w:spacing w:before="0" w:after="283"/>
              <w:jc w:val="right"/>
              <w:rPr>
                <w:color w:val="000000"/>
              </w:rPr>
            </w:pPr>
            <w:r>
              <w:rPr>
                <w:color w:val="000000"/>
              </w:rPr>
              <w:t>32,114,000</w:t>
            </w:r>
          </w:p>
        </w:tc>
        <w:tc>
          <w:tcPr>
            <w:tcW w:w="8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835" w:name="xdx_8A6_z36rSiL1UFtj"/>
      <w:bookmarkEnd w:id="835"/>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September 30, 2023, based on the closing price of the Company’s common stock of $</w:t>
      </w:r>
      <w:bookmarkStart w:id="836" w:name="xdx_90C_ecustom--ClosingPriceOfCommonSto"/>
      <w:bookmarkEnd w:id="836"/>
      <w:r>
        <w:rPr>
          <w:rFonts w:ascii="Times New Roman;Times;Serif" w:hAnsi="Times New Roman;Times;Serif"/>
          <w:b w:val="false"/>
          <w:i w:val="false"/>
          <w:caps w:val="false"/>
          <w:smallCaps w:val="false"/>
          <w:color w:val="000000"/>
          <w:sz w:val="20"/>
        </w:rPr>
        <w:t>14.37 on that date.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ten years. </w:t>
      </w:r>
      <w:bookmarkStart w:id="837" w:name="xdx_901_eus-gaap--ShareBasedCompensation"/>
      <w:bookmarkEnd w:id="837"/>
      <w:r>
        <w:rPr>
          <w:rFonts w:ascii="Times New Roman;Times;Serif" w:hAnsi="Times New Roman;Times;Serif"/>
          <w:b w:val="false"/>
          <w:i w:val="false"/>
          <w:caps w:val="false"/>
          <w:smallCaps w:val="false"/>
          <w:color w:val="000000"/>
          <w:sz w:val="20"/>
        </w:rPr>
        <w:t>Vesting terms for options granted to employees during the nine months ended September 30, 2023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838" w:name="xdx_90E_ecustom--ShareBasedCompensationA"/>
      <w:bookmarkEnd w:id="838"/>
      <w:r>
        <w:rPr>
          <w:rFonts w:ascii="Times New Roman;Times;Serif" w:hAnsi="Times New Roman;Times;Serif"/>
          <w:b w:val="false"/>
          <w:i w:val="false"/>
          <w:caps w:val="false"/>
          <w:smallCaps w:val="false"/>
          <w:color w:val="000000"/>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839" w:name="xdx_89E_eus-gaap--ScheduleOfShareBasedPa"/>
      <w:bookmarkEnd w:id="839"/>
      <w:r>
        <w:rPr>
          <w:rFonts w:ascii="Times New Roman;Times;Serif" w:hAnsi="Times New Roman;Times;Serif"/>
          <w:b w:val="false"/>
          <w:i w:val="false"/>
          <w:caps w:val="false"/>
          <w:smallCaps w:val="false"/>
          <w:color w:val="000000"/>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0" w:name="xdx_8B5_zVitDoNzGcU3"/>
      <w:bookmarkEnd w:id="840"/>
      <w:r>
        <w:rPr>
          <w:rFonts w:ascii="Times New Roman;Times;Serif" w:hAnsi="Times New Roman;Times;Serif"/>
          <w:b w:val="false"/>
          <w:i w:val="false"/>
          <w:caps w:val="false"/>
          <w:smallCaps w:val="false"/>
          <w:sz w:val="20"/>
        </w:rPr>
        <w:t>SCHEDULE OF FAIR VALUE ASSUMPTIONS</w:t>
      </w:r>
    </w:p>
    <w:tbl>
      <w:tblPr>
        <w:tblW w:w="6920" w:type="dxa"/>
        <w:jc w:val="left"/>
        <w:tblInd w:w="0" w:type="dxa"/>
        <w:tblLayout w:type="fixed"/>
        <w:tblCellMar>
          <w:top w:w="0" w:type="dxa"/>
          <w:left w:w="0" w:type="dxa"/>
          <w:bottom w:w="0" w:type="dxa"/>
          <w:right w:w="0" w:type="dxa"/>
        </w:tblCellMar>
      </w:tblPr>
      <w:tblGrid>
        <w:gridCol w:w="4475"/>
        <w:gridCol w:w="60"/>
        <w:gridCol w:w="140"/>
        <w:gridCol w:w="800"/>
        <w:gridCol w:w="215"/>
        <w:gridCol w:w="60"/>
        <w:gridCol w:w="140"/>
        <w:gridCol w:w="800"/>
        <w:gridCol w:w="230"/>
      </w:tblGrid>
      <w:tr>
        <w:trPr/>
        <w:tc>
          <w:tcPr>
            <w:tcW w:w="44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230" w:type="dxa"/>
            <w:tcBorders/>
            <w:vAlign w:val="center"/>
          </w:tcPr>
          <w:p>
            <w:pPr>
              <w:pStyle w:val="TableContents"/>
              <w:bidi w:val="0"/>
              <w:spacing w:before="0" w:after="283"/>
              <w:jc w:val="left"/>
              <w:rPr>
                <w:color w:val="000000"/>
              </w:rPr>
            </w:pPr>
            <w:r>
              <w:rPr>
                <w:color w:val="000000"/>
              </w:rPr>
              <w:t> </w:t>
            </w:r>
          </w:p>
        </w:tc>
      </w:tr>
      <w:tr>
        <w:trPr/>
        <w:tc>
          <w:tcPr>
            <w:tcW w:w="4475" w:type="dxa"/>
            <w:tcBorders/>
            <w:shd w:fill="CCEEFF" w:val="clear"/>
            <w:vAlign w:val="center"/>
          </w:tcPr>
          <w:p>
            <w:pPr>
              <w:pStyle w:val="TableContents"/>
              <w:bidi w:val="0"/>
              <w:spacing w:before="0" w:after="283"/>
              <w:jc w:val="left"/>
              <w:rPr>
                <w:color w:val="000000"/>
              </w:rPr>
            </w:pPr>
            <w:r>
              <w:rPr>
                <w:color w:val="000000"/>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1" w:name="xdx_98F_eus-gaap--ShareBasedCompensation"/>
            <w:bookmarkEnd w:id="841"/>
          </w:p>
        </w:tc>
        <w:tc>
          <w:tcPr>
            <w:tcW w:w="800" w:type="dxa"/>
            <w:tcBorders/>
            <w:shd w:fill="CCEEFF" w:val="clear"/>
            <w:vAlign w:val="center"/>
          </w:tcPr>
          <w:p>
            <w:pPr>
              <w:pStyle w:val="TableContents"/>
              <w:bidi w:val="0"/>
              <w:spacing w:before="0" w:after="283"/>
              <w:jc w:val="right"/>
              <w:rPr/>
            </w:pPr>
            <w:r>
              <w:rPr/>
              <w:t>11.89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2" w:name="xdx_983_eus-gaap--ShareBasedCompensation"/>
            <w:bookmarkEnd w:id="842"/>
          </w:p>
        </w:tc>
        <w:tc>
          <w:tcPr>
            <w:tcW w:w="800" w:type="dxa"/>
            <w:tcBorders/>
            <w:shd w:fill="CCEEFF" w:val="clear"/>
            <w:vAlign w:val="center"/>
          </w:tcPr>
          <w:p>
            <w:pPr>
              <w:pStyle w:val="TableContents"/>
              <w:bidi w:val="0"/>
              <w:spacing w:before="0" w:after="283"/>
              <w:jc w:val="right"/>
              <w:rPr/>
            </w:pPr>
            <w:r>
              <w:rPr/>
              <w:t>4.49</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color w:val="000000"/>
              </w:rPr>
            </w:pPr>
            <w:r>
              <w:rPr>
                <w:color w:val="000000"/>
              </w:rPr>
              <w:t>Expected terms (in years)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sz w:val="20"/>
              </w:rPr>
            </w:pPr>
            <w:bookmarkStart w:id="843" w:name="xdx_906_eus-gaap--SharebasedCompensation"/>
            <w:bookmarkEnd w:id="843"/>
            <w:r>
              <w:rPr>
                <w:rFonts w:ascii="Times New Roman;Times;Serif" w:hAnsi="Times New Roman;Times;Serif"/>
                <w:color w:val="000000"/>
                <w:sz w:val="20"/>
              </w:rPr>
              <w:t>5.50-</w:t>
            </w:r>
            <w:bookmarkStart w:id="844" w:name="xdx_90F_eus-gaap--SharebasedCompensation"/>
            <w:bookmarkEnd w:id="844"/>
            <w:r>
              <w:rPr>
                <w:rFonts w:ascii="Times New Roman;Times;Serif" w:hAnsi="Times New Roman;Times;Serif"/>
                <w:color w:val="000000"/>
                <w:sz w:val="20"/>
              </w:rPr>
              <w:t>6.11</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800" w:type="dxa"/>
            <w:tcBorders/>
            <w:shd w:fill="FFFFFF" w:val="clear"/>
            <w:vAlign w:val="center"/>
          </w:tcPr>
          <w:p>
            <w:pPr>
              <w:pStyle w:val="TableContents"/>
              <w:bidi w:val="0"/>
              <w:spacing w:before="0" w:after="283"/>
              <w:jc w:val="right"/>
              <w:rPr>
                <w:color w:val="000000"/>
              </w:rPr>
            </w:pPr>
            <w:bookmarkStart w:id="845" w:name="xdx_90C_eus-gaap--SharebasedCompensation"/>
            <w:bookmarkEnd w:id="845"/>
            <w:r>
              <w:rPr>
                <w:color w:val="000000"/>
              </w:rPr>
              <w:t>6.11</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4475" w:type="dxa"/>
            <w:tcBorders/>
            <w:shd w:fill="CCEEFF" w:val="clear"/>
            <w:vAlign w:val="center"/>
          </w:tcPr>
          <w:p>
            <w:pPr>
              <w:pStyle w:val="TableContents"/>
              <w:bidi w:val="0"/>
              <w:spacing w:before="0" w:after="283"/>
              <w:jc w:val="left"/>
              <w:rPr>
                <w:color w:val="000000"/>
              </w:rPr>
            </w:pPr>
            <w:r>
              <w:rPr>
                <w:color w:val="000000"/>
              </w:rPr>
              <w:t>Expected volatility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bookmarkStart w:id="846" w:name="xdx_905_eus-gaap--ShareBasedCompensation"/>
            <w:bookmarkEnd w:id="846"/>
            <w:r>
              <w:rPr>
                <w:rFonts w:ascii="Times New Roman;Times;Serif" w:hAnsi="Times New Roman;Times;Serif"/>
                <w:color w:val="000000"/>
                <w:sz w:val="20"/>
              </w:rPr>
              <w:t>68-</w:t>
            </w:r>
            <w:bookmarkStart w:id="847" w:name="xdx_903_eus-gaap--ShareBasedCompensation"/>
            <w:bookmarkEnd w:id="847"/>
            <w:r>
              <w:rPr>
                <w:rFonts w:ascii="Times New Roman;Times;Serif" w:hAnsi="Times New Roman;Times;Serif"/>
                <w:color w:val="000000"/>
                <w:sz w:val="20"/>
              </w:rPr>
              <w:t>70</w:t>
            </w:r>
          </w:p>
        </w:tc>
        <w:tc>
          <w:tcPr>
            <w:tcW w:w="21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bookmarkStart w:id="848" w:name="xdx_900_eus-gaap--ShareBasedCompensation"/>
            <w:bookmarkEnd w:id="848"/>
            <w:r>
              <w:rPr>
                <w:rFonts w:ascii="Times New Roman;Times;Serif" w:hAnsi="Times New Roman;Times;Serif"/>
                <w:color w:val="000000"/>
                <w:sz w:val="20"/>
              </w:rPr>
              <w:t>68-</w:t>
            </w:r>
            <w:bookmarkStart w:id="849" w:name="xdx_907_eus-gaap--ShareBasedCompensation"/>
            <w:bookmarkEnd w:id="849"/>
            <w:r>
              <w:rPr>
                <w:rFonts w:ascii="Times New Roman;Times;Serif" w:hAnsi="Times New Roman;Times;Serif"/>
                <w:color w:val="000000"/>
                <w:sz w:val="20"/>
              </w:rPr>
              <w:t>70</w:t>
            </w:r>
          </w:p>
        </w:tc>
        <w:tc>
          <w:tcPr>
            <w:tcW w:w="230" w:type="dxa"/>
            <w:tcBorders/>
            <w:shd w:fill="CCEEFF" w:val="clear"/>
            <w:vAlign w:val="center"/>
          </w:tcPr>
          <w:p>
            <w:pPr>
              <w:pStyle w:val="TableContents"/>
              <w:bidi w:val="0"/>
              <w:spacing w:before="0" w:after="283"/>
              <w:jc w:val="left"/>
              <w:rPr>
                <w:color w:val="000000"/>
              </w:rPr>
            </w:pPr>
            <w:r>
              <w:rPr>
                <w:color w:val="000000"/>
              </w:rPr>
              <w:t>%</w:t>
            </w:r>
          </w:p>
        </w:tc>
      </w:tr>
      <w:tr>
        <w:trPr/>
        <w:tc>
          <w:tcPr>
            <w:tcW w:w="4475" w:type="dxa"/>
            <w:tcBorders/>
            <w:shd w:fill="FFFFFF" w:val="clear"/>
            <w:vAlign w:val="center"/>
          </w:tcPr>
          <w:p>
            <w:pPr>
              <w:pStyle w:val="TableContents"/>
              <w:bidi w:val="0"/>
              <w:spacing w:before="0" w:after="283"/>
              <w:jc w:val="left"/>
              <w:rPr>
                <w:color w:val="000000"/>
              </w:rPr>
            </w:pPr>
            <w:r>
              <w:rPr>
                <w:color w:val="000000"/>
              </w:rPr>
              <w:t>Risk-free interest rate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sz w:val="20"/>
              </w:rPr>
            </w:pPr>
            <w:bookmarkStart w:id="850" w:name="xdx_905_eus-gaap--ShareBasedCompensation"/>
            <w:bookmarkEnd w:id="850"/>
            <w:r>
              <w:rPr>
                <w:rFonts w:ascii="Times New Roman;Times;Serif" w:hAnsi="Times New Roman;Times;Serif"/>
                <w:color w:val="000000"/>
                <w:sz w:val="20"/>
              </w:rPr>
              <w:t>3.59-</w:t>
            </w:r>
            <w:bookmarkStart w:id="851" w:name="xdx_906_eus-gaap--ShareBasedCompensation"/>
            <w:bookmarkEnd w:id="851"/>
            <w:r>
              <w:rPr>
                <w:rFonts w:ascii="Times New Roman;Times;Serif" w:hAnsi="Times New Roman;Times;Serif"/>
                <w:color w:val="000000"/>
                <w:sz w:val="20"/>
              </w:rPr>
              <w:t>4.14</w:t>
            </w:r>
          </w:p>
        </w:tc>
        <w:tc>
          <w:tcPr>
            <w:tcW w:w="21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color w:val="000000"/>
                <w:sz w:val="20"/>
              </w:rPr>
            </w:pPr>
            <w:bookmarkStart w:id="852" w:name="xdx_908_eus-gaap--ShareBasedCompensation"/>
            <w:bookmarkEnd w:id="852"/>
            <w:r>
              <w:rPr>
                <w:rFonts w:ascii="Times New Roman;Times;Serif" w:hAnsi="Times New Roman;Times;Serif"/>
                <w:color w:val="000000"/>
                <w:sz w:val="20"/>
              </w:rPr>
              <w:t>1.54-</w:t>
            </w:r>
            <w:bookmarkStart w:id="853" w:name="xdx_904_eus-gaap--ShareBasedCompensation"/>
            <w:bookmarkEnd w:id="853"/>
            <w:r>
              <w:rPr>
                <w:rFonts w:ascii="Times New Roman;Times;Serif" w:hAnsi="Times New Roman;Times;Serif"/>
                <w:color w:val="000000"/>
                <w:sz w:val="20"/>
              </w:rPr>
              <w:t>3.19</w:t>
            </w:r>
          </w:p>
        </w:tc>
        <w:tc>
          <w:tcPr>
            <w:tcW w:w="230" w:type="dxa"/>
            <w:tcBorders/>
            <w:shd w:fill="FFFFFF" w:val="clear"/>
            <w:vAlign w:val="center"/>
          </w:tcPr>
          <w:p>
            <w:pPr>
              <w:pStyle w:val="TableContents"/>
              <w:bidi w:val="0"/>
              <w:spacing w:before="0" w:after="283"/>
              <w:jc w:val="left"/>
              <w:rPr>
                <w:color w:val="000000"/>
              </w:rPr>
            </w:pPr>
            <w:r>
              <w:rPr>
                <w:color w:val="000000"/>
              </w:rPr>
              <w:t>%</w:t>
            </w:r>
          </w:p>
        </w:tc>
      </w:tr>
      <w:tr>
        <w:trPr/>
        <w:tc>
          <w:tcPr>
            <w:tcW w:w="4475" w:type="dxa"/>
            <w:tcBorders/>
            <w:shd w:fill="CCEEFF" w:val="clear"/>
            <w:vAlign w:val="center"/>
          </w:tcPr>
          <w:p>
            <w:pPr>
              <w:pStyle w:val="TableContents"/>
              <w:bidi w:val="0"/>
              <w:spacing w:before="0" w:after="283"/>
              <w:jc w:val="left"/>
              <w:rPr>
                <w:color w:val="000000"/>
              </w:rPr>
            </w:pPr>
            <w:r>
              <w:rPr>
                <w:color w:val="000000"/>
              </w:rPr>
              <w:t>Dividend yield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854" w:name="xdx_98C_eus-gaap--ShareBasedCompensation"/>
            <w:bookmarkEnd w:id="854"/>
          </w:p>
        </w:tc>
        <w:tc>
          <w:tcPr>
            <w:tcW w:w="800" w:type="dxa"/>
            <w:tcBorders/>
            <w:shd w:fill="CCEEFF" w:val="clear"/>
            <w:vAlign w:val="center"/>
          </w:tcPr>
          <w:p>
            <w:pPr>
              <w:pStyle w:val="TableContents"/>
              <w:bidi w:val="0"/>
              <w:spacing w:before="0" w:after="283"/>
              <w:jc w:val="right"/>
              <w:rPr>
                <w:color w:val="000000"/>
              </w:rPr>
            </w:pPr>
            <w:r>
              <w:rPr>
                <w:color w:val="000000"/>
              </w:rPr>
              <w:t>-</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bookmarkStart w:id="855" w:name="xdx_980_eus-gaap--ShareBasedCompensation"/>
            <w:bookmarkEnd w:id="855"/>
          </w:p>
        </w:tc>
        <w:tc>
          <w:tcPr>
            <w:tcW w:w="800" w:type="dxa"/>
            <w:tcBorders/>
            <w:shd w:fill="CCEEFF" w:val="clear"/>
            <w:vAlign w:val="center"/>
          </w:tcPr>
          <w:p>
            <w:pPr>
              <w:pStyle w:val="TableContents"/>
              <w:bidi w:val="0"/>
              <w:spacing w:before="0" w:after="283"/>
              <w:jc w:val="right"/>
              <w:rPr>
                <w:color w:val="000000"/>
              </w:rPr>
            </w:pPr>
            <w:r>
              <w:rPr>
                <w:color w:val="000000"/>
              </w:rPr>
              <w:t>-</w:t>
            </w:r>
          </w:p>
        </w:tc>
        <w:tc>
          <w:tcPr>
            <w:tcW w:w="23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856" w:name="xdx_8A6_zQf51rp5zxz"/>
      <w:bookmarkEnd w:id="856"/>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857" w:name="xdx_89A_eus-gaap--ScheduleOfShareBasedCo"/>
      <w:bookmarkEnd w:id="857"/>
      <w:r>
        <w:rPr>
          <w:rFonts w:ascii="Times New Roman;Times;Serif" w:hAnsi="Times New Roman;Times;Serif"/>
          <w:b w:val="false"/>
          <w:i w:val="false"/>
          <w:caps w:val="false"/>
          <w:smallCaps w:val="false"/>
          <w:color w:val="000000"/>
          <w:sz w:val="20"/>
        </w:rPr>
        <w:t>The following table summarizes information about stock options outstanding and exercisable at September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bookmarkStart w:id="858" w:name="xdx_8B5_zXQR0RzPxgyg"/>
      <w:bookmarkEnd w:id="858"/>
      <w:r>
        <w:rPr>
          <w:rFonts w:ascii="Times New Roman;Times;Serif" w:hAnsi="Times New Roman;Times;Serif"/>
          <w:b w:val="false"/>
          <w:i w:val="false"/>
          <w:caps w:val="false"/>
          <w:smallCaps w:val="false"/>
          <w:color w:val="000000"/>
          <w:sz w:val="20"/>
        </w:rPr>
        <w:t>SCHEDULE OF STOCK OPTION OUTSTANDING AND EXERCISABLE</w:t>
      </w:r>
    </w:p>
    <w:tbl>
      <w:tblPr>
        <w:tblW w:w="10205" w:type="dxa"/>
        <w:jc w:val="left"/>
        <w:tblInd w:w="0" w:type="dxa"/>
        <w:tblLayout w:type="fixed"/>
        <w:tblCellMar>
          <w:top w:w="0" w:type="dxa"/>
          <w:left w:w="0" w:type="dxa"/>
          <w:bottom w:w="0" w:type="dxa"/>
          <w:right w:w="0" w:type="dxa"/>
        </w:tblCellMar>
      </w:tblPr>
      <w:tblGrid>
        <w:gridCol w:w="1655"/>
        <w:gridCol w:w="60"/>
        <w:gridCol w:w="60"/>
        <w:gridCol w:w="97"/>
        <w:gridCol w:w="1606"/>
        <w:gridCol w:w="60"/>
        <w:gridCol w:w="60"/>
        <w:gridCol w:w="400"/>
        <w:gridCol w:w="2936"/>
        <w:gridCol w:w="60"/>
        <w:gridCol w:w="60"/>
        <w:gridCol w:w="204"/>
        <w:gridCol w:w="645"/>
        <w:gridCol w:w="60"/>
        <w:gridCol w:w="60"/>
        <w:gridCol w:w="64"/>
        <w:gridCol w:w="1059"/>
        <w:gridCol w:w="64"/>
        <w:gridCol w:w="64"/>
        <w:gridCol w:w="204"/>
        <w:gridCol w:w="645"/>
        <w:gridCol w:w="82"/>
      </w:tblGrid>
      <w:tr>
        <w:trPr/>
        <w:tc>
          <w:tcPr>
            <w:tcW w:w="165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128" w:type="dxa"/>
            <w:gridSpan w:val="10"/>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0000"/>
              </w:rPr>
            </w:pPr>
            <w:r>
              <w:rPr>
                <w:color w:val="000000"/>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Options Exercisable</w:t>
            </w:r>
          </w:p>
        </w:tc>
        <w:tc>
          <w:tcPr>
            <w:tcW w:w="82" w:type="dxa"/>
            <w:tcBorders/>
            <w:vAlign w:val="center"/>
          </w:tcPr>
          <w:p>
            <w:pPr>
              <w:pStyle w:val="TableContents"/>
              <w:bidi w:val="0"/>
              <w:spacing w:before="0" w:after="283"/>
              <w:jc w:val="left"/>
              <w:rPr/>
            </w:pPr>
            <w:r>
              <w:rPr/>
              <w:t> </w:t>
            </w:r>
          </w:p>
        </w:tc>
      </w:tr>
      <w:tr>
        <w:trPr/>
        <w:tc>
          <w:tcPr>
            <w:tcW w:w="1655" w:type="dxa"/>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Range of Exercise Prices</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70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Number Outstanding</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3336"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Weighted Average Remaining Contractual Life in Years</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Weighted </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Average</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Exercise</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Price</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123"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Number</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Exercisable</w:t>
            </w:r>
          </w:p>
        </w:tc>
        <w:tc>
          <w:tcPr>
            <w:tcW w:w="64" w:type="dxa"/>
            <w:tcBorders/>
            <w:vAlign w:val="center"/>
          </w:tcPr>
          <w:p>
            <w:pPr>
              <w:pStyle w:val="TableContents"/>
              <w:bidi w:val="0"/>
              <w:spacing w:before="0" w:after="283"/>
              <w:jc w:val="center"/>
              <w:rPr>
                <w:color w:val="000000"/>
              </w:rPr>
            </w:pPr>
            <w:r>
              <w:rPr>
                <w:color w:val="000000"/>
              </w:rPr>
              <w:t> </w:t>
            </w:r>
          </w:p>
        </w:tc>
        <w:tc>
          <w:tcPr>
            <w:tcW w:w="64" w:type="dxa"/>
            <w:tcBorders/>
            <w:vAlign w:val="center"/>
          </w:tcPr>
          <w:p>
            <w:pPr>
              <w:pStyle w:val="TableContents"/>
              <w:bidi w:val="0"/>
              <w:spacing w:before="0" w:after="283"/>
              <w:jc w:val="center"/>
              <w:rPr>
                <w:color w:val="000000"/>
              </w:rPr>
            </w:pPr>
            <w:r>
              <w:rPr>
                <w:color w:val="000000"/>
              </w:rPr>
              <w:t> </w:t>
            </w:r>
          </w:p>
        </w:tc>
        <w:tc>
          <w:tcPr>
            <w:tcW w:w="84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Weighted </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Average</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Exercise</w:t>
            </w:r>
          </w:p>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Price</w:t>
            </w:r>
          </w:p>
        </w:tc>
        <w:tc>
          <w:tcPr>
            <w:tcW w:w="82" w:type="dxa"/>
            <w:tcBorders/>
            <w:vAlign w:val="center"/>
          </w:tcPr>
          <w:p>
            <w:pPr>
              <w:pStyle w:val="TableContents"/>
              <w:bidi w:val="0"/>
              <w:spacing w:before="0" w:after="283"/>
              <w:jc w:val="center"/>
              <w:rPr>
                <w:color w:val="000000"/>
              </w:rPr>
            </w:pPr>
            <w:r>
              <w:rPr>
                <w:color w:val="000000"/>
              </w:rPr>
              <w:t> </w:t>
            </w:r>
          </w:p>
        </w:tc>
      </w:tr>
      <w:tr>
        <w:trPr/>
        <w:tc>
          <w:tcPr>
            <w:tcW w:w="1655" w:type="dxa"/>
            <w:tcBorders/>
            <w:shd w:fill="CCEEFF" w:val="clear"/>
            <w:vAlign w:val="center"/>
          </w:tcPr>
          <w:p>
            <w:pPr>
              <w:pStyle w:val="TableContents"/>
              <w:bidi w:val="0"/>
              <w:spacing w:before="0" w:after="283"/>
              <w:jc w:val="center"/>
              <w:rPr>
                <w:color w:val="000000"/>
              </w:rPr>
            </w:pPr>
            <w:r>
              <w:rPr>
                <w:color w:val="000000"/>
              </w:rPr>
              <w:t>$</w:t>
            </w:r>
            <w:bookmarkStart w:id="859" w:name="xdx_903_eus-gaap--ShareBasedCompensation"/>
            <w:bookmarkEnd w:id="859"/>
            <w:r>
              <w:rPr>
                <w:color w:val="000000"/>
              </w:rPr>
              <w:t>1.47 - $</w:t>
            </w:r>
            <w:bookmarkStart w:id="860" w:name="xdx_906_eus-gaap--ShareBasedCompensation"/>
            <w:bookmarkEnd w:id="860"/>
            <w:r>
              <w:rPr>
                <w:color w:val="000000"/>
              </w:rPr>
              <w:t>1.73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7" w:type="dxa"/>
            <w:tcBorders/>
            <w:shd w:fill="CCEEFF" w:val="clear"/>
            <w:vAlign w:val="center"/>
          </w:tcPr>
          <w:p>
            <w:pPr>
              <w:pStyle w:val="TableContents"/>
              <w:bidi w:val="0"/>
              <w:spacing w:before="0" w:after="283"/>
              <w:jc w:val="left"/>
              <w:rPr>
                <w:color w:val="000000"/>
              </w:rPr>
            </w:pPr>
            <w:r>
              <w:rPr>
                <w:color w:val="000000"/>
              </w:rPr>
              <w:t> </w:t>
            </w:r>
            <w:bookmarkStart w:id="861" w:name="xdx_984_eus-gaap--ShareBasedCompensation"/>
            <w:bookmarkEnd w:id="861"/>
          </w:p>
        </w:tc>
        <w:tc>
          <w:tcPr>
            <w:tcW w:w="1606" w:type="dxa"/>
            <w:tcBorders/>
            <w:shd w:fill="CCEEFF" w:val="clear"/>
            <w:vAlign w:val="center"/>
          </w:tcPr>
          <w:p>
            <w:pPr>
              <w:pStyle w:val="TableContents"/>
              <w:bidi w:val="0"/>
              <w:spacing w:before="0" w:after="283"/>
              <w:jc w:val="right"/>
              <w:rPr>
                <w:color w:val="000000"/>
              </w:rPr>
            </w:pPr>
            <w:r>
              <w:rPr>
                <w:color w:val="000000"/>
              </w:rPr>
              <w:t>295,852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2936" w:type="dxa"/>
            <w:tcBorders/>
            <w:shd w:fill="CCEEFF" w:val="clear"/>
            <w:vAlign w:val="center"/>
          </w:tcPr>
          <w:p>
            <w:pPr>
              <w:pStyle w:val="TableContents"/>
              <w:bidi w:val="0"/>
              <w:spacing w:before="0" w:after="283"/>
              <w:jc w:val="right"/>
              <w:rPr>
                <w:color w:val="000000"/>
              </w:rPr>
            </w:pPr>
            <w:bookmarkStart w:id="862" w:name="xdx_908_eus-gaap--SharebasedCompensation"/>
            <w:bookmarkEnd w:id="862"/>
            <w:r>
              <w:rPr>
                <w:color w:val="000000"/>
              </w:rPr>
              <w:t>4.20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863" w:name="xdx_986_eus-gaap--SharebasedCompensation"/>
            <w:bookmarkEnd w:id="863"/>
          </w:p>
        </w:tc>
        <w:tc>
          <w:tcPr>
            <w:tcW w:w="645" w:type="dxa"/>
            <w:tcBorders/>
            <w:shd w:fill="CCEEFF" w:val="clear"/>
            <w:vAlign w:val="center"/>
          </w:tcPr>
          <w:p>
            <w:pPr>
              <w:pStyle w:val="TableContents"/>
              <w:bidi w:val="0"/>
              <w:spacing w:before="0" w:after="283"/>
              <w:jc w:val="right"/>
              <w:rPr>
                <w:color w:val="000000"/>
              </w:rPr>
            </w:pPr>
            <w:r>
              <w:rPr>
                <w:color w:val="000000"/>
              </w:rPr>
              <w:t>1.72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bookmarkStart w:id="864" w:name="xdx_980_eus-gaap--ShareBasedCompensation"/>
            <w:bookmarkEnd w:id="864"/>
          </w:p>
        </w:tc>
        <w:tc>
          <w:tcPr>
            <w:tcW w:w="1059" w:type="dxa"/>
            <w:tcBorders/>
            <w:shd w:fill="CCEEFF" w:val="clear"/>
            <w:vAlign w:val="center"/>
          </w:tcPr>
          <w:p>
            <w:pPr>
              <w:pStyle w:val="TableContents"/>
              <w:bidi w:val="0"/>
              <w:spacing w:before="0" w:after="283"/>
              <w:jc w:val="right"/>
              <w:rPr>
                <w:color w:val="000000"/>
              </w:rPr>
            </w:pPr>
            <w:r>
              <w:rPr>
                <w:color w:val="000000"/>
              </w:rPr>
              <w:t>295,852</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865" w:name="xdx_985_eus-gaap--SharebasedCompensation"/>
            <w:bookmarkEnd w:id="865"/>
          </w:p>
        </w:tc>
        <w:tc>
          <w:tcPr>
            <w:tcW w:w="645" w:type="dxa"/>
            <w:tcBorders/>
            <w:shd w:fill="CCEEFF" w:val="clear"/>
            <w:vAlign w:val="center"/>
          </w:tcPr>
          <w:p>
            <w:pPr>
              <w:pStyle w:val="TableContents"/>
              <w:bidi w:val="0"/>
              <w:spacing w:before="0" w:after="283"/>
              <w:jc w:val="right"/>
              <w:rPr>
                <w:color w:val="000000"/>
              </w:rPr>
            </w:pPr>
            <w:r>
              <w:rPr>
                <w:color w:val="000000"/>
              </w:rPr>
              <w:t>1.72</w:t>
            </w:r>
          </w:p>
        </w:tc>
        <w:tc>
          <w:tcPr>
            <w:tcW w:w="82" w:type="dxa"/>
            <w:tcBorders/>
            <w:shd w:fill="CCEEFF" w:val="clear"/>
            <w:vAlign w:val="center"/>
          </w:tcPr>
          <w:p>
            <w:pPr>
              <w:pStyle w:val="TableContents"/>
              <w:bidi w:val="0"/>
              <w:spacing w:before="0" w:after="283"/>
              <w:jc w:val="left"/>
              <w:rPr>
                <w:color w:val="000000"/>
              </w:rPr>
            </w:pPr>
            <w:r>
              <w:rPr>
                <w:color w:val="000000"/>
              </w:rPr>
              <w:t> </w:t>
            </w:r>
          </w:p>
        </w:tc>
      </w:tr>
      <w:tr>
        <w:trPr/>
        <w:tc>
          <w:tcPr>
            <w:tcW w:w="1655" w:type="dxa"/>
            <w:tcBorders/>
            <w:shd w:fill="FFFFFF" w:val="clear"/>
            <w:vAlign w:val="center"/>
          </w:tcPr>
          <w:p>
            <w:pPr>
              <w:pStyle w:val="TableContents"/>
              <w:bidi w:val="0"/>
              <w:spacing w:before="0" w:after="283"/>
              <w:jc w:val="center"/>
              <w:rPr>
                <w:color w:val="000000"/>
              </w:rPr>
            </w:pPr>
            <w:r>
              <w:rPr>
                <w:color w:val="000000"/>
              </w:rPr>
              <w:t>$</w:t>
            </w:r>
            <w:bookmarkStart w:id="866" w:name="xdx_90D_eus-gaap--ShareBasedCompensation"/>
            <w:bookmarkEnd w:id="866"/>
            <w:r>
              <w:rPr>
                <w:color w:val="000000"/>
              </w:rPr>
              <w:t>2.23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7" w:type="dxa"/>
            <w:tcBorders/>
            <w:shd w:fill="FFFFFF" w:val="clear"/>
            <w:vAlign w:val="center"/>
          </w:tcPr>
          <w:p>
            <w:pPr>
              <w:pStyle w:val="TableContents"/>
              <w:bidi w:val="0"/>
              <w:spacing w:before="0" w:after="283"/>
              <w:jc w:val="left"/>
              <w:rPr>
                <w:color w:val="000000"/>
              </w:rPr>
            </w:pPr>
            <w:r>
              <w:rPr>
                <w:color w:val="000000"/>
              </w:rPr>
              <w:t> </w:t>
            </w:r>
            <w:bookmarkStart w:id="867" w:name="xdx_98C_eus-gaap--ShareBasedCompensation"/>
            <w:bookmarkEnd w:id="867"/>
          </w:p>
        </w:tc>
        <w:tc>
          <w:tcPr>
            <w:tcW w:w="1606" w:type="dxa"/>
            <w:tcBorders/>
            <w:shd w:fill="FFFFFF" w:val="clear"/>
            <w:vAlign w:val="center"/>
          </w:tcPr>
          <w:p>
            <w:pPr>
              <w:pStyle w:val="TableContents"/>
              <w:bidi w:val="0"/>
              <w:spacing w:before="0" w:after="283"/>
              <w:jc w:val="right"/>
              <w:rPr>
                <w:color w:val="000000"/>
              </w:rPr>
            </w:pPr>
            <w:r>
              <w:rPr>
                <w:color w:val="000000"/>
              </w:rPr>
              <w:t>285,000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2936" w:type="dxa"/>
            <w:tcBorders/>
            <w:shd w:fill="FFFFFF" w:val="clear"/>
            <w:vAlign w:val="center"/>
          </w:tcPr>
          <w:p>
            <w:pPr>
              <w:pStyle w:val="TableContents"/>
              <w:bidi w:val="0"/>
              <w:spacing w:before="0" w:after="283"/>
              <w:jc w:val="right"/>
              <w:rPr>
                <w:color w:val="000000"/>
              </w:rPr>
            </w:pPr>
            <w:bookmarkStart w:id="868" w:name="xdx_908_eus-gaap--SharebasedCompensation"/>
            <w:bookmarkEnd w:id="868"/>
            <w:r>
              <w:rPr>
                <w:color w:val="000000"/>
              </w:rPr>
              <w:t>3.34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869" w:name="xdx_98E_eus-gaap--SharebasedCompensation"/>
            <w:bookmarkEnd w:id="869"/>
          </w:p>
        </w:tc>
        <w:tc>
          <w:tcPr>
            <w:tcW w:w="645" w:type="dxa"/>
            <w:tcBorders/>
            <w:shd w:fill="FFFFFF" w:val="clear"/>
            <w:vAlign w:val="center"/>
          </w:tcPr>
          <w:p>
            <w:pPr>
              <w:pStyle w:val="TableContents"/>
              <w:bidi w:val="0"/>
              <w:spacing w:before="0" w:after="283"/>
              <w:jc w:val="right"/>
              <w:rPr>
                <w:color w:val="000000"/>
              </w:rPr>
            </w:pPr>
            <w:r>
              <w:rPr>
                <w:color w:val="000000"/>
              </w:rPr>
              <w:t>2.23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bookmarkStart w:id="870" w:name="xdx_988_eus-gaap--ShareBasedCompensation"/>
            <w:bookmarkEnd w:id="870"/>
          </w:p>
        </w:tc>
        <w:tc>
          <w:tcPr>
            <w:tcW w:w="1059" w:type="dxa"/>
            <w:tcBorders/>
            <w:shd w:fill="FFFFFF" w:val="clear"/>
            <w:vAlign w:val="center"/>
          </w:tcPr>
          <w:p>
            <w:pPr>
              <w:pStyle w:val="TableContents"/>
              <w:bidi w:val="0"/>
              <w:spacing w:before="0" w:after="283"/>
              <w:jc w:val="right"/>
              <w:rPr>
                <w:color w:val="000000"/>
              </w:rPr>
            </w:pPr>
            <w:r>
              <w:rPr>
                <w:color w:val="000000"/>
              </w:rPr>
              <w:t>285,000</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871" w:name="xdx_98C_eus-gaap--SharebasedCompensation"/>
            <w:bookmarkEnd w:id="871"/>
          </w:p>
        </w:tc>
        <w:tc>
          <w:tcPr>
            <w:tcW w:w="645" w:type="dxa"/>
            <w:tcBorders/>
            <w:shd w:fill="FFFFFF" w:val="clear"/>
            <w:vAlign w:val="center"/>
          </w:tcPr>
          <w:p>
            <w:pPr>
              <w:pStyle w:val="TableContents"/>
              <w:bidi w:val="0"/>
              <w:spacing w:before="0" w:after="283"/>
              <w:jc w:val="right"/>
              <w:rPr>
                <w:color w:val="000000"/>
              </w:rPr>
            </w:pPr>
            <w:r>
              <w:rPr>
                <w:color w:val="000000"/>
              </w:rPr>
              <w:t>2.23</w:t>
            </w:r>
          </w:p>
        </w:tc>
        <w:tc>
          <w:tcPr>
            <w:tcW w:w="82" w:type="dxa"/>
            <w:tcBorders/>
            <w:shd w:fill="FFFFFF" w:val="clear"/>
            <w:vAlign w:val="center"/>
          </w:tcPr>
          <w:p>
            <w:pPr>
              <w:pStyle w:val="TableContents"/>
              <w:bidi w:val="0"/>
              <w:spacing w:before="0" w:after="283"/>
              <w:jc w:val="left"/>
              <w:rPr>
                <w:color w:val="000000"/>
              </w:rPr>
            </w:pPr>
            <w:r>
              <w:rPr>
                <w:color w:val="000000"/>
              </w:rPr>
              <w:t> </w:t>
            </w:r>
          </w:p>
        </w:tc>
      </w:tr>
      <w:tr>
        <w:trPr/>
        <w:tc>
          <w:tcPr>
            <w:tcW w:w="1655" w:type="dxa"/>
            <w:tcBorders/>
            <w:shd w:fill="CCEEFF" w:val="clear"/>
            <w:vAlign w:val="center"/>
          </w:tcPr>
          <w:p>
            <w:pPr>
              <w:pStyle w:val="TableContents"/>
              <w:bidi w:val="0"/>
              <w:spacing w:before="0" w:after="283"/>
              <w:jc w:val="center"/>
              <w:rPr>
                <w:color w:val="000000"/>
              </w:rPr>
            </w:pPr>
            <w:r>
              <w:rPr>
                <w:color w:val="000000"/>
              </w:rPr>
              <w:t>$</w:t>
            </w:r>
            <w:bookmarkStart w:id="872" w:name="xdx_905_eus-gaap--ShareBasedCompensation"/>
            <w:bookmarkEnd w:id="872"/>
            <w:r>
              <w:rPr>
                <w:color w:val="000000"/>
              </w:rPr>
              <w:t>2.40 - $</w:t>
            </w:r>
            <w:bookmarkStart w:id="873" w:name="xdx_905_eus-gaap--ShareBasedCompensation"/>
            <w:bookmarkEnd w:id="873"/>
            <w:r>
              <w:rPr>
                <w:color w:val="000000"/>
              </w:rPr>
              <w:t>2.60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7" w:type="dxa"/>
            <w:tcBorders/>
            <w:shd w:fill="CCEEFF" w:val="clear"/>
            <w:vAlign w:val="center"/>
          </w:tcPr>
          <w:p>
            <w:pPr>
              <w:pStyle w:val="TableContents"/>
              <w:bidi w:val="0"/>
              <w:spacing w:before="0" w:after="283"/>
              <w:jc w:val="left"/>
              <w:rPr>
                <w:color w:val="000000"/>
              </w:rPr>
            </w:pPr>
            <w:r>
              <w:rPr>
                <w:color w:val="000000"/>
              </w:rPr>
              <w:t> </w:t>
            </w:r>
            <w:bookmarkStart w:id="874" w:name="xdx_98D_eus-gaap--ShareBasedCompensation"/>
            <w:bookmarkEnd w:id="874"/>
          </w:p>
        </w:tc>
        <w:tc>
          <w:tcPr>
            <w:tcW w:w="1606" w:type="dxa"/>
            <w:tcBorders/>
            <w:shd w:fill="CCEEFF" w:val="clear"/>
            <w:vAlign w:val="center"/>
          </w:tcPr>
          <w:p>
            <w:pPr>
              <w:pStyle w:val="TableContents"/>
              <w:bidi w:val="0"/>
              <w:spacing w:before="0" w:after="283"/>
              <w:jc w:val="right"/>
              <w:rPr>
                <w:color w:val="000000"/>
              </w:rPr>
            </w:pPr>
            <w:r>
              <w:rPr>
                <w:color w:val="000000"/>
              </w:rPr>
              <w:t>24,068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2936" w:type="dxa"/>
            <w:tcBorders/>
            <w:shd w:fill="CCEEFF" w:val="clear"/>
            <w:vAlign w:val="center"/>
          </w:tcPr>
          <w:p>
            <w:pPr>
              <w:pStyle w:val="TableContents"/>
              <w:bidi w:val="0"/>
              <w:spacing w:before="0" w:after="283"/>
              <w:jc w:val="right"/>
              <w:rPr>
                <w:color w:val="000000"/>
              </w:rPr>
            </w:pPr>
            <w:bookmarkStart w:id="875" w:name="xdx_903_eus-gaap--SharebasedCompensation"/>
            <w:bookmarkEnd w:id="875"/>
            <w:r>
              <w:rPr>
                <w:color w:val="000000"/>
              </w:rPr>
              <w:t>3.27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876" w:name="xdx_980_eus-gaap--SharebasedCompensation"/>
            <w:bookmarkEnd w:id="876"/>
          </w:p>
        </w:tc>
        <w:tc>
          <w:tcPr>
            <w:tcW w:w="645" w:type="dxa"/>
            <w:tcBorders/>
            <w:shd w:fill="CCEEFF" w:val="clear"/>
            <w:vAlign w:val="center"/>
          </w:tcPr>
          <w:p>
            <w:pPr>
              <w:pStyle w:val="TableContents"/>
              <w:bidi w:val="0"/>
              <w:spacing w:before="0" w:after="283"/>
              <w:jc w:val="right"/>
              <w:rPr>
                <w:color w:val="000000"/>
              </w:rPr>
            </w:pPr>
            <w:r>
              <w:rPr>
                <w:color w:val="000000"/>
              </w:rPr>
              <w:t>2.58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bookmarkStart w:id="877" w:name="xdx_982_eus-gaap--ShareBasedCompensation"/>
            <w:bookmarkEnd w:id="877"/>
          </w:p>
        </w:tc>
        <w:tc>
          <w:tcPr>
            <w:tcW w:w="1059" w:type="dxa"/>
            <w:tcBorders/>
            <w:shd w:fill="CCEEFF" w:val="clear"/>
            <w:vAlign w:val="center"/>
          </w:tcPr>
          <w:p>
            <w:pPr>
              <w:pStyle w:val="TableContents"/>
              <w:bidi w:val="0"/>
              <w:spacing w:before="0" w:after="283"/>
              <w:jc w:val="right"/>
              <w:rPr>
                <w:color w:val="000000"/>
              </w:rPr>
            </w:pPr>
            <w:r>
              <w:rPr>
                <w:color w:val="000000"/>
              </w:rPr>
              <w:t>24,068</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878" w:name="xdx_98C_eus-gaap--SharebasedCompensation"/>
            <w:bookmarkEnd w:id="878"/>
          </w:p>
        </w:tc>
        <w:tc>
          <w:tcPr>
            <w:tcW w:w="645" w:type="dxa"/>
            <w:tcBorders/>
            <w:shd w:fill="CCEEFF" w:val="clear"/>
            <w:vAlign w:val="center"/>
          </w:tcPr>
          <w:p>
            <w:pPr>
              <w:pStyle w:val="TableContents"/>
              <w:bidi w:val="0"/>
              <w:spacing w:before="0" w:after="283"/>
              <w:jc w:val="right"/>
              <w:rPr>
                <w:color w:val="000000"/>
              </w:rPr>
            </w:pPr>
            <w:r>
              <w:rPr>
                <w:color w:val="000000"/>
              </w:rPr>
              <w:t>2.58</w:t>
            </w:r>
          </w:p>
        </w:tc>
        <w:tc>
          <w:tcPr>
            <w:tcW w:w="82" w:type="dxa"/>
            <w:tcBorders/>
            <w:shd w:fill="CCEEFF" w:val="clear"/>
            <w:vAlign w:val="center"/>
          </w:tcPr>
          <w:p>
            <w:pPr>
              <w:pStyle w:val="TableContents"/>
              <w:bidi w:val="0"/>
              <w:spacing w:before="0" w:after="283"/>
              <w:jc w:val="left"/>
              <w:rPr>
                <w:color w:val="000000"/>
              </w:rPr>
            </w:pPr>
            <w:r>
              <w:rPr>
                <w:color w:val="000000"/>
              </w:rPr>
              <w:t> </w:t>
            </w:r>
          </w:p>
        </w:tc>
      </w:tr>
      <w:tr>
        <w:trPr/>
        <w:tc>
          <w:tcPr>
            <w:tcW w:w="1655" w:type="dxa"/>
            <w:tcBorders/>
            <w:shd w:fill="FFFFFF" w:val="clear"/>
            <w:vAlign w:val="center"/>
          </w:tcPr>
          <w:p>
            <w:pPr>
              <w:pStyle w:val="TableContents"/>
              <w:bidi w:val="0"/>
              <w:spacing w:before="0" w:after="283"/>
              <w:jc w:val="center"/>
              <w:rPr>
                <w:color w:val="000000"/>
              </w:rPr>
            </w:pPr>
            <w:r>
              <w:rPr>
                <w:color w:val="000000"/>
              </w:rPr>
              <w:t>$</w:t>
            </w:r>
            <w:bookmarkStart w:id="879" w:name="xdx_900_eus-gaap--ShareBasedCompensation"/>
            <w:bookmarkEnd w:id="879"/>
            <w:r>
              <w:rPr>
                <w:color w:val="000000"/>
              </w:rPr>
              <w:t>3.95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7" w:type="dxa"/>
            <w:tcBorders/>
            <w:shd w:fill="FFFFFF" w:val="clear"/>
            <w:vAlign w:val="center"/>
          </w:tcPr>
          <w:p>
            <w:pPr>
              <w:pStyle w:val="TableContents"/>
              <w:bidi w:val="0"/>
              <w:spacing w:before="0" w:after="283"/>
              <w:jc w:val="left"/>
              <w:rPr>
                <w:color w:val="000000"/>
              </w:rPr>
            </w:pPr>
            <w:r>
              <w:rPr>
                <w:color w:val="000000"/>
              </w:rPr>
              <w:t> </w:t>
            </w:r>
            <w:bookmarkStart w:id="880" w:name="xdx_98A_eus-gaap--ShareBasedCompensation"/>
            <w:bookmarkEnd w:id="880"/>
          </w:p>
        </w:tc>
        <w:tc>
          <w:tcPr>
            <w:tcW w:w="1606" w:type="dxa"/>
            <w:tcBorders/>
            <w:shd w:fill="FFFFFF" w:val="clear"/>
            <w:vAlign w:val="center"/>
          </w:tcPr>
          <w:p>
            <w:pPr>
              <w:pStyle w:val="TableContents"/>
              <w:bidi w:val="0"/>
              <w:spacing w:before="0" w:after="283"/>
              <w:jc w:val="right"/>
              <w:rPr>
                <w:color w:val="000000"/>
              </w:rPr>
            </w:pPr>
            <w:r>
              <w:rPr>
                <w:color w:val="000000"/>
              </w:rPr>
              <w:t>310,000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2936" w:type="dxa"/>
            <w:tcBorders/>
            <w:shd w:fill="FFFFFF" w:val="clear"/>
            <w:vAlign w:val="center"/>
          </w:tcPr>
          <w:p>
            <w:pPr>
              <w:pStyle w:val="TableContents"/>
              <w:bidi w:val="0"/>
              <w:spacing w:before="0" w:after="283"/>
              <w:jc w:val="right"/>
              <w:rPr>
                <w:color w:val="000000"/>
              </w:rPr>
            </w:pPr>
            <w:bookmarkStart w:id="881" w:name="xdx_903_eus-gaap--SharebasedCompensation"/>
            <w:bookmarkEnd w:id="881"/>
            <w:r>
              <w:rPr>
                <w:color w:val="000000"/>
              </w:rPr>
              <w:t>2.50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882" w:name="xdx_981_eus-gaap--SharebasedCompensation"/>
            <w:bookmarkEnd w:id="882"/>
          </w:p>
        </w:tc>
        <w:tc>
          <w:tcPr>
            <w:tcW w:w="645" w:type="dxa"/>
            <w:tcBorders/>
            <w:shd w:fill="FFFFFF" w:val="clear"/>
            <w:vAlign w:val="center"/>
          </w:tcPr>
          <w:p>
            <w:pPr>
              <w:pStyle w:val="TableContents"/>
              <w:bidi w:val="0"/>
              <w:spacing w:before="0" w:after="283"/>
              <w:jc w:val="right"/>
              <w:rPr>
                <w:color w:val="000000"/>
              </w:rPr>
            </w:pPr>
            <w:r>
              <w:rPr>
                <w:color w:val="000000"/>
              </w:rPr>
              <w:t>3.95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bookmarkStart w:id="883" w:name="xdx_985_eus-gaap--ShareBasedCompensation"/>
            <w:bookmarkEnd w:id="883"/>
          </w:p>
        </w:tc>
        <w:tc>
          <w:tcPr>
            <w:tcW w:w="1059" w:type="dxa"/>
            <w:tcBorders/>
            <w:shd w:fill="FFFFFF" w:val="clear"/>
            <w:vAlign w:val="center"/>
          </w:tcPr>
          <w:p>
            <w:pPr>
              <w:pStyle w:val="TableContents"/>
              <w:bidi w:val="0"/>
              <w:spacing w:before="0" w:after="283"/>
              <w:jc w:val="right"/>
              <w:rPr>
                <w:color w:val="000000"/>
              </w:rPr>
            </w:pPr>
            <w:r>
              <w:rPr>
                <w:color w:val="000000"/>
              </w:rPr>
              <w:t>310,000</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884" w:name="xdx_985_eus-gaap--SharebasedCompensation"/>
            <w:bookmarkEnd w:id="884"/>
          </w:p>
        </w:tc>
        <w:tc>
          <w:tcPr>
            <w:tcW w:w="645" w:type="dxa"/>
            <w:tcBorders/>
            <w:shd w:fill="FFFFFF" w:val="clear"/>
            <w:vAlign w:val="center"/>
          </w:tcPr>
          <w:p>
            <w:pPr>
              <w:pStyle w:val="TableContents"/>
              <w:bidi w:val="0"/>
              <w:spacing w:before="0" w:after="283"/>
              <w:jc w:val="right"/>
              <w:rPr>
                <w:color w:val="000000"/>
              </w:rPr>
            </w:pPr>
            <w:r>
              <w:rPr>
                <w:color w:val="000000"/>
              </w:rPr>
              <w:t>3.95</w:t>
            </w:r>
          </w:p>
        </w:tc>
        <w:tc>
          <w:tcPr>
            <w:tcW w:w="82" w:type="dxa"/>
            <w:tcBorders/>
            <w:shd w:fill="FFFFFF" w:val="clear"/>
            <w:vAlign w:val="center"/>
          </w:tcPr>
          <w:p>
            <w:pPr>
              <w:pStyle w:val="TableContents"/>
              <w:bidi w:val="0"/>
              <w:spacing w:before="0" w:after="283"/>
              <w:jc w:val="left"/>
              <w:rPr>
                <w:color w:val="000000"/>
              </w:rPr>
            </w:pPr>
            <w:r>
              <w:rPr>
                <w:color w:val="000000"/>
              </w:rPr>
              <w:t> </w:t>
            </w:r>
          </w:p>
        </w:tc>
      </w:tr>
      <w:tr>
        <w:trPr/>
        <w:tc>
          <w:tcPr>
            <w:tcW w:w="1655" w:type="dxa"/>
            <w:tcBorders/>
            <w:shd w:fill="CCEEFF" w:val="clear"/>
            <w:vAlign w:val="center"/>
          </w:tcPr>
          <w:p>
            <w:pPr>
              <w:pStyle w:val="TableContents"/>
              <w:bidi w:val="0"/>
              <w:spacing w:before="0" w:after="283"/>
              <w:jc w:val="center"/>
              <w:rPr>
                <w:color w:val="000000"/>
              </w:rPr>
            </w:pPr>
            <w:r>
              <w:rPr>
                <w:color w:val="000000"/>
              </w:rPr>
              <w:t>$</w:t>
            </w:r>
            <w:bookmarkStart w:id="885" w:name="xdx_90D_eus-gaap--ShareBasedCompensation"/>
            <w:bookmarkEnd w:id="885"/>
            <w:r>
              <w:rPr>
                <w:color w:val="000000"/>
              </w:rPr>
              <w:t>4.08 - $</w:t>
            </w:r>
            <w:bookmarkStart w:id="886" w:name="xdx_90C_eus-gaap--ShareBasedCompensation"/>
            <w:bookmarkEnd w:id="886"/>
            <w:r>
              <w:rPr>
                <w:color w:val="000000"/>
              </w:rPr>
              <w:t>5.72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color w:val="000000"/>
              </w:rPr>
            </w:pPr>
            <w:r>
              <w:rPr>
                <w:color w:val="000000"/>
              </w:rPr>
              <w:t> </w:t>
            </w:r>
            <w:bookmarkStart w:id="887" w:name="xdx_98B_eus-gaap--ShareBasedCompensation"/>
            <w:bookmarkEnd w:id="887"/>
          </w:p>
        </w:tc>
        <w:tc>
          <w:tcPr>
            <w:tcW w:w="1606" w:type="dxa"/>
            <w:tcBorders/>
            <w:shd w:fill="CCEEFF" w:val="clear"/>
            <w:vAlign w:val="center"/>
          </w:tcPr>
          <w:p>
            <w:pPr>
              <w:pStyle w:val="TableContents"/>
              <w:bidi w:val="0"/>
              <w:spacing w:before="0" w:after="283"/>
              <w:jc w:val="right"/>
              <w:rPr>
                <w:color w:val="000000"/>
              </w:rPr>
            </w:pPr>
            <w:r>
              <w:rPr>
                <w:color w:val="000000"/>
              </w:rPr>
              <w:t>123,225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2936" w:type="dxa"/>
            <w:tcBorders/>
            <w:shd w:fill="CCEEFF" w:val="clear"/>
            <w:vAlign w:val="center"/>
          </w:tcPr>
          <w:p>
            <w:pPr>
              <w:pStyle w:val="TableContents"/>
              <w:bidi w:val="0"/>
              <w:spacing w:before="0" w:after="283"/>
              <w:jc w:val="right"/>
              <w:rPr>
                <w:color w:val="000000"/>
              </w:rPr>
            </w:pPr>
            <w:bookmarkStart w:id="888" w:name="xdx_901_eus-gaap--SharebasedCompensation"/>
            <w:bookmarkEnd w:id="888"/>
            <w:r>
              <w:rPr>
                <w:color w:val="000000"/>
              </w:rPr>
              <w:t>4.67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889" w:name="xdx_980_eus-gaap--SharebasedCompensation"/>
            <w:bookmarkEnd w:id="889"/>
          </w:p>
        </w:tc>
        <w:tc>
          <w:tcPr>
            <w:tcW w:w="645" w:type="dxa"/>
            <w:tcBorders/>
            <w:shd w:fill="CCEEFF" w:val="clear"/>
            <w:vAlign w:val="center"/>
          </w:tcPr>
          <w:p>
            <w:pPr>
              <w:pStyle w:val="TableContents"/>
              <w:bidi w:val="0"/>
              <w:spacing w:before="0" w:after="283"/>
              <w:jc w:val="right"/>
              <w:rPr>
                <w:color w:val="000000"/>
              </w:rPr>
            </w:pPr>
            <w:r>
              <w:rPr>
                <w:color w:val="000000"/>
              </w:rPr>
              <w:t>5.28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bookmarkStart w:id="890" w:name="xdx_98D_eus-gaap--ShareBasedCompensation"/>
            <w:bookmarkEnd w:id="890"/>
          </w:p>
        </w:tc>
        <w:tc>
          <w:tcPr>
            <w:tcW w:w="1059" w:type="dxa"/>
            <w:tcBorders/>
            <w:shd w:fill="CCEEFF" w:val="clear"/>
            <w:vAlign w:val="center"/>
          </w:tcPr>
          <w:p>
            <w:pPr>
              <w:pStyle w:val="TableContents"/>
              <w:bidi w:val="0"/>
              <w:spacing w:before="0" w:after="283"/>
              <w:jc w:val="right"/>
              <w:rPr>
                <w:color w:val="000000"/>
              </w:rPr>
            </w:pPr>
            <w:r>
              <w:rPr>
                <w:color w:val="000000"/>
              </w:rPr>
              <w:t>115,475</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891" w:name="xdx_98B_eus-gaap--SharebasedCompensation"/>
            <w:bookmarkEnd w:id="891"/>
          </w:p>
        </w:tc>
        <w:tc>
          <w:tcPr>
            <w:tcW w:w="645" w:type="dxa"/>
            <w:tcBorders/>
            <w:shd w:fill="CCEEFF" w:val="clear"/>
            <w:vAlign w:val="center"/>
          </w:tcPr>
          <w:p>
            <w:pPr>
              <w:pStyle w:val="TableContents"/>
              <w:bidi w:val="0"/>
              <w:spacing w:before="0" w:after="283"/>
              <w:jc w:val="right"/>
              <w:rPr>
                <w:color w:val="000000"/>
              </w:rPr>
            </w:pPr>
            <w:r>
              <w:rPr>
                <w:color w:val="000000"/>
              </w:rPr>
              <w:t>5.25</w:t>
            </w:r>
          </w:p>
        </w:tc>
        <w:tc>
          <w:tcPr>
            <w:tcW w:w="82" w:type="dxa"/>
            <w:tcBorders/>
            <w:shd w:fill="CCEEFF" w:val="clear"/>
            <w:vAlign w:val="center"/>
          </w:tcPr>
          <w:p>
            <w:pPr>
              <w:pStyle w:val="TableContents"/>
              <w:bidi w:val="0"/>
              <w:spacing w:before="0" w:after="283"/>
              <w:jc w:val="left"/>
              <w:rPr>
                <w:color w:val="000000"/>
              </w:rPr>
            </w:pPr>
            <w:r>
              <w:rPr>
                <w:color w:val="000000"/>
              </w:rPr>
              <w:t> </w:t>
            </w:r>
          </w:p>
        </w:tc>
      </w:tr>
      <w:tr>
        <w:trPr/>
        <w:tc>
          <w:tcPr>
            <w:tcW w:w="1655" w:type="dxa"/>
            <w:tcBorders/>
            <w:shd w:fill="FFFFFF" w:val="clear"/>
            <w:vAlign w:val="center"/>
          </w:tcPr>
          <w:p>
            <w:pPr>
              <w:pStyle w:val="TableContents"/>
              <w:bidi w:val="0"/>
              <w:spacing w:before="0" w:after="283"/>
              <w:jc w:val="center"/>
              <w:rPr>
                <w:color w:val="000000"/>
              </w:rPr>
            </w:pPr>
            <w:r>
              <w:rPr>
                <w:color w:val="000000"/>
              </w:rPr>
              <w:t>$</w:t>
            </w:r>
            <w:bookmarkStart w:id="892" w:name="xdx_905_eus-gaap--ShareBasedCompensation"/>
            <w:bookmarkEnd w:id="892"/>
            <w:r>
              <w:rPr>
                <w:color w:val="000000"/>
              </w:rPr>
              <w:t>6.30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color w:val="000000"/>
              </w:rPr>
            </w:pPr>
            <w:r>
              <w:rPr>
                <w:color w:val="000000"/>
              </w:rPr>
              <w:t> </w:t>
            </w:r>
            <w:bookmarkStart w:id="893" w:name="xdx_989_eus-gaap--ShareBasedCompensation"/>
            <w:bookmarkEnd w:id="893"/>
          </w:p>
        </w:tc>
        <w:tc>
          <w:tcPr>
            <w:tcW w:w="1606" w:type="dxa"/>
            <w:tcBorders/>
            <w:shd w:fill="FFFFFF" w:val="clear"/>
            <w:vAlign w:val="center"/>
          </w:tcPr>
          <w:p>
            <w:pPr>
              <w:pStyle w:val="TableContents"/>
              <w:bidi w:val="0"/>
              <w:spacing w:before="0" w:after="283"/>
              <w:jc w:val="right"/>
              <w:rPr>
                <w:color w:val="000000"/>
              </w:rPr>
            </w:pPr>
            <w:r>
              <w:rPr>
                <w:color w:val="000000"/>
              </w:rPr>
              <w:t>285,000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2936" w:type="dxa"/>
            <w:tcBorders/>
            <w:shd w:fill="FFFFFF" w:val="clear"/>
            <w:vAlign w:val="center"/>
          </w:tcPr>
          <w:p>
            <w:pPr>
              <w:pStyle w:val="TableContents"/>
              <w:bidi w:val="0"/>
              <w:spacing w:before="0" w:after="283"/>
              <w:jc w:val="right"/>
              <w:rPr>
                <w:color w:val="000000"/>
              </w:rPr>
            </w:pPr>
            <w:bookmarkStart w:id="894" w:name="xdx_90C_eus-gaap--SharebasedCompensation"/>
            <w:bookmarkEnd w:id="894"/>
            <w:r>
              <w:rPr>
                <w:color w:val="000000"/>
              </w:rPr>
              <w:t>5.39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895" w:name="xdx_984_eus-gaap--SharebasedCompensation"/>
            <w:bookmarkEnd w:id="895"/>
          </w:p>
        </w:tc>
        <w:tc>
          <w:tcPr>
            <w:tcW w:w="645" w:type="dxa"/>
            <w:tcBorders/>
            <w:shd w:fill="FFFFFF" w:val="clear"/>
            <w:vAlign w:val="center"/>
          </w:tcPr>
          <w:p>
            <w:pPr>
              <w:pStyle w:val="TableContents"/>
              <w:bidi w:val="0"/>
              <w:spacing w:before="0" w:after="283"/>
              <w:jc w:val="right"/>
              <w:rPr>
                <w:color w:val="000000"/>
              </w:rPr>
            </w:pPr>
            <w:r>
              <w:rPr>
                <w:color w:val="000000"/>
              </w:rPr>
              <w:t>6.30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bookmarkStart w:id="896" w:name="xdx_985_eus-gaap--ShareBasedCompensation"/>
            <w:bookmarkEnd w:id="896"/>
          </w:p>
        </w:tc>
        <w:tc>
          <w:tcPr>
            <w:tcW w:w="1059" w:type="dxa"/>
            <w:tcBorders/>
            <w:shd w:fill="FFFFFF" w:val="clear"/>
            <w:vAlign w:val="center"/>
          </w:tcPr>
          <w:p>
            <w:pPr>
              <w:pStyle w:val="TableContents"/>
              <w:bidi w:val="0"/>
              <w:spacing w:before="0" w:after="283"/>
              <w:jc w:val="right"/>
              <w:rPr>
                <w:color w:val="000000"/>
              </w:rPr>
            </w:pPr>
            <w:r>
              <w:rPr>
                <w:color w:val="000000"/>
              </w:rPr>
              <w:t>285,000</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897" w:name="xdx_985_eus-gaap--SharebasedCompensation"/>
            <w:bookmarkEnd w:id="897"/>
          </w:p>
        </w:tc>
        <w:tc>
          <w:tcPr>
            <w:tcW w:w="645" w:type="dxa"/>
            <w:tcBorders/>
            <w:shd w:fill="FFFFFF" w:val="clear"/>
            <w:vAlign w:val="center"/>
          </w:tcPr>
          <w:p>
            <w:pPr>
              <w:pStyle w:val="TableContents"/>
              <w:bidi w:val="0"/>
              <w:spacing w:before="0" w:after="283"/>
              <w:jc w:val="right"/>
              <w:rPr>
                <w:color w:val="000000"/>
              </w:rPr>
            </w:pPr>
            <w:r>
              <w:rPr>
                <w:color w:val="000000"/>
              </w:rPr>
              <w:t>6.30</w:t>
            </w:r>
          </w:p>
        </w:tc>
        <w:tc>
          <w:tcPr>
            <w:tcW w:w="82" w:type="dxa"/>
            <w:tcBorders/>
            <w:shd w:fill="FFFFFF" w:val="clear"/>
            <w:vAlign w:val="center"/>
          </w:tcPr>
          <w:p>
            <w:pPr>
              <w:pStyle w:val="TableContents"/>
              <w:bidi w:val="0"/>
              <w:spacing w:before="0" w:after="283"/>
              <w:jc w:val="left"/>
              <w:rPr>
                <w:color w:val="000000"/>
              </w:rPr>
            </w:pPr>
            <w:r>
              <w:rPr>
                <w:color w:val="000000"/>
              </w:rPr>
              <w:t> </w:t>
            </w:r>
          </w:p>
        </w:tc>
      </w:tr>
      <w:tr>
        <w:trPr/>
        <w:tc>
          <w:tcPr>
            <w:tcW w:w="1655" w:type="dxa"/>
            <w:tcBorders/>
            <w:shd w:fill="CCEEFF" w:val="clear"/>
            <w:vAlign w:val="center"/>
          </w:tcPr>
          <w:p>
            <w:pPr>
              <w:pStyle w:val="TableContents"/>
              <w:bidi w:val="0"/>
              <w:spacing w:before="0" w:after="283"/>
              <w:jc w:val="center"/>
              <w:rPr>
                <w:color w:val="000000"/>
              </w:rPr>
            </w:pPr>
            <w:r>
              <w:rPr>
                <w:color w:val="000000"/>
              </w:rPr>
              <w:t>$</w:t>
            </w:r>
            <w:bookmarkStart w:id="898" w:name="xdx_908_eus-gaap--ShareBasedCompensation"/>
            <w:bookmarkEnd w:id="898"/>
            <w:r>
              <w:rPr>
                <w:color w:val="000000"/>
              </w:rPr>
              <w:t>6.75 - $</w:t>
            </w:r>
            <w:bookmarkStart w:id="899" w:name="xdx_901_eus-gaap--ShareBasedCompensation"/>
            <w:bookmarkEnd w:id="899"/>
            <w:r>
              <w:rPr>
                <w:color w:val="000000"/>
              </w:rPr>
              <w:t>7.26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color w:val="000000"/>
              </w:rPr>
            </w:pPr>
            <w:r>
              <w:rPr>
                <w:color w:val="000000"/>
              </w:rPr>
              <w:t> </w:t>
            </w:r>
            <w:bookmarkStart w:id="900" w:name="xdx_989_eus-gaap--ShareBasedCompensation"/>
            <w:bookmarkEnd w:id="900"/>
          </w:p>
        </w:tc>
        <w:tc>
          <w:tcPr>
            <w:tcW w:w="1606" w:type="dxa"/>
            <w:tcBorders/>
            <w:shd w:fill="CCEEFF" w:val="clear"/>
            <w:vAlign w:val="center"/>
          </w:tcPr>
          <w:p>
            <w:pPr>
              <w:pStyle w:val="TableContents"/>
              <w:bidi w:val="0"/>
              <w:spacing w:before="0" w:after="283"/>
              <w:jc w:val="right"/>
              <w:rPr>
                <w:color w:val="000000"/>
              </w:rPr>
            </w:pPr>
            <w:r>
              <w:rPr>
                <w:color w:val="000000"/>
              </w:rPr>
              <w:t>105,062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2936" w:type="dxa"/>
            <w:tcBorders/>
            <w:shd w:fill="CCEEFF" w:val="clear"/>
            <w:vAlign w:val="center"/>
          </w:tcPr>
          <w:p>
            <w:pPr>
              <w:pStyle w:val="TableContents"/>
              <w:bidi w:val="0"/>
              <w:spacing w:before="0" w:after="283"/>
              <w:jc w:val="right"/>
              <w:rPr>
                <w:color w:val="000000"/>
              </w:rPr>
            </w:pPr>
            <w:bookmarkStart w:id="901" w:name="xdx_908_eus-gaap--SharebasedCompensation"/>
            <w:bookmarkEnd w:id="901"/>
            <w:r>
              <w:rPr>
                <w:color w:val="000000"/>
              </w:rPr>
              <w:t>8.32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902" w:name="xdx_98F_eus-gaap--SharebasedCompensation"/>
            <w:bookmarkEnd w:id="902"/>
          </w:p>
        </w:tc>
        <w:tc>
          <w:tcPr>
            <w:tcW w:w="645" w:type="dxa"/>
            <w:tcBorders/>
            <w:shd w:fill="CCEEFF" w:val="clear"/>
            <w:vAlign w:val="center"/>
          </w:tcPr>
          <w:p>
            <w:pPr>
              <w:pStyle w:val="TableContents"/>
              <w:bidi w:val="0"/>
              <w:spacing w:before="0" w:after="283"/>
              <w:jc w:val="right"/>
              <w:rPr>
                <w:color w:val="000000"/>
              </w:rPr>
            </w:pPr>
            <w:r>
              <w:rPr>
                <w:color w:val="000000"/>
              </w:rPr>
              <w:t>6.96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bookmarkStart w:id="903" w:name="xdx_980_eus-gaap--ShareBasedCompensation"/>
            <w:bookmarkEnd w:id="903"/>
          </w:p>
        </w:tc>
        <w:tc>
          <w:tcPr>
            <w:tcW w:w="1059" w:type="dxa"/>
            <w:tcBorders/>
            <w:shd w:fill="CCEEFF" w:val="clear"/>
            <w:vAlign w:val="center"/>
          </w:tcPr>
          <w:p>
            <w:pPr>
              <w:pStyle w:val="TableContents"/>
              <w:bidi w:val="0"/>
              <w:spacing w:before="0" w:after="283"/>
              <w:jc w:val="right"/>
              <w:rPr>
                <w:color w:val="000000"/>
              </w:rPr>
            </w:pPr>
            <w:r>
              <w:rPr>
                <w:color w:val="000000"/>
              </w:rPr>
              <w:t>33,720</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904" w:name="xdx_986_eus-gaap--SharebasedCompensation"/>
            <w:bookmarkEnd w:id="904"/>
          </w:p>
        </w:tc>
        <w:tc>
          <w:tcPr>
            <w:tcW w:w="645" w:type="dxa"/>
            <w:tcBorders/>
            <w:shd w:fill="CCEEFF" w:val="clear"/>
            <w:vAlign w:val="center"/>
          </w:tcPr>
          <w:p>
            <w:pPr>
              <w:pStyle w:val="TableContents"/>
              <w:bidi w:val="0"/>
              <w:spacing w:before="0" w:after="283"/>
              <w:jc w:val="right"/>
              <w:rPr>
                <w:color w:val="000000"/>
              </w:rPr>
            </w:pPr>
            <w:r>
              <w:rPr>
                <w:color w:val="000000"/>
              </w:rPr>
              <w:t>6.96</w:t>
            </w:r>
          </w:p>
        </w:tc>
        <w:tc>
          <w:tcPr>
            <w:tcW w:w="82" w:type="dxa"/>
            <w:tcBorders/>
            <w:shd w:fill="CCEEFF" w:val="clear"/>
            <w:vAlign w:val="center"/>
          </w:tcPr>
          <w:p>
            <w:pPr>
              <w:pStyle w:val="TableContents"/>
              <w:bidi w:val="0"/>
              <w:spacing w:before="0" w:after="283"/>
              <w:jc w:val="left"/>
              <w:rPr>
                <w:color w:val="000000"/>
              </w:rPr>
            </w:pPr>
            <w:r>
              <w:rPr>
                <w:color w:val="000000"/>
              </w:rPr>
              <w:t> </w:t>
            </w:r>
          </w:p>
        </w:tc>
      </w:tr>
      <w:tr>
        <w:trPr/>
        <w:tc>
          <w:tcPr>
            <w:tcW w:w="1655" w:type="dxa"/>
            <w:tcBorders/>
            <w:shd w:fill="FFFFFF" w:val="clear"/>
            <w:vAlign w:val="center"/>
          </w:tcPr>
          <w:p>
            <w:pPr>
              <w:pStyle w:val="TableContents"/>
              <w:bidi w:val="0"/>
              <w:spacing w:before="0" w:after="283"/>
              <w:jc w:val="center"/>
              <w:rPr>
                <w:color w:val="000000"/>
              </w:rPr>
            </w:pPr>
            <w:r>
              <w:rPr>
                <w:color w:val="000000"/>
              </w:rPr>
              <w:t>$</w:t>
            </w:r>
            <w:bookmarkStart w:id="905" w:name="xdx_900_eus-gaap--ShareBasedCompensation"/>
            <w:bookmarkEnd w:id="905"/>
            <w:r>
              <w:rPr>
                <w:color w:val="000000"/>
              </w:rPr>
              <w:t>7.30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color w:val="000000"/>
              </w:rPr>
            </w:pPr>
            <w:r>
              <w:rPr>
                <w:color w:val="000000"/>
              </w:rPr>
              <w:t> </w:t>
            </w:r>
            <w:bookmarkStart w:id="906" w:name="xdx_981_eus-gaap--ShareBasedCompensation"/>
            <w:bookmarkEnd w:id="906"/>
          </w:p>
        </w:tc>
        <w:tc>
          <w:tcPr>
            <w:tcW w:w="1606" w:type="dxa"/>
            <w:tcBorders/>
            <w:shd w:fill="FFFFFF" w:val="clear"/>
            <w:vAlign w:val="center"/>
          </w:tcPr>
          <w:p>
            <w:pPr>
              <w:pStyle w:val="TableContents"/>
              <w:bidi w:val="0"/>
              <w:spacing w:before="0" w:after="283"/>
              <w:jc w:val="right"/>
              <w:rPr>
                <w:color w:val="000000"/>
              </w:rPr>
            </w:pPr>
            <w:r>
              <w:rPr>
                <w:color w:val="000000"/>
              </w:rPr>
              <w:t>274,500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2936" w:type="dxa"/>
            <w:tcBorders/>
            <w:shd w:fill="FFFFFF" w:val="clear"/>
            <w:vAlign w:val="center"/>
          </w:tcPr>
          <w:p>
            <w:pPr>
              <w:pStyle w:val="TableContents"/>
              <w:bidi w:val="0"/>
              <w:spacing w:before="0" w:after="283"/>
              <w:jc w:val="right"/>
              <w:rPr>
                <w:color w:val="000000"/>
              </w:rPr>
            </w:pPr>
            <w:bookmarkStart w:id="907" w:name="xdx_90A_eus-gaap--SharebasedCompensation"/>
            <w:bookmarkEnd w:id="907"/>
            <w:r>
              <w:rPr>
                <w:color w:val="000000"/>
              </w:rPr>
              <w:t>6.26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908" w:name="xdx_983_eus-gaap--SharebasedCompensation"/>
            <w:bookmarkEnd w:id="908"/>
          </w:p>
        </w:tc>
        <w:tc>
          <w:tcPr>
            <w:tcW w:w="645" w:type="dxa"/>
            <w:tcBorders/>
            <w:shd w:fill="FFFFFF" w:val="clear"/>
            <w:vAlign w:val="center"/>
          </w:tcPr>
          <w:p>
            <w:pPr>
              <w:pStyle w:val="TableContents"/>
              <w:bidi w:val="0"/>
              <w:spacing w:before="0" w:after="283"/>
              <w:jc w:val="right"/>
              <w:rPr>
                <w:color w:val="000000"/>
              </w:rPr>
            </w:pPr>
            <w:r>
              <w:rPr>
                <w:color w:val="000000"/>
              </w:rPr>
              <w:t>7.30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bookmarkStart w:id="909" w:name="xdx_983_eus-gaap--ShareBasedCompensation"/>
            <w:bookmarkEnd w:id="909"/>
          </w:p>
        </w:tc>
        <w:tc>
          <w:tcPr>
            <w:tcW w:w="1059" w:type="dxa"/>
            <w:tcBorders/>
            <w:shd w:fill="FFFFFF" w:val="clear"/>
            <w:vAlign w:val="center"/>
          </w:tcPr>
          <w:p>
            <w:pPr>
              <w:pStyle w:val="TableContents"/>
              <w:bidi w:val="0"/>
              <w:spacing w:before="0" w:after="283"/>
              <w:jc w:val="right"/>
              <w:rPr>
                <w:color w:val="000000"/>
              </w:rPr>
            </w:pPr>
            <w:r>
              <w:rPr>
                <w:color w:val="000000"/>
              </w:rPr>
              <w:t>274,500</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910" w:name="xdx_98D_eus-gaap--SharebasedCompensation"/>
            <w:bookmarkEnd w:id="910"/>
          </w:p>
        </w:tc>
        <w:tc>
          <w:tcPr>
            <w:tcW w:w="645" w:type="dxa"/>
            <w:tcBorders/>
            <w:shd w:fill="FFFFFF" w:val="clear"/>
            <w:vAlign w:val="center"/>
          </w:tcPr>
          <w:p>
            <w:pPr>
              <w:pStyle w:val="TableContents"/>
              <w:bidi w:val="0"/>
              <w:spacing w:before="0" w:after="283"/>
              <w:jc w:val="right"/>
              <w:rPr>
                <w:color w:val="000000"/>
              </w:rPr>
            </w:pPr>
            <w:r>
              <w:rPr>
                <w:color w:val="000000"/>
              </w:rPr>
              <w:t>7.30</w:t>
            </w:r>
          </w:p>
        </w:tc>
        <w:tc>
          <w:tcPr>
            <w:tcW w:w="82" w:type="dxa"/>
            <w:tcBorders/>
            <w:shd w:fill="FFFFFF" w:val="clear"/>
            <w:vAlign w:val="center"/>
          </w:tcPr>
          <w:p>
            <w:pPr>
              <w:pStyle w:val="TableContents"/>
              <w:bidi w:val="0"/>
              <w:spacing w:before="0" w:after="283"/>
              <w:jc w:val="left"/>
              <w:rPr>
                <w:color w:val="000000"/>
              </w:rPr>
            </w:pPr>
            <w:r>
              <w:rPr>
                <w:color w:val="000000"/>
              </w:rPr>
              <w:t> </w:t>
            </w:r>
          </w:p>
        </w:tc>
      </w:tr>
      <w:tr>
        <w:trPr/>
        <w:tc>
          <w:tcPr>
            <w:tcW w:w="1655" w:type="dxa"/>
            <w:tcBorders/>
            <w:shd w:fill="CCEEFF" w:val="clear"/>
            <w:vAlign w:val="center"/>
          </w:tcPr>
          <w:p>
            <w:pPr>
              <w:pStyle w:val="TableContents"/>
              <w:bidi w:val="0"/>
              <w:spacing w:before="0" w:after="283"/>
              <w:jc w:val="center"/>
              <w:rPr>
                <w:color w:val="000000"/>
              </w:rPr>
            </w:pPr>
            <w:r>
              <w:rPr>
                <w:color w:val="000000"/>
              </w:rPr>
              <w:t>$</w:t>
            </w:r>
            <w:bookmarkStart w:id="911" w:name="xdx_902_eus-gaap--ShareBasedCompensation"/>
            <w:bookmarkEnd w:id="911"/>
            <w:r>
              <w:rPr>
                <w:color w:val="000000"/>
              </w:rPr>
              <w:t>7.37 - $</w:t>
            </w:r>
            <w:bookmarkStart w:id="912" w:name="xdx_902_eus-gaap--ShareBasedCompensation"/>
            <w:bookmarkEnd w:id="912"/>
            <w:r>
              <w:rPr>
                <w:color w:val="000000"/>
              </w:rPr>
              <w:t>7.79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color w:val="000000"/>
              </w:rPr>
            </w:pPr>
            <w:r>
              <w:rPr>
                <w:color w:val="000000"/>
              </w:rPr>
              <w:t> </w:t>
            </w:r>
            <w:bookmarkStart w:id="913" w:name="xdx_981_eus-gaap--ShareBasedCompensation"/>
            <w:bookmarkEnd w:id="913"/>
          </w:p>
        </w:tc>
        <w:tc>
          <w:tcPr>
            <w:tcW w:w="1606" w:type="dxa"/>
            <w:tcBorders/>
            <w:shd w:fill="CCEEFF" w:val="clear"/>
            <w:vAlign w:val="center"/>
          </w:tcPr>
          <w:p>
            <w:pPr>
              <w:pStyle w:val="TableContents"/>
              <w:bidi w:val="0"/>
              <w:spacing w:before="0" w:after="283"/>
              <w:jc w:val="right"/>
              <w:rPr>
                <w:color w:val="000000"/>
              </w:rPr>
            </w:pPr>
            <w:r>
              <w:rPr>
                <w:color w:val="000000"/>
              </w:rPr>
              <w:t>238,712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2936" w:type="dxa"/>
            <w:tcBorders/>
            <w:shd w:fill="CCEEFF" w:val="clear"/>
            <w:vAlign w:val="center"/>
          </w:tcPr>
          <w:p>
            <w:pPr>
              <w:pStyle w:val="TableContents"/>
              <w:bidi w:val="0"/>
              <w:spacing w:before="0" w:after="283"/>
              <w:jc w:val="right"/>
              <w:rPr>
                <w:color w:val="000000"/>
              </w:rPr>
            </w:pPr>
            <w:bookmarkStart w:id="914" w:name="xdx_900_eus-gaap--SharebasedCompensation"/>
            <w:bookmarkEnd w:id="914"/>
            <w:r>
              <w:rPr>
                <w:color w:val="000000"/>
              </w:rPr>
              <w:t>4.43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915" w:name="xdx_987_eus-gaap--SharebasedCompensation"/>
            <w:bookmarkEnd w:id="915"/>
          </w:p>
        </w:tc>
        <w:tc>
          <w:tcPr>
            <w:tcW w:w="645" w:type="dxa"/>
            <w:tcBorders/>
            <w:shd w:fill="CCEEFF" w:val="clear"/>
            <w:vAlign w:val="center"/>
          </w:tcPr>
          <w:p>
            <w:pPr>
              <w:pStyle w:val="TableContents"/>
              <w:bidi w:val="0"/>
              <w:spacing w:before="0" w:after="283"/>
              <w:jc w:val="right"/>
              <w:rPr>
                <w:color w:val="000000"/>
              </w:rPr>
            </w:pPr>
            <w:r>
              <w:rPr>
                <w:color w:val="000000"/>
              </w:rPr>
              <w:t>7.53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bookmarkStart w:id="916" w:name="xdx_984_eus-gaap--ShareBasedCompensation"/>
            <w:bookmarkEnd w:id="916"/>
          </w:p>
        </w:tc>
        <w:tc>
          <w:tcPr>
            <w:tcW w:w="1059" w:type="dxa"/>
            <w:tcBorders/>
            <w:shd w:fill="CCEEFF" w:val="clear"/>
            <w:vAlign w:val="center"/>
          </w:tcPr>
          <w:p>
            <w:pPr>
              <w:pStyle w:val="TableContents"/>
              <w:bidi w:val="0"/>
              <w:spacing w:before="0" w:after="283"/>
              <w:jc w:val="right"/>
              <w:rPr>
                <w:color w:val="000000"/>
              </w:rPr>
            </w:pPr>
            <w:r>
              <w:rPr>
                <w:color w:val="000000"/>
              </w:rPr>
              <w:t>170,155</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917" w:name="xdx_983_eus-gaap--SharebasedCompensation"/>
            <w:bookmarkEnd w:id="917"/>
          </w:p>
        </w:tc>
        <w:tc>
          <w:tcPr>
            <w:tcW w:w="645" w:type="dxa"/>
            <w:tcBorders/>
            <w:shd w:fill="CCEEFF" w:val="clear"/>
            <w:vAlign w:val="center"/>
          </w:tcPr>
          <w:p>
            <w:pPr>
              <w:pStyle w:val="TableContents"/>
              <w:bidi w:val="0"/>
              <w:spacing w:before="0" w:after="283"/>
              <w:jc w:val="right"/>
              <w:rPr>
                <w:color w:val="000000"/>
              </w:rPr>
            </w:pPr>
            <w:r>
              <w:rPr>
                <w:color w:val="000000"/>
              </w:rPr>
              <w:t>7.50</w:t>
            </w:r>
          </w:p>
        </w:tc>
        <w:tc>
          <w:tcPr>
            <w:tcW w:w="82" w:type="dxa"/>
            <w:tcBorders/>
            <w:shd w:fill="CCEEFF" w:val="clear"/>
            <w:vAlign w:val="center"/>
          </w:tcPr>
          <w:p>
            <w:pPr>
              <w:pStyle w:val="TableContents"/>
              <w:bidi w:val="0"/>
              <w:spacing w:before="0" w:after="283"/>
              <w:jc w:val="left"/>
              <w:rPr>
                <w:color w:val="000000"/>
              </w:rPr>
            </w:pPr>
            <w:r>
              <w:rPr>
                <w:color w:val="000000"/>
              </w:rPr>
              <w:t> </w:t>
            </w:r>
          </w:p>
        </w:tc>
      </w:tr>
      <w:tr>
        <w:trPr/>
        <w:tc>
          <w:tcPr>
            <w:tcW w:w="1655" w:type="dxa"/>
            <w:tcBorders/>
            <w:shd w:fill="FFFFFF" w:val="clear"/>
            <w:vAlign w:val="center"/>
          </w:tcPr>
          <w:p>
            <w:pPr>
              <w:pStyle w:val="TableContents"/>
              <w:bidi w:val="0"/>
              <w:spacing w:before="0" w:after="283"/>
              <w:jc w:val="center"/>
              <w:rPr>
                <w:color w:val="000000"/>
              </w:rPr>
            </w:pPr>
            <w:r>
              <w:rPr>
                <w:color w:val="000000"/>
              </w:rPr>
              <w:t>$</w:t>
            </w:r>
            <w:bookmarkStart w:id="918" w:name="xdx_900_eus-gaap--ShareBasedCompensation"/>
            <w:bookmarkEnd w:id="918"/>
            <w:r>
              <w:rPr>
                <w:color w:val="000000"/>
              </w:rPr>
              <w:t>7.87 - $</w:t>
            </w:r>
            <w:bookmarkStart w:id="919" w:name="xdx_905_eus-gaap--ShareBasedCompensation"/>
            <w:bookmarkEnd w:id="919"/>
            <w:r>
              <w:rPr>
                <w:color w:val="000000"/>
              </w:rPr>
              <w:t>25.86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920" w:name="xdx_98E_eus-gaap--ShareBasedCompensation"/>
            <w:bookmarkEnd w:id="920"/>
          </w:p>
        </w:tc>
        <w:tc>
          <w:tcPr>
            <w:tcW w:w="1606"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773,673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2936" w:type="dxa"/>
            <w:tcBorders/>
            <w:shd w:fill="FFFFFF" w:val="clear"/>
            <w:vAlign w:val="center"/>
          </w:tcPr>
          <w:p>
            <w:pPr>
              <w:pStyle w:val="TableContents"/>
              <w:bidi w:val="0"/>
              <w:spacing w:before="0" w:after="283"/>
              <w:jc w:val="right"/>
              <w:rPr>
                <w:color w:val="000000"/>
              </w:rPr>
            </w:pPr>
            <w:bookmarkStart w:id="921" w:name="xdx_90F_eus-gaap--SharebasedCompensation"/>
            <w:bookmarkEnd w:id="921"/>
            <w:r>
              <w:rPr>
                <w:color w:val="000000"/>
              </w:rPr>
              <w:t>3.28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922" w:name="xdx_98B_eus-gaap--SharebasedCompensation"/>
            <w:bookmarkEnd w:id="922"/>
          </w:p>
        </w:tc>
        <w:tc>
          <w:tcPr>
            <w:tcW w:w="645" w:type="dxa"/>
            <w:tcBorders/>
            <w:shd w:fill="FFFFFF" w:val="clear"/>
            <w:vAlign w:val="center"/>
          </w:tcPr>
          <w:p>
            <w:pPr>
              <w:pStyle w:val="TableContents"/>
              <w:bidi w:val="0"/>
              <w:spacing w:before="0" w:after="283"/>
              <w:jc w:val="right"/>
              <w:rPr>
                <w:color w:val="000000"/>
              </w:rPr>
            </w:pPr>
            <w:r>
              <w:rPr>
                <w:color w:val="000000"/>
              </w:rPr>
              <w:t>9.43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923" w:name="xdx_987_eus-gaap--ShareBasedCompensation"/>
            <w:bookmarkEnd w:id="923"/>
          </w:p>
        </w:tc>
        <w:tc>
          <w:tcPr>
            <w:tcW w:w="105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643,176</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64" w:type="dxa"/>
            <w:tcBorders/>
            <w:shd w:fill="FFFFFF" w:val="clear"/>
            <w:vAlign w:val="center"/>
          </w:tcPr>
          <w:p>
            <w:pPr>
              <w:pStyle w:val="TableContents"/>
              <w:bidi w:val="0"/>
              <w:spacing w:before="0" w:after="283"/>
              <w:jc w:val="left"/>
              <w:rPr>
                <w:color w:val="000000"/>
              </w:rPr>
            </w:pPr>
            <w:r>
              <w:rPr>
                <w:color w:val="000000"/>
              </w:rPr>
              <w:t> </w:t>
            </w:r>
          </w:p>
        </w:tc>
        <w:tc>
          <w:tcPr>
            <w:tcW w:w="204" w:type="dxa"/>
            <w:tcBorders/>
            <w:shd w:fill="FFFFFF" w:val="clear"/>
            <w:vAlign w:val="center"/>
          </w:tcPr>
          <w:p>
            <w:pPr>
              <w:pStyle w:val="TableContents"/>
              <w:bidi w:val="0"/>
              <w:spacing w:before="0" w:after="283"/>
              <w:jc w:val="left"/>
              <w:rPr>
                <w:color w:val="000000"/>
              </w:rPr>
            </w:pPr>
            <w:r>
              <w:rPr>
                <w:color w:val="000000"/>
              </w:rPr>
              <w:t>$</w:t>
            </w:r>
            <w:bookmarkStart w:id="924" w:name="xdx_98D_eus-gaap--SharebasedCompensation"/>
            <w:bookmarkEnd w:id="924"/>
          </w:p>
        </w:tc>
        <w:tc>
          <w:tcPr>
            <w:tcW w:w="645" w:type="dxa"/>
            <w:tcBorders/>
            <w:shd w:fill="FFFFFF" w:val="clear"/>
            <w:vAlign w:val="center"/>
          </w:tcPr>
          <w:p>
            <w:pPr>
              <w:pStyle w:val="TableContents"/>
              <w:bidi w:val="0"/>
              <w:spacing w:before="0" w:after="283"/>
              <w:jc w:val="right"/>
              <w:rPr>
                <w:color w:val="000000"/>
              </w:rPr>
            </w:pPr>
            <w:r>
              <w:rPr>
                <w:color w:val="000000"/>
              </w:rPr>
              <w:t>7.89</w:t>
            </w:r>
          </w:p>
        </w:tc>
        <w:tc>
          <w:tcPr>
            <w:tcW w:w="82" w:type="dxa"/>
            <w:tcBorders/>
            <w:shd w:fill="FFFFFF" w:val="clear"/>
            <w:vAlign w:val="center"/>
          </w:tcPr>
          <w:p>
            <w:pPr>
              <w:pStyle w:val="TableContents"/>
              <w:bidi w:val="0"/>
              <w:spacing w:before="0" w:after="283"/>
              <w:jc w:val="left"/>
              <w:rPr>
                <w:color w:val="000000"/>
              </w:rPr>
            </w:pPr>
            <w:r>
              <w:rPr>
                <w:color w:val="000000"/>
              </w:rPr>
              <w:t> </w:t>
            </w:r>
          </w:p>
        </w:tc>
      </w:tr>
      <w:tr>
        <w:trPr/>
        <w:tc>
          <w:tcPr>
            <w:tcW w:w="1655" w:type="dxa"/>
            <w:tcBorders/>
            <w:shd w:fill="CCEEFF" w:val="clear"/>
            <w:vAlign w:val="center"/>
          </w:tcPr>
          <w:p>
            <w:pPr>
              <w:pStyle w:val="TableContents"/>
              <w:bidi w:val="0"/>
              <w:spacing w:before="0" w:after="283"/>
              <w:jc w:val="center"/>
              <w:rPr>
                <w:color w:val="000000"/>
              </w:rPr>
            </w:pPr>
            <w:r>
              <w:rPr>
                <w:color w:val="000000"/>
              </w:rPr>
              <w:t>$</w:t>
            </w:r>
            <w:bookmarkStart w:id="925" w:name="xdx_90A_eus-gaap--ShareBasedCompensation"/>
            <w:bookmarkEnd w:id="925"/>
            <w:r>
              <w:rPr>
                <w:color w:val="000000"/>
              </w:rPr>
              <w:t>1.47 - $</w:t>
            </w:r>
            <w:bookmarkStart w:id="926" w:name="xdx_905_eus-gaap--ShareBasedCompensation"/>
            <w:bookmarkEnd w:id="926"/>
            <w:r>
              <w:rPr>
                <w:color w:val="000000"/>
              </w:rPr>
              <w:t>25.86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927" w:name="xdx_985_eus-gaap--ShareBasedCompensation"/>
            <w:bookmarkEnd w:id="927"/>
          </w:p>
        </w:tc>
        <w:tc>
          <w:tcPr>
            <w:tcW w:w="1606"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2,715,092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2936" w:type="dxa"/>
            <w:tcBorders/>
            <w:shd w:fill="CCEEFF" w:val="clear"/>
            <w:vAlign w:val="center"/>
          </w:tcPr>
          <w:p>
            <w:pPr>
              <w:pStyle w:val="TableContents"/>
              <w:bidi w:val="0"/>
              <w:spacing w:before="0" w:after="283"/>
              <w:jc w:val="right"/>
              <w:rPr>
                <w:color w:val="000000"/>
              </w:rPr>
            </w:pPr>
            <w:bookmarkStart w:id="928" w:name="xdx_909_eus-gaap--SharebasedCompensation"/>
            <w:bookmarkEnd w:id="928"/>
            <w:r>
              <w:rPr>
                <w:color w:val="000000"/>
              </w:rPr>
              <w:t>4.18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929" w:name="xdx_984_eus-gaap--SharebasedCompensation"/>
            <w:bookmarkEnd w:id="929"/>
          </w:p>
        </w:tc>
        <w:tc>
          <w:tcPr>
            <w:tcW w:w="645" w:type="dxa"/>
            <w:tcBorders/>
            <w:shd w:fill="CCEEFF" w:val="clear"/>
            <w:vAlign w:val="center"/>
          </w:tcPr>
          <w:p>
            <w:pPr>
              <w:pStyle w:val="TableContents"/>
              <w:bidi w:val="0"/>
              <w:spacing w:before="0" w:after="283"/>
              <w:jc w:val="right"/>
              <w:rPr>
                <w:color w:val="000000"/>
              </w:rPr>
            </w:pPr>
            <w:r>
              <w:rPr>
                <w:color w:val="000000"/>
              </w:rPr>
              <w:t>6.15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930" w:name="xdx_983_eus-gaap--ShareBasedCompensation"/>
            <w:bookmarkEnd w:id="930"/>
          </w:p>
        </w:tc>
        <w:tc>
          <w:tcPr>
            <w:tcW w:w="105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2,436,946</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64" w:type="dxa"/>
            <w:tcBorders/>
            <w:shd w:fill="CCEEFF" w:val="clear"/>
            <w:vAlign w:val="center"/>
          </w:tcPr>
          <w:p>
            <w:pPr>
              <w:pStyle w:val="TableContents"/>
              <w:bidi w:val="0"/>
              <w:spacing w:before="0" w:after="283"/>
              <w:jc w:val="left"/>
              <w:rPr>
                <w:color w:val="000000"/>
              </w:rPr>
            </w:pPr>
            <w:r>
              <w:rPr>
                <w:color w:val="000000"/>
              </w:rPr>
              <w:t> </w:t>
            </w:r>
          </w:p>
        </w:tc>
        <w:tc>
          <w:tcPr>
            <w:tcW w:w="204" w:type="dxa"/>
            <w:tcBorders/>
            <w:shd w:fill="CCEEFF" w:val="clear"/>
            <w:vAlign w:val="center"/>
          </w:tcPr>
          <w:p>
            <w:pPr>
              <w:pStyle w:val="TableContents"/>
              <w:bidi w:val="0"/>
              <w:spacing w:before="0" w:after="283"/>
              <w:jc w:val="left"/>
              <w:rPr>
                <w:color w:val="000000"/>
              </w:rPr>
            </w:pPr>
            <w:r>
              <w:rPr>
                <w:color w:val="000000"/>
              </w:rPr>
              <w:t>$</w:t>
            </w:r>
            <w:bookmarkStart w:id="931" w:name="xdx_988_eus-gaap--SharebasedCompensation"/>
            <w:bookmarkEnd w:id="931"/>
          </w:p>
        </w:tc>
        <w:tc>
          <w:tcPr>
            <w:tcW w:w="645" w:type="dxa"/>
            <w:tcBorders/>
            <w:shd w:fill="CCEEFF" w:val="clear"/>
            <w:vAlign w:val="center"/>
          </w:tcPr>
          <w:p>
            <w:pPr>
              <w:pStyle w:val="TableContents"/>
              <w:bidi w:val="0"/>
              <w:spacing w:before="0" w:after="283"/>
              <w:jc w:val="right"/>
              <w:rPr>
                <w:color w:val="000000"/>
              </w:rPr>
            </w:pPr>
            <w:r>
              <w:rPr>
                <w:color w:val="000000"/>
              </w:rPr>
              <w:t>5.51</w:t>
            </w:r>
          </w:p>
        </w:tc>
        <w:tc>
          <w:tcPr>
            <w:tcW w:w="82"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bookmarkStart w:id="932" w:name="xdx_8AD_z6ndkZJzJnlh"/>
      <w:bookmarkEnd w:id="932"/>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September 30, 2023, there was approximately $</w:t>
      </w:r>
      <w:bookmarkStart w:id="933" w:name="xdx_903_eus-gaap--EmployeeServiceShareBa"/>
      <w:bookmarkEnd w:id="933"/>
      <w:r>
        <w:rPr>
          <w:rFonts w:ascii="Times New Roman;Times;Serif" w:hAnsi="Times New Roman;Times;Serif"/>
          <w:b w:val="false"/>
          <w:i w:val="false"/>
          <w:caps w:val="false"/>
          <w:smallCaps w:val="false"/>
          <w:color w:val="000000"/>
          <w:sz w:val="20"/>
        </w:rPr>
        <w:t xml:space="preserve">1,781,000 of total unrecognized compensation expense related to unvested stock options granted under the Plans. That expense is expected to be recognized over the weighted-average remaining vesting period of </w:t>
      </w:r>
      <w:bookmarkStart w:id="934" w:name="xdx_906_eus-gaap--EmployeeServiceShareBa"/>
      <w:bookmarkEnd w:id="934"/>
      <w:r>
        <w:rPr>
          <w:rFonts w:ascii="Times New Roman;Times;Serif" w:hAnsi="Times New Roman;Times;Serif"/>
          <w:b w:val="false"/>
          <w:i w:val="false"/>
          <w:caps w:val="false"/>
          <w:smallCaps w:val="false"/>
          <w:color w:val="000000"/>
          <w:sz w:val="20"/>
        </w:rPr>
        <w:t>2.82 years. The stock-based compensation for all stock options was $</w:t>
      </w:r>
      <w:bookmarkStart w:id="935" w:name="xdx_90A_eus-gaap--ShareBasedCompensation"/>
      <w:bookmarkEnd w:id="935"/>
      <w:r>
        <w:rPr>
          <w:rFonts w:ascii="Times New Roman;Times;Serif" w:hAnsi="Times New Roman;Times;Serif"/>
          <w:b w:val="false"/>
          <w:i w:val="false"/>
          <w:caps w:val="false"/>
          <w:smallCaps w:val="false"/>
          <w:color w:val="000000"/>
          <w:sz w:val="20"/>
        </w:rPr>
        <w:t>154,000 and $</w:t>
      </w:r>
      <w:bookmarkStart w:id="936" w:name="xdx_909_eus-gaap--ShareBasedCompensation"/>
      <w:bookmarkEnd w:id="936"/>
      <w:r>
        <w:rPr>
          <w:rFonts w:ascii="Times New Roman;Times;Serif" w:hAnsi="Times New Roman;Times;Serif"/>
          <w:b w:val="false"/>
          <w:i w:val="false"/>
          <w:caps w:val="false"/>
          <w:smallCaps w:val="false"/>
          <w:color w:val="000000"/>
          <w:sz w:val="20"/>
        </w:rPr>
        <w:t>617,000 during the three and nine months ended September 30, 2023, respectively, and $</w:t>
      </w:r>
      <w:bookmarkStart w:id="937" w:name="xdx_90A_eus-gaap--ShareBasedCompensation"/>
      <w:bookmarkEnd w:id="937"/>
      <w:r>
        <w:rPr>
          <w:rFonts w:ascii="Times New Roman;Times;Serif" w:hAnsi="Times New Roman;Times;Serif"/>
          <w:b w:val="false"/>
          <w:i w:val="false"/>
          <w:caps w:val="false"/>
          <w:smallCaps w:val="false"/>
          <w:color w:val="000000"/>
          <w:sz w:val="20"/>
        </w:rPr>
        <w:t>241,000 and $</w:t>
      </w:r>
      <w:bookmarkStart w:id="938" w:name="xdx_909_eus-gaap--ShareBasedCompensation"/>
      <w:bookmarkEnd w:id="938"/>
      <w:r>
        <w:rPr>
          <w:rFonts w:ascii="Times New Roman;Times;Serif" w:hAnsi="Times New Roman;Times;Serif"/>
          <w:b w:val="false"/>
          <w:i w:val="false"/>
          <w:caps w:val="false"/>
          <w:smallCaps w:val="false"/>
          <w:color w:val="000000"/>
          <w:sz w:val="20"/>
        </w:rPr>
        <w:t>771,000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intrinsic value of options exercised during the nine months ended September 30, 2023 was $</w:t>
      </w:r>
      <w:bookmarkStart w:id="939" w:name="xdx_909_eus-gaap--ShareBasedCompensation"/>
      <w:bookmarkEnd w:id="939"/>
      <w:r>
        <w:rPr>
          <w:rFonts w:ascii="Times New Roman;Times;Serif" w:hAnsi="Times New Roman;Times;Serif"/>
          <w:b w:val="false"/>
          <w:i w:val="false"/>
          <w:caps w:val="false"/>
          <w:smallCaps w:val="false"/>
          <w:color w:val="000000"/>
          <w:sz w:val="20"/>
        </w:rPr>
        <w:t>4,399,000.</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Restricted Stock Units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RSU awards are granted subject to certain vesting requirements and other restrictions, including time-based performance and market-based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nine months ended September 30, 2023, the Company’s board of directors were granted an aggregate </w:t>
      </w:r>
      <w:bookmarkStart w:id="940" w:name="xdx_907_eus-gaap--ShareBasedCompensation"/>
      <w:bookmarkEnd w:id="940"/>
      <w:r>
        <w:rPr>
          <w:rFonts w:ascii="Times New Roman;Times;Serif" w:hAnsi="Times New Roman;Times;Serif"/>
          <w:b w:val="false"/>
          <w:i w:val="false"/>
          <w:caps w:val="false"/>
          <w:smallCaps w:val="false"/>
          <w:color w:val="000000"/>
          <w:sz w:val="20"/>
        </w:rPr>
        <w:t>41,301 time-based vesting RSUs with a fair market value of $</w:t>
      </w:r>
      <w:bookmarkStart w:id="941" w:name="xdx_90C_eus-gaap--ShareBasedCompensation"/>
      <w:bookmarkEnd w:id="941"/>
      <w:r>
        <w:rPr>
          <w:rFonts w:ascii="Times New Roman;Times;Serif" w:hAnsi="Times New Roman;Times;Serif"/>
          <w:b w:val="false"/>
          <w:i w:val="false"/>
          <w:caps w:val="false"/>
          <w:smallCaps w:val="false"/>
          <w:color w:val="000000"/>
          <w:sz w:val="20"/>
        </w:rPr>
        <w:t>800,000, which vest in equal quarterly installments over one year.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942" w:name="xdx_895_eus-gaap--ScheduleOfShareBasedCo"/>
      <w:bookmarkEnd w:id="942"/>
      <w:r>
        <w:rPr>
          <w:rFonts w:ascii="Times New Roman;Times;Serif" w:hAnsi="Times New Roman;Times;Serif"/>
          <w:b w:val="false"/>
          <w:i w:val="false"/>
          <w:caps w:val="false"/>
          <w:smallCaps w:val="false"/>
          <w:color w:val="000000"/>
          <w:sz w:val="20"/>
        </w:rPr>
        <w:t>A summary of the Company’s RSU activity and related information for the nine months ended September 30, 2023 is as follows: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943" w:name="xdx_8B3_z6FztgDryZQ3"/>
      <w:bookmarkEnd w:id="943"/>
      <w:r>
        <w:rPr>
          <w:rFonts w:ascii="Times New Roman;Times;Serif" w:hAnsi="Times New Roman;Times;Serif"/>
          <w:b w:val="false"/>
          <w:i w:val="false"/>
          <w:caps w:val="false"/>
          <w:smallCaps w:val="false"/>
          <w:color w:val="000000"/>
          <w:sz w:val="20"/>
        </w:rPr>
        <w:t>SCHEDULE OF RESTRICTED STOCK UNITS ACTIVITY</w:t>
      </w:r>
    </w:p>
    <w:tbl>
      <w:tblPr>
        <w:tblW w:w="10054" w:type="dxa"/>
        <w:jc w:val="left"/>
        <w:tblInd w:w="0" w:type="dxa"/>
        <w:tblLayout w:type="fixed"/>
        <w:tblCellMar>
          <w:top w:w="0" w:type="dxa"/>
          <w:left w:w="0" w:type="dxa"/>
          <w:bottom w:w="0" w:type="dxa"/>
          <w:right w:w="0" w:type="dxa"/>
        </w:tblCellMar>
      </w:tblPr>
      <w:tblGrid>
        <w:gridCol w:w="3605"/>
        <w:gridCol w:w="60"/>
        <w:gridCol w:w="120"/>
        <w:gridCol w:w="1759"/>
        <w:gridCol w:w="95"/>
        <w:gridCol w:w="60"/>
        <w:gridCol w:w="856"/>
        <w:gridCol w:w="3424"/>
        <w:gridCol w:w="75"/>
      </w:tblGrid>
      <w:tr>
        <w:trPr/>
        <w:tc>
          <w:tcPr>
            <w:tcW w:w="360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Number of Shares</w:t>
            </w:r>
          </w:p>
        </w:tc>
        <w:tc>
          <w:tcPr>
            <w:tcW w:w="95"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428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Weighted Average Grant Date Fair Value</w:t>
            </w:r>
          </w:p>
        </w:tc>
        <w:tc>
          <w:tcPr>
            <w:tcW w:w="75" w:type="dxa"/>
            <w:tcBorders/>
            <w:vAlign w:val="center"/>
          </w:tcPr>
          <w:p>
            <w:pPr>
              <w:pStyle w:val="TableContents"/>
              <w:bidi w:val="0"/>
              <w:spacing w:before="0" w:after="283"/>
              <w:jc w:val="center"/>
              <w:rPr>
                <w:color w:val="000000"/>
              </w:rPr>
            </w:pPr>
            <w:r>
              <w:rPr>
                <w:color w:val="000000"/>
              </w:rPr>
              <w:t> </w:t>
            </w:r>
          </w:p>
        </w:tc>
      </w:tr>
      <w:tr>
        <w:trPr/>
        <w:tc>
          <w:tcPr>
            <w:tcW w:w="3605" w:type="dxa"/>
            <w:tcBorders/>
            <w:shd w:fill="CCEEFF" w:val="clear"/>
            <w:vAlign w:val="center"/>
          </w:tcPr>
          <w:p>
            <w:pPr>
              <w:pStyle w:val="TableContents"/>
              <w:bidi w:val="0"/>
              <w:spacing w:before="0" w:after="283"/>
              <w:jc w:val="left"/>
              <w:rPr>
                <w:color w:val="000000"/>
              </w:rPr>
            </w:pPr>
            <w:r>
              <w:rPr>
                <w:color w:val="000000"/>
              </w:rPr>
              <w:t>RSUs unvested -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20" w:type="dxa"/>
            <w:tcBorders/>
            <w:shd w:fill="CCEEFF" w:val="clear"/>
            <w:vAlign w:val="center"/>
          </w:tcPr>
          <w:p>
            <w:pPr>
              <w:pStyle w:val="TableContents"/>
              <w:bidi w:val="0"/>
              <w:spacing w:before="0" w:after="283"/>
              <w:jc w:val="left"/>
              <w:rPr>
                <w:color w:val="000000"/>
              </w:rPr>
            </w:pPr>
            <w:r>
              <w:rPr>
                <w:color w:val="000000"/>
              </w:rPr>
              <w:t> </w:t>
            </w:r>
            <w:bookmarkStart w:id="944" w:name="xdx_982_eus-gaap--ShareBasedCompensation"/>
            <w:bookmarkEnd w:id="944"/>
          </w:p>
        </w:tc>
        <w:tc>
          <w:tcPr>
            <w:tcW w:w="1759" w:type="dxa"/>
            <w:tcBorders/>
            <w:shd w:fill="CCEEFF" w:val="clear"/>
            <w:vAlign w:val="center"/>
          </w:tcPr>
          <w:p>
            <w:pPr>
              <w:pStyle w:val="TableContents"/>
              <w:bidi w:val="0"/>
              <w:spacing w:before="0" w:after="283"/>
              <w:jc w:val="right"/>
              <w:rPr>
                <w:color w:val="000000"/>
              </w:rPr>
            </w:pPr>
            <w:r>
              <w:rPr>
                <w:color w:val="000000"/>
              </w:rPr>
              <w:t>493,806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56" w:type="dxa"/>
            <w:tcBorders/>
            <w:shd w:fill="CCEEFF" w:val="clear"/>
            <w:vAlign w:val="center"/>
          </w:tcPr>
          <w:p>
            <w:pPr>
              <w:pStyle w:val="TableContents"/>
              <w:bidi w:val="0"/>
              <w:spacing w:before="0" w:after="283"/>
              <w:jc w:val="left"/>
              <w:rPr>
                <w:color w:val="000000"/>
              </w:rPr>
            </w:pPr>
            <w:r>
              <w:rPr>
                <w:color w:val="000000"/>
              </w:rPr>
              <w:t>$</w:t>
            </w:r>
            <w:bookmarkStart w:id="945" w:name="xdx_984_eus-gaap--ShareBasedCompensation"/>
            <w:bookmarkEnd w:id="945"/>
          </w:p>
        </w:tc>
        <w:tc>
          <w:tcPr>
            <w:tcW w:w="3424" w:type="dxa"/>
            <w:tcBorders/>
            <w:shd w:fill="CCEEFF" w:val="clear"/>
            <w:vAlign w:val="center"/>
          </w:tcPr>
          <w:p>
            <w:pPr>
              <w:pStyle w:val="TableContents"/>
              <w:bidi w:val="0"/>
              <w:spacing w:before="0" w:after="283"/>
              <w:jc w:val="right"/>
              <w:rPr>
                <w:color w:val="000000"/>
              </w:rPr>
            </w:pPr>
            <w:r>
              <w:rPr>
                <w:color w:val="000000"/>
              </w:rPr>
              <w:t>7.99</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605" w:type="dxa"/>
            <w:tcBorders/>
            <w:shd w:fill="FFFFFF" w:val="clear"/>
            <w:vAlign w:val="center"/>
          </w:tcPr>
          <w:p>
            <w:pPr>
              <w:pStyle w:val="TableContents"/>
              <w:bidi w:val="0"/>
              <w:spacing w:before="0" w:after="283"/>
              <w:jc w:val="left"/>
              <w:rPr>
                <w:color w:val="000000"/>
              </w:rPr>
            </w:pPr>
            <w:r>
              <w:rPr>
                <w:color w:val="000000"/>
              </w:rPr>
              <w:t>RSUs 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20" w:type="dxa"/>
            <w:tcBorders/>
            <w:shd w:fill="FFFFFF" w:val="clear"/>
            <w:vAlign w:val="center"/>
          </w:tcPr>
          <w:p>
            <w:pPr>
              <w:pStyle w:val="TableContents"/>
              <w:bidi w:val="0"/>
              <w:spacing w:before="0" w:after="283"/>
              <w:jc w:val="left"/>
              <w:rPr>
                <w:color w:val="000000"/>
              </w:rPr>
            </w:pPr>
            <w:r>
              <w:rPr>
                <w:color w:val="000000"/>
              </w:rPr>
              <w:t> </w:t>
            </w:r>
            <w:bookmarkStart w:id="946" w:name="xdx_98A_eus-gaap--ShareBasedCompensation"/>
            <w:bookmarkEnd w:id="946"/>
          </w:p>
        </w:tc>
        <w:tc>
          <w:tcPr>
            <w:tcW w:w="1759" w:type="dxa"/>
            <w:tcBorders/>
            <w:shd w:fill="FFFFFF" w:val="clear"/>
            <w:vAlign w:val="center"/>
          </w:tcPr>
          <w:p>
            <w:pPr>
              <w:pStyle w:val="TableContents"/>
              <w:bidi w:val="0"/>
              <w:spacing w:before="0" w:after="283"/>
              <w:jc w:val="right"/>
              <w:rPr>
                <w:color w:val="000000"/>
              </w:rPr>
            </w:pPr>
            <w:r>
              <w:rPr>
                <w:color w:val="000000"/>
              </w:rPr>
              <w:t>54,424</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56" w:type="dxa"/>
            <w:tcBorders/>
            <w:shd w:fill="FFFFFF" w:val="clear"/>
            <w:vAlign w:val="center"/>
          </w:tcPr>
          <w:p>
            <w:pPr>
              <w:pStyle w:val="TableContents"/>
              <w:bidi w:val="0"/>
              <w:spacing w:before="0" w:after="283"/>
              <w:jc w:val="left"/>
              <w:rPr>
                <w:color w:val="000000"/>
              </w:rPr>
            </w:pPr>
            <w:r>
              <w:rPr>
                <w:color w:val="000000"/>
              </w:rPr>
              <w:t>$</w:t>
            </w:r>
            <w:bookmarkStart w:id="947" w:name="xdx_989_eus-gaap--ShareBasedCompensation"/>
            <w:bookmarkEnd w:id="947"/>
          </w:p>
        </w:tc>
        <w:tc>
          <w:tcPr>
            <w:tcW w:w="3424" w:type="dxa"/>
            <w:tcBorders/>
            <w:shd w:fill="FFFFFF" w:val="clear"/>
            <w:vAlign w:val="center"/>
          </w:tcPr>
          <w:p>
            <w:pPr>
              <w:pStyle w:val="TableContents"/>
              <w:bidi w:val="0"/>
              <w:spacing w:before="0" w:after="283"/>
              <w:jc w:val="right"/>
              <w:rPr>
                <w:color w:val="000000"/>
              </w:rPr>
            </w:pPr>
            <w:r>
              <w:rPr>
                <w:color w:val="000000"/>
              </w:rPr>
              <w:t>16.54</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605" w:type="dxa"/>
            <w:tcBorders/>
            <w:shd w:fill="CCEEFF" w:val="clear"/>
            <w:vAlign w:val="center"/>
          </w:tcPr>
          <w:p>
            <w:pPr>
              <w:pStyle w:val="TableContents"/>
              <w:bidi w:val="0"/>
              <w:spacing w:before="0" w:after="283"/>
              <w:jc w:val="left"/>
              <w:rPr>
                <w:color w:val="000000"/>
              </w:rPr>
            </w:pPr>
            <w:r>
              <w:rPr>
                <w:color w:val="000000"/>
              </w:rPr>
              <w:t>RSUs vested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20" w:type="dxa"/>
            <w:tcBorders/>
            <w:shd w:fill="CCEEFF" w:val="clear"/>
            <w:vAlign w:val="center"/>
          </w:tcPr>
          <w:p>
            <w:pPr>
              <w:pStyle w:val="TableContents"/>
              <w:bidi w:val="0"/>
              <w:spacing w:before="0" w:after="283"/>
              <w:jc w:val="left"/>
              <w:rPr>
                <w:color w:val="000000"/>
              </w:rPr>
            </w:pPr>
            <w:r>
              <w:rPr>
                <w:color w:val="000000"/>
              </w:rPr>
              <w:t> </w:t>
            </w:r>
            <w:bookmarkStart w:id="948" w:name="xdx_989_eus-gaap--ShareBasedCompensation"/>
            <w:bookmarkEnd w:id="948"/>
          </w:p>
        </w:tc>
        <w:tc>
          <w:tcPr>
            <w:tcW w:w="1759" w:type="dxa"/>
            <w:tcBorders/>
            <w:shd w:fill="CCEEFF" w:val="clear"/>
            <w:vAlign w:val="center"/>
          </w:tcPr>
          <w:p>
            <w:pPr>
              <w:pStyle w:val="TableContents"/>
              <w:bidi w:val="0"/>
              <w:spacing w:before="0" w:after="283"/>
              <w:jc w:val="right"/>
              <w:rPr>
                <w:color w:val="000000"/>
              </w:rPr>
            </w:pPr>
            <w:r>
              <w:rPr>
                <w:color w:val="000000"/>
              </w:rPr>
              <w:t>(167,253</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56" w:type="dxa"/>
            <w:tcBorders/>
            <w:shd w:fill="CCEEFF" w:val="clear"/>
            <w:vAlign w:val="center"/>
          </w:tcPr>
          <w:p>
            <w:pPr>
              <w:pStyle w:val="TableContents"/>
              <w:bidi w:val="0"/>
              <w:spacing w:before="0" w:after="283"/>
              <w:jc w:val="left"/>
              <w:rPr>
                <w:color w:val="000000"/>
              </w:rPr>
            </w:pPr>
            <w:r>
              <w:rPr>
                <w:color w:val="000000"/>
              </w:rPr>
              <w:t>$</w:t>
            </w:r>
            <w:bookmarkStart w:id="949" w:name="xdx_983_eus-gaap--ShareBasedCompensation"/>
            <w:bookmarkEnd w:id="949"/>
          </w:p>
        </w:tc>
        <w:tc>
          <w:tcPr>
            <w:tcW w:w="3424" w:type="dxa"/>
            <w:tcBorders/>
            <w:shd w:fill="CCEEFF" w:val="clear"/>
            <w:vAlign w:val="center"/>
          </w:tcPr>
          <w:p>
            <w:pPr>
              <w:pStyle w:val="TableContents"/>
              <w:bidi w:val="0"/>
              <w:spacing w:before="0" w:after="283"/>
              <w:jc w:val="right"/>
              <w:rPr>
                <w:color w:val="000000"/>
              </w:rPr>
            </w:pPr>
            <w:r>
              <w:rPr>
                <w:color w:val="000000"/>
              </w:rPr>
              <w:t>8.13</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605" w:type="dxa"/>
            <w:tcBorders/>
            <w:shd w:fill="FFFFFF" w:val="clear"/>
            <w:vAlign w:val="center"/>
          </w:tcPr>
          <w:p>
            <w:pPr>
              <w:pStyle w:val="TableContents"/>
              <w:bidi w:val="0"/>
              <w:spacing w:before="0" w:after="283"/>
              <w:jc w:val="left"/>
              <w:rPr>
                <w:color w:val="000000"/>
              </w:rPr>
            </w:pPr>
            <w:r>
              <w:rPr>
                <w:color w:val="000000"/>
              </w:rPr>
              <w:t>RSUs cancelled/forfeited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950" w:name="xdx_980_eus-gaap--ShareBasedCompensation"/>
            <w:bookmarkEnd w:id="950"/>
          </w:p>
        </w:tc>
        <w:tc>
          <w:tcPr>
            <w:tcW w:w="175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(75,000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56" w:type="dxa"/>
            <w:tcBorders/>
            <w:shd w:fill="FFFFFF" w:val="clear"/>
            <w:vAlign w:val="center"/>
          </w:tcPr>
          <w:p>
            <w:pPr>
              <w:pStyle w:val="TableContents"/>
              <w:bidi w:val="0"/>
              <w:spacing w:before="0" w:after="283"/>
              <w:jc w:val="left"/>
              <w:rPr>
                <w:color w:val="000000"/>
              </w:rPr>
            </w:pPr>
            <w:r>
              <w:rPr>
                <w:color w:val="000000"/>
              </w:rPr>
              <w:t>$</w:t>
            </w:r>
            <w:bookmarkStart w:id="951" w:name="xdx_989_eus-gaap--ShareBasedCompensation"/>
            <w:bookmarkEnd w:id="951"/>
          </w:p>
        </w:tc>
        <w:tc>
          <w:tcPr>
            <w:tcW w:w="3424" w:type="dxa"/>
            <w:tcBorders/>
            <w:shd w:fill="FFFFFF" w:val="clear"/>
            <w:vAlign w:val="center"/>
          </w:tcPr>
          <w:p>
            <w:pPr>
              <w:pStyle w:val="TableContents"/>
              <w:bidi w:val="0"/>
              <w:spacing w:before="0" w:after="283"/>
              <w:jc w:val="right"/>
              <w:rPr>
                <w:color w:val="000000"/>
              </w:rPr>
            </w:pPr>
            <w:r>
              <w:rPr>
                <w:color w:val="000000"/>
              </w:rPr>
              <w:t>5.83</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605" w:type="dxa"/>
            <w:tcBorders/>
            <w:shd w:fill="CCEEFF" w:val="clear"/>
            <w:vAlign w:val="center"/>
          </w:tcPr>
          <w:p>
            <w:pPr>
              <w:pStyle w:val="TableContents"/>
              <w:bidi w:val="0"/>
              <w:spacing w:before="0" w:after="283"/>
              <w:jc w:val="left"/>
              <w:rPr>
                <w:color w:val="000000"/>
              </w:rPr>
            </w:pPr>
            <w:r>
              <w:rPr>
                <w:color w:val="000000"/>
              </w:rPr>
              <w:t>RSUs unvested - September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952" w:name="xdx_98C_eus-gaap--ShareBasedCompensation"/>
            <w:bookmarkEnd w:id="952"/>
          </w:p>
        </w:tc>
        <w:tc>
          <w:tcPr>
            <w:tcW w:w="175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305,977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56" w:type="dxa"/>
            <w:tcBorders/>
            <w:shd w:fill="CCEEFF" w:val="clear"/>
            <w:vAlign w:val="center"/>
          </w:tcPr>
          <w:p>
            <w:pPr>
              <w:pStyle w:val="TableContents"/>
              <w:bidi w:val="0"/>
              <w:spacing w:before="0" w:after="283"/>
              <w:jc w:val="left"/>
              <w:rPr>
                <w:color w:val="000000"/>
              </w:rPr>
            </w:pPr>
            <w:r>
              <w:rPr>
                <w:color w:val="000000"/>
              </w:rPr>
              <w:t>$</w:t>
            </w:r>
            <w:bookmarkStart w:id="953" w:name="xdx_989_eus-gaap--ShareBasedCompensation"/>
            <w:bookmarkEnd w:id="953"/>
          </w:p>
        </w:tc>
        <w:tc>
          <w:tcPr>
            <w:tcW w:w="3424" w:type="dxa"/>
            <w:tcBorders/>
            <w:shd w:fill="CCEEFF" w:val="clear"/>
            <w:vAlign w:val="center"/>
          </w:tcPr>
          <w:p>
            <w:pPr>
              <w:pStyle w:val="TableContents"/>
              <w:bidi w:val="0"/>
              <w:spacing w:before="0" w:after="283"/>
              <w:jc w:val="right"/>
              <w:rPr>
                <w:color w:val="000000"/>
              </w:rPr>
            </w:pPr>
            <w:r>
              <w:rPr>
                <w:color w:val="000000"/>
              </w:rPr>
              <w:t>9.96</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bookmarkStart w:id="954" w:name="xdx_8A5_z06LLPcvzRh5"/>
      <w:bookmarkEnd w:id="954"/>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September 30, 2023, the total unrecognized compensation expense related to unvested RSUs was approximately $</w:t>
      </w:r>
      <w:bookmarkStart w:id="955" w:name="xdx_90D_eus-gaap--EmployeeServiceShareBa"/>
      <w:bookmarkEnd w:id="955"/>
      <w:r>
        <w:rPr>
          <w:rFonts w:ascii="Times New Roman;Times;Serif" w:hAnsi="Times New Roman;Times;Serif"/>
          <w:b w:val="false"/>
          <w:i w:val="false"/>
          <w:caps w:val="false"/>
          <w:smallCaps w:val="false"/>
          <w:color w:val="000000"/>
          <w:sz w:val="20"/>
        </w:rPr>
        <w:t xml:space="preserve">1,041,000, which is expected to be recognized over a weighted-average period of </w:t>
      </w:r>
      <w:bookmarkStart w:id="956" w:name="xdx_908_eus-gaap--EmployeeServiceShareBa"/>
      <w:bookmarkEnd w:id="956"/>
      <w:r>
        <w:rPr>
          <w:rFonts w:ascii="Times New Roman;Times;Serif" w:hAnsi="Times New Roman;Times;Serif"/>
          <w:b w:val="false"/>
          <w:i w:val="false"/>
          <w:caps w:val="false"/>
          <w:smallCaps w:val="false"/>
          <w:color w:val="000000"/>
          <w:sz w:val="20"/>
        </w:rPr>
        <w:t>0.40 years, based on estimated and actual vesting schedules of the applicable RSUs. The stock-based compensation for RSUs during the three and nine months ended September 30, 2023 was $</w:t>
      </w:r>
      <w:bookmarkStart w:id="957" w:name="xdx_90F_eus-gaap--ShareBasedCompensation"/>
      <w:bookmarkEnd w:id="957"/>
      <w:r>
        <w:rPr>
          <w:rFonts w:ascii="Times New Roman;Times;Serif" w:hAnsi="Times New Roman;Times;Serif"/>
          <w:b w:val="false"/>
          <w:i w:val="false"/>
          <w:caps w:val="false"/>
          <w:smallCaps w:val="false"/>
          <w:color w:val="000000"/>
          <w:sz w:val="20"/>
        </w:rPr>
        <w:t>374,000 and $</w:t>
      </w:r>
      <w:bookmarkStart w:id="958" w:name="xdx_90C_eus-gaap--ShareBasedCompensation"/>
      <w:bookmarkEnd w:id="958"/>
      <w:r>
        <w:rPr>
          <w:rFonts w:ascii="Times New Roman;Times;Serif" w:hAnsi="Times New Roman;Times;Serif"/>
          <w:b w:val="false"/>
          <w:i w:val="false"/>
          <w:caps w:val="false"/>
          <w:smallCaps w:val="false"/>
          <w:color w:val="000000"/>
          <w:sz w:val="20"/>
        </w:rPr>
        <w:t>789,000, respectively, and $</w:t>
      </w:r>
      <w:bookmarkStart w:id="959" w:name="xdx_905_eus-gaap--ShareBasedCompensation"/>
      <w:bookmarkEnd w:id="959"/>
      <w:r>
        <w:rPr>
          <w:rFonts w:ascii="Times New Roman;Times;Serif" w:hAnsi="Times New Roman;Times;Serif"/>
          <w:b w:val="false"/>
          <w:i w:val="false"/>
          <w:caps w:val="false"/>
          <w:smallCaps w:val="false"/>
          <w:color w:val="000000"/>
          <w:sz w:val="20"/>
        </w:rPr>
        <w:t>427,000 and $</w:t>
      </w:r>
      <w:bookmarkStart w:id="960" w:name="xdx_90D_eus-gaap--ShareBasedCompensation"/>
      <w:bookmarkEnd w:id="960"/>
      <w:r>
        <w:rPr>
          <w:rFonts w:ascii="Times New Roman;Times;Serif" w:hAnsi="Times New Roman;Times;Serif"/>
          <w:b w:val="false"/>
          <w:i w:val="false"/>
          <w:caps w:val="false"/>
          <w:smallCaps w:val="false"/>
          <w:color w:val="000000"/>
          <w:sz w:val="20"/>
        </w:rPr>
        <w:t>1,378,000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Performance Stock Units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April 2023, the Company granted an aggregate of </w:t>
      </w:r>
      <w:bookmarkStart w:id="961" w:name="xdx_900_eus-gaap--ShareBasedCompensation"/>
      <w:bookmarkEnd w:id="961"/>
      <w:r>
        <w:rPr>
          <w:rFonts w:ascii="Times New Roman;Times;Serif" w:hAnsi="Times New Roman;Times;Serif"/>
          <w:b w:val="false"/>
          <w:i w:val="false"/>
          <w:caps w:val="false"/>
          <w:smallCaps w:val="false"/>
          <w:color w:val="000000"/>
          <w:sz w:val="20"/>
        </w:rPr>
        <w:t>1,567,913 PSUs to members of its senior management including Mark Baum, Chief Executive Officer, Andrew Boll, Chief Financial Officer, and John Saharek, Chief Commercial Officer, which are subject to the satisfaction of certain market-based and continued service conditions (the “2023 PSUs”). The vesting of the 2023 PSUs require (i) a minimum of a two-year service period, and (ii) during a five-year term, the achievement and maintenance of Company common stock price targets ranging between $</w:t>
      </w:r>
      <w:bookmarkStart w:id="962" w:name="xdx_900_eus-gaap--SharePrice_iI_pid_c202"/>
      <w:bookmarkEnd w:id="962"/>
      <w:r>
        <w:rPr>
          <w:rFonts w:ascii="Times New Roman;Times;Serif" w:hAnsi="Times New Roman;Times;Serif"/>
          <w:b w:val="false"/>
          <w:i w:val="false"/>
          <w:caps w:val="false"/>
          <w:smallCaps w:val="false"/>
          <w:color w:val="000000"/>
          <w:sz w:val="20"/>
        </w:rPr>
        <w:t>25.00 to $</w:t>
      </w:r>
      <w:bookmarkStart w:id="963" w:name="xdx_90B_eus-gaap--SharePrice_iI_pid_c202"/>
      <w:bookmarkEnd w:id="963"/>
      <w:r>
        <w:rPr>
          <w:rFonts w:ascii="Times New Roman;Times;Serif" w:hAnsi="Times New Roman;Times;Serif"/>
          <w:b w:val="false"/>
          <w:i w:val="false"/>
          <w:caps w:val="false"/>
          <w:smallCaps w:val="false"/>
          <w:color w:val="000000"/>
          <w:sz w:val="20"/>
        </w:rPr>
        <w:t>50.00 per share, separated into four separate tranches as described further in the table below.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964" w:name="xdx_8BA_zlz2wo6RzZha"/>
      <w:bookmarkStart w:id="965" w:name="xdx_89A_eus-gaap--ScheduleOfNonvestedPer"/>
      <w:bookmarkEnd w:id="964"/>
      <w:bookmarkEnd w:id="965"/>
      <w:r>
        <w:rPr>
          <w:rFonts w:ascii="Times New Roman;Times;Serif" w:hAnsi="Times New Roman;Times;Serif"/>
          <w:b w:val="false"/>
          <w:i w:val="false"/>
          <w:caps w:val="false"/>
          <w:smallCaps w:val="false"/>
          <w:color w:val="000000"/>
          <w:sz w:val="20"/>
        </w:rPr>
        <w:t>SCHEDULE OF PERFORMANCE STOCK UNITS</w:t>
      </w:r>
    </w:p>
    <w:tbl>
      <w:tblPr>
        <w:tblW w:w="4889" w:type="dxa"/>
        <w:jc w:val="left"/>
        <w:tblInd w:w="0" w:type="dxa"/>
        <w:tblLayout w:type="fixed"/>
        <w:tblCellMar>
          <w:top w:w="0" w:type="dxa"/>
          <w:left w:w="0" w:type="dxa"/>
          <w:bottom w:w="28" w:type="dxa"/>
          <w:right w:w="0" w:type="dxa"/>
        </w:tblCellMar>
      </w:tblPr>
      <w:tblGrid>
        <w:gridCol w:w="995"/>
        <w:gridCol w:w="60"/>
        <w:gridCol w:w="121"/>
        <w:gridCol w:w="1623"/>
        <w:gridCol w:w="60"/>
        <w:gridCol w:w="60"/>
        <w:gridCol w:w="379"/>
        <w:gridCol w:w="1516"/>
        <w:gridCol w:w="75"/>
      </w:tblGrid>
      <w:tr>
        <w:trPr/>
        <w:tc>
          <w:tcPr>
            <w:tcW w:w="995" w:type="dxa"/>
            <w:tcBorders>
              <w:bottom w:val="single" w:sz="12" w:space="0" w:color="000000"/>
            </w:tcBorders>
            <w:vAlign w:val="center"/>
          </w:tcPr>
          <w:p>
            <w:pPr>
              <w:pStyle w:val="TableContents"/>
              <w:bidi w:val="0"/>
              <w:spacing w:before="0" w:after="283"/>
              <w:jc w:val="both"/>
              <w:rPr>
                <w:color w:val="000000"/>
              </w:rPr>
            </w:pPr>
            <w:r>
              <w:rPr>
                <w:color w:val="000000"/>
              </w:rPr>
              <w:t>Tranche</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744" w:type="dxa"/>
            <w:gridSpan w:val="2"/>
            <w:tcBorders>
              <w:bottom w:val="single" w:sz="12" w:space="0" w:color="000000"/>
            </w:tcBorders>
            <w:vAlign w:val="center"/>
          </w:tcPr>
          <w:p>
            <w:pPr>
              <w:pStyle w:val="TableContents"/>
              <w:bidi w:val="0"/>
              <w:spacing w:before="0" w:after="283"/>
              <w:jc w:val="center"/>
              <w:rPr>
                <w:color w:val="000000"/>
              </w:rPr>
            </w:pPr>
            <w:r>
              <w:rPr>
                <w:color w:val="000000"/>
              </w:rPr>
              <w:t>Number of Shares</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895" w:type="dxa"/>
            <w:gridSpan w:val="2"/>
            <w:tcBorders>
              <w:bottom w:val="single" w:sz="12" w:space="0" w:color="000000"/>
            </w:tcBorders>
            <w:vAlign w:val="center"/>
          </w:tcPr>
          <w:p>
            <w:pPr>
              <w:pStyle w:val="TableContents"/>
              <w:bidi w:val="0"/>
              <w:spacing w:before="0" w:after="283"/>
              <w:jc w:val="center"/>
              <w:rPr>
                <w:color w:val="000000"/>
              </w:rPr>
            </w:pPr>
            <w:r>
              <w:rPr>
                <w:color w:val="000000"/>
              </w:rPr>
              <w:t>Target Share Price*</w:t>
            </w:r>
          </w:p>
        </w:tc>
        <w:tc>
          <w:tcPr>
            <w:tcW w:w="75" w:type="dxa"/>
            <w:tcBorders/>
            <w:tcMar>
              <w:bottom w:w="0" w:type="dxa"/>
            </w:tcMar>
            <w:vAlign w:val="center"/>
          </w:tcPr>
          <w:p>
            <w:pPr>
              <w:pStyle w:val="TableContents"/>
              <w:bidi w:val="0"/>
              <w:spacing w:before="0" w:after="283"/>
              <w:jc w:val="left"/>
              <w:rPr>
                <w:color w:val="000000"/>
              </w:rPr>
            </w:pPr>
            <w:r>
              <w:rPr>
                <w:color w:val="000000"/>
              </w:rPr>
              <w:t> </w:t>
            </w:r>
          </w:p>
        </w:tc>
      </w:tr>
      <w:tr>
        <w:trPr/>
        <w:tc>
          <w:tcPr>
            <w:tcW w:w="995" w:type="dxa"/>
            <w:tcBorders/>
            <w:shd w:fill="CCEEFF" w:val="clear"/>
            <w:tcMar>
              <w:bottom w:w="0" w:type="dxa"/>
            </w:tcMar>
            <w:vAlign w:val="center"/>
          </w:tcPr>
          <w:p>
            <w:pPr>
              <w:pStyle w:val="TableContents"/>
              <w:bidi w:val="0"/>
              <w:spacing w:before="0" w:after="283"/>
              <w:jc w:val="both"/>
              <w:rPr>
                <w:color w:val="000000"/>
              </w:rPr>
            </w:pPr>
            <w:r>
              <w:rPr>
                <w:color w:val="000000"/>
              </w:rPr>
              <w:t>Tranche 1</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21" w:type="dxa"/>
            <w:tcBorders/>
            <w:shd w:fill="CCEEFF" w:val="clear"/>
            <w:tcMar>
              <w:bottom w:w="0" w:type="dxa"/>
            </w:tcMar>
            <w:vAlign w:val="center"/>
          </w:tcPr>
          <w:p>
            <w:pPr>
              <w:pStyle w:val="TableContents"/>
              <w:bidi w:val="0"/>
              <w:spacing w:before="0" w:after="283"/>
              <w:jc w:val="left"/>
              <w:rPr>
                <w:color w:val="000000"/>
              </w:rPr>
            </w:pPr>
            <w:r>
              <w:rPr>
                <w:color w:val="000000"/>
              </w:rPr>
              <w:t> </w:t>
            </w:r>
            <w:bookmarkStart w:id="966" w:name="xdx_98E_eus-gaap--SharebasedCompensation"/>
            <w:bookmarkEnd w:id="966"/>
          </w:p>
        </w:tc>
        <w:tc>
          <w:tcPr>
            <w:tcW w:w="1623" w:type="dxa"/>
            <w:tcBorders/>
            <w:shd w:fill="CCEEFF" w:val="clear"/>
            <w:tcMar>
              <w:bottom w:w="0" w:type="dxa"/>
            </w:tcMar>
            <w:vAlign w:val="center"/>
          </w:tcPr>
          <w:p>
            <w:pPr>
              <w:pStyle w:val="TableContents"/>
              <w:bidi w:val="0"/>
              <w:spacing w:before="0" w:after="283"/>
              <w:jc w:val="right"/>
              <w:rPr>
                <w:color w:val="000000"/>
              </w:rPr>
            </w:pPr>
            <w:r>
              <w:rPr>
                <w:color w:val="000000"/>
              </w:rPr>
              <w:t>223,988</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379" w:type="dxa"/>
            <w:tcBorders/>
            <w:shd w:fill="CCEEFF" w:val="clear"/>
            <w:tcMar>
              <w:bottom w:w="0" w:type="dxa"/>
            </w:tcMar>
            <w:vAlign w:val="center"/>
          </w:tcPr>
          <w:p>
            <w:pPr>
              <w:pStyle w:val="TableContents"/>
              <w:bidi w:val="0"/>
              <w:spacing w:before="0" w:after="283"/>
              <w:jc w:val="left"/>
              <w:rPr>
                <w:color w:val="000000"/>
              </w:rPr>
            </w:pPr>
            <w:r>
              <w:rPr>
                <w:color w:val="000000"/>
              </w:rPr>
              <w:t>$</w:t>
            </w:r>
            <w:bookmarkStart w:id="967" w:name="xdx_987_eus-gaap--SharePrice_iI_c2023093"/>
            <w:bookmarkEnd w:id="967"/>
          </w:p>
        </w:tc>
        <w:tc>
          <w:tcPr>
            <w:tcW w:w="1516" w:type="dxa"/>
            <w:tcBorders/>
            <w:shd w:fill="CCEEFF" w:val="clear"/>
            <w:tcMar>
              <w:bottom w:w="0" w:type="dxa"/>
            </w:tcMar>
            <w:vAlign w:val="center"/>
          </w:tcPr>
          <w:p>
            <w:pPr>
              <w:pStyle w:val="TableContents"/>
              <w:bidi w:val="0"/>
              <w:spacing w:before="0" w:after="283"/>
              <w:jc w:val="right"/>
              <w:rPr>
                <w:color w:val="000000"/>
              </w:rPr>
            </w:pPr>
            <w:r>
              <w:rPr>
                <w:color w:val="000000"/>
              </w:rPr>
              <w:t>25.00</w:t>
            </w:r>
          </w:p>
        </w:tc>
        <w:tc>
          <w:tcPr>
            <w:tcW w:w="75"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r>
        <w:trPr/>
        <w:tc>
          <w:tcPr>
            <w:tcW w:w="995" w:type="dxa"/>
            <w:tcBorders/>
            <w:shd w:fill="FFFFFF" w:val="clear"/>
            <w:tcMar>
              <w:bottom w:w="0" w:type="dxa"/>
            </w:tcMar>
            <w:vAlign w:val="center"/>
          </w:tcPr>
          <w:p>
            <w:pPr>
              <w:pStyle w:val="TableContents"/>
              <w:bidi w:val="0"/>
              <w:spacing w:before="0" w:after="283"/>
              <w:jc w:val="both"/>
              <w:rPr>
                <w:color w:val="000000"/>
              </w:rPr>
            </w:pPr>
            <w:r>
              <w:rPr>
                <w:color w:val="000000"/>
              </w:rPr>
              <w:t>Tranche 2</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21" w:type="dxa"/>
            <w:tcBorders/>
            <w:shd w:fill="FFFFFF" w:val="clear"/>
            <w:tcMar>
              <w:bottom w:w="0" w:type="dxa"/>
            </w:tcMar>
            <w:vAlign w:val="center"/>
          </w:tcPr>
          <w:p>
            <w:pPr>
              <w:pStyle w:val="TableContents"/>
              <w:bidi w:val="0"/>
              <w:spacing w:before="0" w:after="283"/>
              <w:jc w:val="left"/>
              <w:rPr>
                <w:color w:val="000000"/>
              </w:rPr>
            </w:pPr>
            <w:r>
              <w:rPr>
                <w:color w:val="000000"/>
              </w:rPr>
              <w:t> </w:t>
            </w:r>
            <w:bookmarkStart w:id="968" w:name="xdx_985_eus-gaap--SharebasedCompensation"/>
            <w:bookmarkEnd w:id="968"/>
          </w:p>
        </w:tc>
        <w:tc>
          <w:tcPr>
            <w:tcW w:w="1623" w:type="dxa"/>
            <w:tcBorders/>
            <w:shd w:fill="FFFFFF" w:val="clear"/>
            <w:tcMar>
              <w:bottom w:w="0" w:type="dxa"/>
            </w:tcMar>
            <w:vAlign w:val="center"/>
          </w:tcPr>
          <w:p>
            <w:pPr>
              <w:pStyle w:val="TableContents"/>
              <w:bidi w:val="0"/>
              <w:spacing w:before="0" w:after="283"/>
              <w:jc w:val="right"/>
              <w:rPr>
                <w:color w:val="000000"/>
              </w:rPr>
            </w:pPr>
            <w:r>
              <w:rPr>
                <w:color w:val="000000"/>
              </w:rPr>
              <w:t>335,981</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379" w:type="dxa"/>
            <w:tcBorders/>
            <w:shd w:fill="FFFFFF" w:val="clear"/>
            <w:tcMar>
              <w:bottom w:w="0" w:type="dxa"/>
            </w:tcMar>
            <w:vAlign w:val="center"/>
          </w:tcPr>
          <w:p>
            <w:pPr>
              <w:pStyle w:val="TableContents"/>
              <w:bidi w:val="0"/>
              <w:spacing w:before="0" w:after="283"/>
              <w:jc w:val="left"/>
              <w:rPr>
                <w:color w:val="000000"/>
              </w:rPr>
            </w:pPr>
            <w:r>
              <w:rPr>
                <w:color w:val="000000"/>
              </w:rPr>
              <w:t>$</w:t>
            </w:r>
            <w:bookmarkStart w:id="969" w:name="xdx_98A_eus-gaap--SharePrice_iI_c2023093"/>
            <w:bookmarkEnd w:id="969"/>
          </w:p>
        </w:tc>
        <w:tc>
          <w:tcPr>
            <w:tcW w:w="1516" w:type="dxa"/>
            <w:tcBorders/>
            <w:shd w:fill="FFFFFF" w:val="clear"/>
            <w:tcMar>
              <w:bottom w:w="0" w:type="dxa"/>
            </w:tcMar>
            <w:vAlign w:val="center"/>
          </w:tcPr>
          <w:p>
            <w:pPr>
              <w:pStyle w:val="TableContents"/>
              <w:bidi w:val="0"/>
              <w:spacing w:before="0" w:after="283"/>
              <w:jc w:val="right"/>
              <w:rPr>
                <w:color w:val="000000"/>
              </w:rPr>
            </w:pPr>
            <w:r>
              <w:rPr>
                <w:color w:val="000000"/>
              </w:rPr>
              <w:t>35.00</w:t>
            </w:r>
          </w:p>
        </w:tc>
        <w:tc>
          <w:tcPr>
            <w:tcW w:w="7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rPr/>
        <w:tc>
          <w:tcPr>
            <w:tcW w:w="995" w:type="dxa"/>
            <w:tcBorders/>
            <w:shd w:fill="CCEEFF" w:val="clear"/>
            <w:tcMar>
              <w:bottom w:w="0" w:type="dxa"/>
            </w:tcMar>
            <w:vAlign w:val="center"/>
          </w:tcPr>
          <w:p>
            <w:pPr>
              <w:pStyle w:val="TableContents"/>
              <w:bidi w:val="0"/>
              <w:spacing w:before="0" w:after="283"/>
              <w:jc w:val="both"/>
              <w:rPr>
                <w:color w:val="000000"/>
              </w:rPr>
            </w:pPr>
            <w:r>
              <w:rPr>
                <w:color w:val="000000"/>
              </w:rPr>
              <w:t>Tranche 3</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21" w:type="dxa"/>
            <w:tcBorders/>
            <w:shd w:fill="CCEEFF" w:val="clear"/>
            <w:tcMar>
              <w:bottom w:w="0" w:type="dxa"/>
            </w:tcMar>
            <w:vAlign w:val="center"/>
          </w:tcPr>
          <w:p>
            <w:pPr>
              <w:pStyle w:val="TableContents"/>
              <w:bidi w:val="0"/>
              <w:spacing w:before="0" w:after="283"/>
              <w:jc w:val="left"/>
              <w:rPr>
                <w:color w:val="000000"/>
              </w:rPr>
            </w:pPr>
            <w:r>
              <w:rPr>
                <w:color w:val="000000"/>
              </w:rPr>
              <w:t> </w:t>
            </w:r>
            <w:bookmarkStart w:id="970" w:name="xdx_988_eus-gaap--SharebasedCompensation"/>
            <w:bookmarkEnd w:id="970"/>
          </w:p>
        </w:tc>
        <w:tc>
          <w:tcPr>
            <w:tcW w:w="1623" w:type="dxa"/>
            <w:tcBorders/>
            <w:shd w:fill="CCEEFF" w:val="clear"/>
            <w:tcMar>
              <w:bottom w:w="0" w:type="dxa"/>
            </w:tcMar>
            <w:vAlign w:val="center"/>
          </w:tcPr>
          <w:p>
            <w:pPr>
              <w:pStyle w:val="TableContents"/>
              <w:bidi w:val="0"/>
              <w:spacing w:before="0" w:after="283"/>
              <w:jc w:val="right"/>
              <w:rPr>
                <w:color w:val="000000"/>
              </w:rPr>
            </w:pPr>
            <w:r>
              <w:rPr>
                <w:color w:val="000000"/>
              </w:rPr>
              <w:t>447,975</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379" w:type="dxa"/>
            <w:tcBorders/>
            <w:shd w:fill="CCEEFF" w:val="clear"/>
            <w:tcMar>
              <w:bottom w:w="0" w:type="dxa"/>
            </w:tcMar>
            <w:vAlign w:val="center"/>
          </w:tcPr>
          <w:p>
            <w:pPr>
              <w:pStyle w:val="TableContents"/>
              <w:bidi w:val="0"/>
              <w:spacing w:before="0" w:after="283"/>
              <w:jc w:val="left"/>
              <w:rPr>
                <w:color w:val="000000"/>
              </w:rPr>
            </w:pPr>
            <w:r>
              <w:rPr>
                <w:color w:val="000000"/>
              </w:rPr>
              <w:t>$</w:t>
            </w:r>
            <w:bookmarkStart w:id="971" w:name="xdx_985_eus-gaap--SharePrice_iI_c2023093"/>
            <w:bookmarkEnd w:id="971"/>
          </w:p>
        </w:tc>
        <w:tc>
          <w:tcPr>
            <w:tcW w:w="1516" w:type="dxa"/>
            <w:tcBorders/>
            <w:shd w:fill="CCEEFF" w:val="clear"/>
            <w:tcMar>
              <w:bottom w:w="0" w:type="dxa"/>
            </w:tcMar>
            <w:vAlign w:val="center"/>
          </w:tcPr>
          <w:p>
            <w:pPr>
              <w:pStyle w:val="TableContents"/>
              <w:bidi w:val="0"/>
              <w:spacing w:before="0" w:after="283"/>
              <w:jc w:val="right"/>
              <w:rPr>
                <w:color w:val="000000"/>
              </w:rPr>
            </w:pPr>
            <w:r>
              <w:rPr>
                <w:color w:val="000000"/>
              </w:rPr>
              <w:t>45.00</w:t>
            </w:r>
          </w:p>
        </w:tc>
        <w:tc>
          <w:tcPr>
            <w:tcW w:w="75"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r>
        <w:trPr/>
        <w:tc>
          <w:tcPr>
            <w:tcW w:w="995" w:type="dxa"/>
            <w:tcBorders/>
            <w:shd w:fill="FFFFFF" w:val="clear"/>
            <w:tcMar>
              <w:bottom w:w="0" w:type="dxa"/>
            </w:tcMar>
            <w:vAlign w:val="center"/>
          </w:tcPr>
          <w:p>
            <w:pPr>
              <w:pStyle w:val="TableContents"/>
              <w:bidi w:val="0"/>
              <w:spacing w:before="0" w:after="283"/>
              <w:jc w:val="both"/>
              <w:rPr>
                <w:color w:val="000000"/>
              </w:rPr>
            </w:pPr>
            <w:r>
              <w:rPr>
                <w:color w:val="000000"/>
              </w:rPr>
              <w:t>Tranche 4</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21" w:type="dxa"/>
            <w:tcBorders/>
            <w:shd w:fill="FFFFFF" w:val="clear"/>
            <w:tcMar>
              <w:bottom w:w="0" w:type="dxa"/>
            </w:tcMar>
            <w:vAlign w:val="center"/>
          </w:tcPr>
          <w:p>
            <w:pPr>
              <w:pStyle w:val="TableContents"/>
              <w:bidi w:val="0"/>
              <w:spacing w:before="0" w:after="283"/>
              <w:jc w:val="left"/>
              <w:rPr>
                <w:color w:val="000000"/>
              </w:rPr>
            </w:pPr>
            <w:r>
              <w:rPr>
                <w:color w:val="000000"/>
              </w:rPr>
              <w:t> </w:t>
            </w:r>
            <w:bookmarkStart w:id="972" w:name="xdx_981_eus-gaap--SharebasedCompensation"/>
            <w:bookmarkEnd w:id="972"/>
          </w:p>
        </w:tc>
        <w:tc>
          <w:tcPr>
            <w:tcW w:w="1623" w:type="dxa"/>
            <w:tcBorders/>
            <w:shd w:fill="FFFFFF" w:val="clear"/>
            <w:tcMar>
              <w:bottom w:w="0" w:type="dxa"/>
            </w:tcMar>
            <w:vAlign w:val="center"/>
          </w:tcPr>
          <w:p>
            <w:pPr>
              <w:pStyle w:val="TableContents"/>
              <w:bidi w:val="0"/>
              <w:spacing w:before="0" w:after="283"/>
              <w:jc w:val="right"/>
              <w:rPr>
                <w:color w:val="000000"/>
              </w:rPr>
            </w:pPr>
            <w:r>
              <w:rPr>
                <w:color w:val="000000"/>
              </w:rPr>
              <w:t>559,969</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379" w:type="dxa"/>
            <w:tcBorders/>
            <w:shd w:fill="FFFFFF" w:val="clear"/>
            <w:tcMar>
              <w:bottom w:w="0" w:type="dxa"/>
            </w:tcMar>
            <w:vAlign w:val="center"/>
          </w:tcPr>
          <w:p>
            <w:pPr>
              <w:pStyle w:val="TableContents"/>
              <w:bidi w:val="0"/>
              <w:spacing w:before="0" w:after="283"/>
              <w:jc w:val="left"/>
              <w:rPr>
                <w:color w:val="000000"/>
              </w:rPr>
            </w:pPr>
            <w:r>
              <w:rPr>
                <w:color w:val="000000"/>
              </w:rPr>
              <w:t>$</w:t>
            </w:r>
            <w:bookmarkStart w:id="973" w:name="xdx_98A_eus-gaap--SharePrice_iI_c2023093"/>
            <w:bookmarkEnd w:id="973"/>
          </w:p>
        </w:tc>
        <w:tc>
          <w:tcPr>
            <w:tcW w:w="1516" w:type="dxa"/>
            <w:tcBorders/>
            <w:shd w:fill="FFFFFF" w:val="clear"/>
            <w:tcMar>
              <w:bottom w:w="0" w:type="dxa"/>
            </w:tcMar>
            <w:vAlign w:val="center"/>
          </w:tcPr>
          <w:p>
            <w:pPr>
              <w:pStyle w:val="TableContents"/>
              <w:bidi w:val="0"/>
              <w:spacing w:before="0" w:after="283"/>
              <w:jc w:val="right"/>
              <w:rPr>
                <w:color w:val="000000"/>
              </w:rPr>
            </w:pPr>
            <w:r>
              <w:rPr>
                <w:color w:val="000000"/>
              </w:rPr>
              <w:t>50.00</w:t>
            </w:r>
          </w:p>
        </w:tc>
        <w:tc>
          <w:tcPr>
            <w:tcW w:w="7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40"/>
        <w:gridCol w:w="60"/>
        <w:gridCol w:w="10005"/>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bookmarkStart w:id="974" w:name="xdx_F07_z2X9RA6eVK7b"/>
            <w:bookmarkEnd w:id="974"/>
            <w:r>
              <w:rPr>
                <w:rFonts w:ascii="Times New Roman;Times;Serif" w:hAnsi="Times New Roman;Times;Serif"/>
                <w:b w:val="false"/>
                <w:i w:val="false"/>
                <w:caps w:val="false"/>
                <w:smallCaps w:val="false"/>
                <w:color w:val="000000"/>
                <w:sz w:val="20"/>
              </w:rPr>
              <w:t>*</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bookmarkStart w:id="975" w:name="xdx_F1B_zywqxWgBfVEe"/>
            <w:bookmarkEnd w:id="975"/>
            <w:r>
              <w:rPr>
                <w:rFonts w:ascii="Times New Roman;Times;Serif" w:hAnsi="Times New Roman;Times;Serif"/>
                <w:b w:val="false"/>
                <w:i w:val="false"/>
                <w:caps w:val="false"/>
                <w:smallCaps w:val="false"/>
                <w:color w:val="000000"/>
                <w:sz w:val="20"/>
              </w:rPr>
              <w:t>Target Share Price assumes that no dividends or like distributions are made to stockholders of the Company. If such distributions are made, the Target Share Price would decrease accordingly, to the benefit of the employee, to account for the dividend/distribution as a part of the Target Share Price.</w:t>
            </w:r>
          </w:p>
        </w:tc>
      </w:tr>
    </w:tbl>
    <w:p>
      <w:pPr>
        <w:pStyle w:val="TextBody"/>
        <w:bidi w:val="0"/>
        <w:spacing w:before="0" w:after="0"/>
        <w:ind w:left="0" w:right="0" w:hanging="0"/>
        <w:jc w:val="both"/>
        <w:rPr>
          <w:caps w:val="false"/>
          <w:smallCaps w:val="false"/>
          <w:color w:val="000000"/>
        </w:rPr>
      </w:pPr>
      <w:bookmarkStart w:id="976" w:name="xdx_8A2_z7fcZfEvtuJk"/>
      <w:bookmarkEnd w:id="976"/>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aggregate fair value of the 2023 PSUs was $</w:t>
      </w:r>
      <w:bookmarkStart w:id="977" w:name="xdx_903_eus-gaap--ShareBasedCompensation"/>
      <w:bookmarkEnd w:id="977"/>
      <w:r>
        <w:rPr>
          <w:rFonts w:ascii="Times New Roman;Times;Serif" w:hAnsi="Times New Roman;Times;Serif"/>
          <w:b w:val="false"/>
          <w:i w:val="false"/>
          <w:caps w:val="false"/>
          <w:smallCaps w:val="false"/>
          <w:color w:val="000000"/>
          <w:sz w:val="20"/>
        </w:rPr>
        <w:t xml:space="preserve">29,106,000 using a Monte Carlo Simulation with a five-year life, </w:t>
      </w:r>
      <w:bookmarkStart w:id="978" w:name="xdx_908_eus-gaap--ShareBasedCompensation"/>
      <w:bookmarkEnd w:id="978"/>
      <w:r>
        <w:rPr>
          <w:rFonts w:ascii="Times New Roman;Times;Serif" w:hAnsi="Times New Roman;Times;Serif"/>
          <w:b w:val="false"/>
          <w:i w:val="false"/>
          <w:caps w:val="false"/>
          <w:smallCaps w:val="false"/>
          <w:color w:val="000000"/>
          <w:sz w:val="20"/>
        </w:rPr>
        <w:t xml:space="preserve">65% volatility and a risk free interest rate of </w:t>
      </w:r>
      <w:bookmarkStart w:id="979" w:name="xdx_90D_eus-gaap--ShareBasedCompensation"/>
      <w:bookmarkEnd w:id="979"/>
      <w:r>
        <w:rPr>
          <w:rFonts w:ascii="Times New Roman;Times;Serif" w:hAnsi="Times New Roman;Times;Serif"/>
          <w:b w:val="false"/>
          <w:i w:val="false"/>
          <w:caps w:val="false"/>
          <w:smallCaps w:val="false"/>
          <w:color w:val="000000"/>
          <w:sz w:val="20"/>
        </w:rPr>
        <w:t>10.34%. This amount is being amortized over a two-year derived service period.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980" w:name="xdx_896_ecustom--ScheduleOfShareBasedCom"/>
      <w:bookmarkEnd w:id="980"/>
      <w:r>
        <w:rPr>
          <w:rFonts w:ascii="Times New Roman;Times;Serif" w:hAnsi="Times New Roman;Times;Serif"/>
          <w:b w:val="false"/>
          <w:i w:val="false"/>
          <w:caps w:val="false"/>
          <w:smallCaps w:val="false"/>
          <w:color w:val="000000"/>
          <w:sz w:val="20"/>
        </w:rPr>
        <w:t>A summary of the Company’s PSU activity and related information for the nine months ended September 30, 2023 is as follows: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981" w:name="xdx_8B4_zOwV6xS1L0X9"/>
      <w:bookmarkEnd w:id="981"/>
      <w:r>
        <w:rPr>
          <w:rFonts w:ascii="Times New Roman;Times;Serif" w:hAnsi="Times New Roman;Times;Serif"/>
          <w:b w:val="false"/>
          <w:i w:val="false"/>
          <w:caps w:val="false"/>
          <w:smallCaps w:val="false"/>
          <w:color w:val="000000"/>
          <w:sz w:val="20"/>
        </w:rPr>
        <w:t>SCHEDULE OF PERFORMANCE STOCK UNITS ACTIVITY</w:t>
      </w:r>
    </w:p>
    <w:tbl>
      <w:tblPr>
        <w:tblW w:w="10069" w:type="dxa"/>
        <w:jc w:val="left"/>
        <w:tblInd w:w="0" w:type="dxa"/>
        <w:tblLayout w:type="fixed"/>
        <w:tblCellMar>
          <w:top w:w="0" w:type="dxa"/>
          <w:left w:w="0" w:type="dxa"/>
          <w:bottom w:w="0" w:type="dxa"/>
          <w:right w:w="0" w:type="dxa"/>
        </w:tblCellMar>
      </w:tblPr>
      <w:tblGrid>
        <w:gridCol w:w="3620"/>
        <w:gridCol w:w="60"/>
        <w:gridCol w:w="101"/>
        <w:gridCol w:w="1778"/>
        <w:gridCol w:w="95"/>
        <w:gridCol w:w="60"/>
        <w:gridCol w:w="856"/>
        <w:gridCol w:w="3424"/>
        <w:gridCol w:w="75"/>
      </w:tblGrid>
      <w:tr>
        <w:trPr/>
        <w:tc>
          <w:tcPr>
            <w:tcW w:w="36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Number of 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428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Weighted Average Grant Date Fair 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3620" w:type="dxa"/>
            <w:tcBorders/>
            <w:shd w:fill="CCEEFF" w:val="clear"/>
            <w:vAlign w:val="center"/>
          </w:tcPr>
          <w:p>
            <w:pPr>
              <w:pStyle w:val="TableContents"/>
              <w:bidi w:val="0"/>
              <w:spacing w:before="0" w:after="283"/>
              <w:jc w:val="left"/>
              <w:rPr>
                <w:color w:val="000000"/>
              </w:rPr>
            </w:pPr>
            <w:r>
              <w:rPr>
                <w:color w:val="000000"/>
              </w:rPr>
              <w:t>PSUs unvested –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01" w:type="dxa"/>
            <w:tcBorders/>
            <w:shd w:fill="CCEEFF" w:val="clear"/>
            <w:vAlign w:val="center"/>
          </w:tcPr>
          <w:p>
            <w:pPr>
              <w:pStyle w:val="TableContents"/>
              <w:bidi w:val="0"/>
              <w:spacing w:before="0" w:after="283"/>
              <w:jc w:val="left"/>
              <w:rPr>
                <w:color w:val="000000"/>
              </w:rPr>
            </w:pPr>
            <w:r>
              <w:rPr>
                <w:color w:val="000000"/>
              </w:rPr>
              <w:t> </w:t>
            </w:r>
            <w:bookmarkStart w:id="982" w:name="xdx_983_eus-gaap--ShareBasedCompensation"/>
            <w:bookmarkEnd w:id="982"/>
          </w:p>
        </w:tc>
        <w:tc>
          <w:tcPr>
            <w:tcW w:w="1778" w:type="dxa"/>
            <w:tcBorders/>
            <w:shd w:fill="CCEEFF" w:val="clear"/>
            <w:vAlign w:val="center"/>
          </w:tcPr>
          <w:p>
            <w:pPr>
              <w:pStyle w:val="TableContents"/>
              <w:bidi w:val="0"/>
              <w:spacing w:before="0" w:after="283"/>
              <w:jc w:val="right"/>
              <w:rPr>
                <w:color w:val="000000"/>
              </w:rPr>
            </w:pPr>
            <w:r>
              <w:rPr>
                <w:color w:val="000000"/>
              </w:rPr>
              <w:t>1,567,913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56" w:type="dxa"/>
            <w:tcBorders/>
            <w:shd w:fill="CCEEFF" w:val="clear"/>
            <w:vAlign w:val="center"/>
          </w:tcPr>
          <w:p>
            <w:pPr>
              <w:pStyle w:val="TableContents"/>
              <w:bidi w:val="0"/>
              <w:spacing w:before="0" w:after="283"/>
              <w:jc w:val="left"/>
              <w:rPr>
                <w:color w:val="000000"/>
              </w:rPr>
            </w:pPr>
            <w:r>
              <w:rPr>
                <w:color w:val="000000"/>
              </w:rPr>
              <w:t>$</w:t>
            </w:r>
            <w:bookmarkStart w:id="983" w:name="xdx_983_eus-gaap--ShareBasedCompensation"/>
            <w:bookmarkEnd w:id="983"/>
          </w:p>
        </w:tc>
        <w:tc>
          <w:tcPr>
            <w:tcW w:w="3424" w:type="dxa"/>
            <w:tcBorders/>
            <w:shd w:fill="CCEEFF" w:val="clear"/>
            <w:vAlign w:val="center"/>
          </w:tcPr>
          <w:p>
            <w:pPr>
              <w:pStyle w:val="TableContents"/>
              <w:bidi w:val="0"/>
              <w:spacing w:before="0" w:after="283"/>
              <w:jc w:val="right"/>
              <w:rPr>
                <w:color w:val="000000"/>
              </w:rPr>
            </w:pPr>
            <w:r>
              <w:rPr>
                <w:color w:val="000000"/>
              </w:rPr>
              <w:t>6.45</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620" w:type="dxa"/>
            <w:tcBorders/>
            <w:shd w:fill="FFFFFF" w:val="clear"/>
            <w:vAlign w:val="center"/>
          </w:tcPr>
          <w:p>
            <w:pPr>
              <w:pStyle w:val="TableContents"/>
              <w:bidi w:val="0"/>
              <w:spacing w:before="0" w:after="283"/>
              <w:jc w:val="left"/>
              <w:rPr>
                <w:color w:val="000000"/>
              </w:rPr>
            </w:pPr>
            <w:r>
              <w:rPr>
                <w:color w:val="000000"/>
              </w:rPr>
              <w:t>PSUs 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01" w:type="dxa"/>
            <w:tcBorders/>
            <w:shd w:fill="FFFFFF" w:val="clear"/>
            <w:vAlign w:val="center"/>
          </w:tcPr>
          <w:p>
            <w:pPr>
              <w:pStyle w:val="TableContents"/>
              <w:bidi w:val="0"/>
              <w:spacing w:before="0" w:after="283"/>
              <w:jc w:val="left"/>
              <w:rPr>
                <w:color w:val="000000"/>
              </w:rPr>
            </w:pPr>
            <w:r>
              <w:rPr>
                <w:color w:val="000000"/>
              </w:rPr>
              <w:t> </w:t>
            </w:r>
            <w:bookmarkStart w:id="984" w:name="xdx_980_eus-gaap--ShareBasedCompensation"/>
            <w:bookmarkEnd w:id="984"/>
          </w:p>
        </w:tc>
        <w:tc>
          <w:tcPr>
            <w:tcW w:w="1778" w:type="dxa"/>
            <w:tcBorders/>
            <w:shd w:fill="FFFFFF" w:val="clear"/>
            <w:vAlign w:val="center"/>
          </w:tcPr>
          <w:p>
            <w:pPr>
              <w:pStyle w:val="TableContents"/>
              <w:bidi w:val="0"/>
              <w:spacing w:before="0" w:after="283"/>
              <w:jc w:val="right"/>
              <w:rPr>
                <w:color w:val="000000"/>
              </w:rPr>
            </w:pPr>
            <w:r>
              <w:rPr>
                <w:color w:val="000000"/>
              </w:rPr>
              <w:t>1,567,913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56" w:type="dxa"/>
            <w:tcBorders/>
            <w:shd w:fill="FFFFFF" w:val="clear"/>
            <w:vAlign w:val="center"/>
          </w:tcPr>
          <w:p>
            <w:pPr>
              <w:pStyle w:val="TableContents"/>
              <w:bidi w:val="0"/>
              <w:spacing w:before="0" w:after="283"/>
              <w:jc w:val="left"/>
              <w:rPr>
                <w:color w:val="000000"/>
              </w:rPr>
            </w:pPr>
            <w:r>
              <w:rPr>
                <w:color w:val="000000"/>
              </w:rPr>
              <w:t>$</w:t>
            </w:r>
            <w:bookmarkStart w:id="985" w:name="xdx_98F_eus-gaap--ShareBasedCompensation"/>
            <w:bookmarkEnd w:id="985"/>
          </w:p>
        </w:tc>
        <w:tc>
          <w:tcPr>
            <w:tcW w:w="3424" w:type="dxa"/>
            <w:tcBorders/>
            <w:shd w:fill="FFFFFF" w:val="clear"/>
            <w:vAlign w:val="center"/>
          </w:tcPr>
          <w:p>
            <w:pPr>
              <w:pStyle w:val="TableContents"/>
              <w:bidi w:val="0"/>
              <w:spacing w:before="0" w:after="283"/>
              <w:jc w:val="right"/>
              <w:rPr>
                <w:color w:val="000000"/>
              </w:rPr>
            </w:pPr>
            <w:r>
              <w:rPr>
                <w:color w:val="000000"/>
              </w:rPr>
              <w:t>18.56</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620" w:type="dxa"/>
            <w:tcBorders/>
            <w:shd w:fill="CCEEFF" w:val="clear"/>
            <w:vAlign w:val="center"/>
          </w:tcPr>
          <w:p>
            <w:pPr>
              <w:pStyle w:val="TableContents"/>
              <w:bidi w:val="0"/>
              <w:spacing w:before="0" w:after="283"/>
              <w:jc w:val="left"/>
              <w:rPr>
                <w:color w:val="000000"/>
              </w:rPr>
            </w:pPr>
            <w:r>
              <w:rPr>
                <w:color w:val="000000"/>
              </w:rPr>
              <w:t>PSUs vested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01" w:type="dxa"/>
            <w:tcBorders/>
            <w:shd w:fill="CCEEFF" w:val="clear"/>
            <w:vAlign w:val="center"/>
          </w:tcPr>
          <w:p>
            <w:pPr>
              <w:pStyle w:val="TableContents"/>
              <w:bidi w:val="0"/>
              <w:spacing w:before="0" w:after="283"/>
              <w:jc w:val="left"/>
              <w:rPr>
                <w:color w:val="000000"/>
              </w:rPr>
            </w:pPr>
            <w:r>
              <w:rPr>
                <w:color w:val="000000"/>
              </w:rPr>
              <w:t> </w:t>
            </w:r>
            <w:bookmarkStart w:id="986" w:name="xdx_98B_eus-gaap--ShareBasedCompensation"/>
            <w:bookmarkEnd w:id="986"/>
          </w:p>
        </w:tc>
        <w:tc>
          <w:tcPr>
            <w:tcW w:w="1778" w:type="dxa"/>
            <w:tcBorders/>
            <w:shd w:fill="CCEEFF" w:val="clear"/>
            <w:vAlign w:val="center"/>
          </w:tcPr>
          <w:p>
            <w:pPr>
              <w:pStyle w:val="TableContents"/>
              <w:bidi w:val="0"/>
              <w:spacing w:before="0" w:after="283"/>
              <w:jc w:val="right"/>
              <w:rPr>
                <w:color w:val="000000"/>
              </w:rPr>
            </w:pPr>
            <w:r>
              <w:rPr>
                <w:color w:val="000000"/>
              </w:rPr>
              <w:t>(1,567,913</w:t>
            </w:r>
          </w:p>
        </w:tc>
        <w:tc>
          <w:tcPr>
            <w:tcW w:w="95" w:type="dxa"/>
            <w:tcBorders/>
            <w:shd w:fill="CCEEFF" w:val="clear"/>
            <w:vAlign w:val="center"/>
          </w:tcPr>
          <w:p>
            <w:pPr>
              <w:pStyle w:val="TableContents"/>
              <w:bidi w:val="0"/>
              <w:spacing w:before="0" w:after="283"/>
              <w:jc w:val="lef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56" w:type="dxa"/>
            <w:tcBorders/>
            <w:shd w:fill="CCEEFF" w:val="clear"/>
            <w:vAlign w:val="center"/>
          </w:tcPr>
          <w:p>
            <w:pPr>
              <w:pStyle w:val="TableContents"/>
              <w:bidi w:val="0"/>
              <w:spacing w:before="0" w:after="283"/>
              <w:jc w:val="left"/>
              <w:rPr>
                <w:color w:val="000000"/>
              </w:rPr>
            </w:pPr>
            <w:r>
              <w:rPr>
                <w:color w:val="000000"/>
              </w:rPr>
              <w:t>$</w:t>
            </w:r>
            <w:bookmarkStart w:id="987" w:name="xdx_985_eus-gaap--ShareBasedCompensation"/>
            <w:bookmarkEnd w:id="987"/>
          </w:p>
        </w:tc>
        <w:tc>
          <w:tcPr>
            <w:tcW w:w="3424" w:type="dxa"/>
            <w:tcBorders/>
            <w:shd w:fill="CCEEFF" w:val="clear"/>
            <w:vAlign w:val="center"/>
          </w:tcPr>
          <w:p>
            <w:pPr>
              <w:pStyle w:val="TableContents"/>
              <w:bidi w:val="0"/>
              <w:spacing w:before="0" w:after="283"/>
              <w:jc w:val="right"/>
              <w:rPr>
                <w:color w:val="000000"/>
              </w:rPr>
            </w:pPr>
            <w:r>
              <w:rPr>
                <w:color w:val="000000"/>
              </w:rPr>
              <w:t>6.45</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620" w:type="dxa"/>
            <w:tcBorders/>
            <w:shd w:fill="FFFFFF" w:val="clear"/>
            <w:vAlign w:val="center"/>
          </w:tcPr>
          <w:p>
            <w:pPr>
              <w:pStyle w:val="TableContents"/>
              <w:bidi w:val="0"/>
              <w:spacing w:before="0" w:after="283"/>
              <w:jc w:val="left"/>
              <w:rPr>
                <w:color w:val="000000"/>
              </w:rPr>
            </w:pPr>
            <w:r>
              <w:rPr>
                <w:color w:val="000000"/>
              </w:rPr>
              <w:t>PSUs cancelled/forfeited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988" w:name="xdx_980_eus-gaap--ShareBasedCompensation"/>
            <w:bookmarkEnd w:id="988"/>
          </w:p>
        </w:tc>
        <w:tc>
          <w:tcPr>
            <w:tcW w:w="177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856" w:type="dxa"/>
            <w:tcBorders/>
            <w:shd w:fill="FFFFFF" w:val="clear"/>
            <w:vAlign w:val="center"/>
          </w:tcPr>
          <w:p>
            <w:pPr>
              <w:pStyle w:val="TableContents"/>
              <w:bidi w:val="0"/>
              <w:spacing w:before="0" w:after="283"/>
              <w:jc w:val="left"/>
              <w:rPr>
                <w:color w:val="000000"/>
              </w:rPr>
            </w:pPr>
            <w:r>
              <w:rPr>
                <w:color w:val="000000"/>
              </w:rPr>
              <w:t>$</w:t>
            </w:r>
            <w:bookmarkStart w:id="989" w:name="xdx_98B_eus-gaap--ShareBasedCompensation"/>
            <w:bookmarkEnd w:id="989"/>
          </w:p>
        </w:tc>
        <w:tc>
          <w:tcPr>
            <w:tcW w:w="3424" w:type="dxa"/>
            <w:tcBorders/>
            <w:shd w:fill="FFFFFF" w:val="clear"/>
            <w:vAlign w:val="center"/>
          </w:tcPr>
          <w:p>
            <w:pPr>
              <w:pStyle w:val="TableContents"/>
              <w:bidi w:val="0"/>
              <w:spacing w:before="0" w:after="283"/>
              <w:jc w:val="right"/>
              <w:rPr>
                <w:color w:val="000000"/>
              </w:rPr>
            </w:pPr>
            <w:r>
              <w:rPr>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620" w:type="dxa"/>
            <w:tcBorders/>
            <w:shd w:fill="CCEEFF" w:val="clear"/>
            <w:vAlign w:val="center"/>
          </w:tcPr>
          <w:p>
            <w:pPr>
              <w:pStyle w:val="TableContents"/>
              <w:bidi w:val="0"/>
              <w:spacing w:before="0" w:after="283"/>
              <w:jc w:val="left"/>
              <w:rPr>
                <w:color w:val="000000"/>
              </w:rPr>
            </w:pPr>
            <w:r>
              <w:rPr>
                <w:color w:val="000000"/>
              </w:rPr>
              <w:t>PSUs unvested – September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bookmarkStart w:id="990" w:name="xdx_98C_eus-gaap--ShareBasedCompensation"/>
            <w:bookmarkEnd w:id="990"/>
          </w:p>
        </w:tc>
        <w:tc>
          <w:tcPr>
            <w:tcW w:w="1778"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1,567,913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56" w:type="dxa"/>
            <w:tcBorders/>
            <w:shd w:fill="CCEEFF" w:val="clear"/>
            <w:vAlign w:val="center"/>
          </w:tcPr>
          <w:p>
            <w:pPr>
              <w:pStyle w:val="TableContents"/>
              <w:bidi w:val="0"/>
              <w:spacing w:before="0" w:after="283"/>
              <w:jc w:val="left"/>
              <w:rPr>
                <w:color w:val="000000"/>
              </w:rPr>
            </w:pPr>
            <w:r>
              <w:rPr>
                <w:color w:val="000000"/>
              </w:rPr>
              <w:t>$</w:t>
            </w:r>
            <w:bookmarkStart w:id="991" w:name="xdx_985_eus-gaap--ShareBasedCompensation"/>
            <w:bookmarkEnd w:id="991"/>
          </w:p>
        </w:tc>
        <w:tc>
          <w:tcPr>
            <w:tcW w:w="3424" w:type="dxa"/>
            <w:tcBorders/>
            <w:shd w:fill="CCEEFF" w:val="clear"/>
            <w:vAlign w:val="center"/>
          </w:tcPr>
          <w:p>
            <w:pPr>
              <w:pStyle w:val="TableContents"/>
              <w:bidi w:val="0"/>
              <w:spacing w:before="0" w:after="283"/>
              <w:jc w:val="right"/>
              <w:rPr>
                <w:color w:val="000000"/>
              </w:rPr>
            </w:pPr>
            <w:r>
              <w:rPr>
                <w:color w:val="000000"/>
              </w:rPr>
              <w:t>18.56</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bookmarkStart w:id="992" w:name="xdx_8A0_zZOia8oDKECb"/>
      <w:bookmarkEnd w:id="992"/>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September 30, 2023, the total unrecognized compensation expense related to unvested PSUs was approximately $</w:t>
      </w:r>
      <w:bookmarkStart w:id="993" w:name="xdx_909_eus-gaap--EmployeeServiceShareBa"/>
      <w:bookmarkEnd w:id="993"/>
      <w:r>
        <w:rPr>
          <w:rFonts w:ascii="Times New Roman;Times;Serif" w:hAnsi="Times New Roman;Times;Serif"/>
          <w:b w:val="false"/>
          <w:i w:val="false"/>
          <w:caps w:val="false"/>
          <w:smallCaps w:val="false"/>
          <w:color w:val="000000"/>
          <w:sz w:val="20"/>
        </w:rPr>
        <w:t xml:space="preserve">21,829,000, which is expected to be recognized over a weighted-average period of </w:t>
      </w:r>
      <w:bookmarkStart w:id="994" w:name="xdx_905_eus-gaap--EmployeeServiceShareBa"/>
      <w:bookmarkEnd w:id="994"/>
      <w:r>
        <w:rPr>
          <w:rFonts w:ascii="Times New Roman;Times;Serif" w:hAnsi="Times New Roman;Times;Serif"/>
          <w:b w:val="false"/>
          <w:i w:val="false"/>
          <w:caps w:val="false"/>
          <w:smallCaps w:val="false"/>
          <w:color w:val="000000"/>
          <w:sz w:val="20"/>
        </w:rPr>
        <w:t>1.51 years, based on estimated and actual vesting schedules of the applicable PSUs. The stock-based compensation for PSUs during the three and nine months ended September 30, 2023 was $</w:t>
      </w:r>
      <w:bookmarkStart w:id="995" w:name="xdx_909_eus-gaap--ShareBasedCompensation"/>
      <w:bookmarkEnd w:id="995"/>
      <w:r>
        <w:rPr>
          <w:rFonts w:ascii="Times New Roman;Times;Serif" w:hAnsi="Times New Roman;Times;Serif"/>
          <w:b w:val="false"/>
          <w:i w:val="false"/>
          <w:caps w:val="false"/>
          <w:smallCaps w:val="false"/>
          <w:color w:val="000000"/>
          <w:sz w:val="20"/>
        </w:rPr>
        <w:t>3,948,000 and $</w:t>
      </w:r>
      <w:bookmarkStart w:id="996" w:name="xdx_903_eus-gaap--ShareBasedCompensation"/>
      <w:bookmarkEnd w:id="996"/>
      <w:r>
        <w:rPr>
          <w:rFonts w:ascii="Times New Roman;Times;Serif" w:hAnsi="Times New Roman;Times;Serif"/>
          <w:b w:val="false"/>
          <w:i w:val="false"/>
          <w:caps w:val="false"/>
          <w:smallCaps w:val="false"/>
          <w:color w:val="000000"/>
          <w:sz w:val="20"/>
        </w:rPr>
        <w:t>10,115,000, respectively, and $</w:t>
      </w:r>
      <w:bookmarkStart w:id="997" w:name="xdx_90A_eus-gaap--ShareBasedCompensation"/>
      <w:bookmarkEnd w:id="997"/>
      <w:r>
        <w:rPr>
          <w:rFonts w:ascii="Times New Roman;Times;Serif" w:hAnsi="Times New Roman;Times;Serif"/>
          <w:b w:val="false"/>
          <w:i w:val="false"/>
          <w:caps w:val="false"/>
          <w:smallCaps w:val="false"/>
          <w:color w:val="000000"/>
          <w:sz w:val="20"/>
        </w:rPr>
        <w:t>1,264,000 and $</w:t>
      </w:r>
      <w:bookmarkStart w:id="998" w:name="xdx_90D_eus-gaap--ShareBasedCompensation"/>
      <w:bookmarkEnd w:id="998"/>
      <w:r>
        <w:rPr>
          <w:rFonts w:ascii="Times New Roman;Times;Serif" w:hAnsi="Times New Roman;Times;Serif"/>
          <w:b w:val="false"/>
          <w:i w:val="false"/>
          <w:caps w:val="false"/>
          <w:smallCaps w:val="false"/>
          <w:color w:val="000000"/>
          <w:sz w:val="20"/>
        </w:rPr>
        <w:t>3,792,000 during the same periods in 2022, respectively.</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Stock-Based Compensation Summary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999" w:name="xdx_89E_eus-gaap--ScheduleOfShareBasedCo"/>
      <w:bookmarkEnd w:id="999"/>
      <w:r>
        <w:rPr>
          <w:rFonts w:ascii="Times New Roman;Times;Serif" w:hAnsi="Times New Roman;Times;Serif"/>
          <w:b w:val="false"/>
          <w:i w:val="false"/>
          <w:caps w:val="false"/>
          <w:smallCaps w:val="false"/>
          <w:color w:val="000000"/>
          <w:sz w:val="20"/>
        </w:rPr>
        <w:t>The Company recorded stock-based compensation related to equity instruments granted to employees, directors and consultants as follows:</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1000" w:name="xdx_8B5_zTRBAXNqvRt1"/>
      <w:bookmarkEnd w:id="1000"/>
      <w:r>
        <w:rPr>
          <w:rFonts w:ascii="Times New Roman;Times;Serif" w:hAnsi="Times New Roman;Times;Serif"/>
          <w:b w:val="false"/>
          <w:i w:val="false"/>
          <w:caps w:val="false"/>
          <w:smallCaps w:val="false"/>
          <w:color w:val="000000"/>
          <w:sz w:val="20"/>
        </w:rPr>
        <w:t>SCHEDULE OF STOCK BASED COMPENSATION GRANTED TO EMPLOYEES DIRECTORS CONSULTANTS</w:t>
      </w:r>
    </w:p>
    <w:tbl>
      <w:tblPr>
        <w:tblW w:w="10205" w:type="dxa"/>
        <w:jc w:val="left"/>
        <w:tblInd w:w="0" w:type="dxa"/>
        <w:tblLayout w:type="fixed"/>
        <w:tblCellMar>
          <w:top w:w="0" w:type="dxa"/>
          <w:left w:w="0" w:type="dxa"/>
          <w:bottom w:w="0" w:type="dxa"/>
          <w:right w:w="0" w:type="dxa"/>
        </w:tblCellMar>
      </w:tblPr>
      <w:tblGrid>
        <w:gridCol w:w="3175"/>
        <w:gridCol w:w="60"/>
        <w:gridCol w:w="200"/>
        <w:gridCol w:w="1406"/>
        <w:gridCol w:w="85"/>
        <w:gridCol w:w="85"/>
        <w:gridCol w:w="200"/>
        <w:gridCol w:w="1406"/>
        <w:gridCol w:w="60"/>
        <w:gridCol w:w="60"/>
        <w:gridCol w:w="191"/>
        <w:gridCol w:w="1503"/>
        <w:gridCol w:w="81"/>
        <w:gridCol w:w="81"/>
        <w:gridCol w:w="191"/>
        <w:gridCol w:w="1339"/>
        <w:gridCol w:w="82"/>
      </w:tblGrid>
      <w:tr>
        <w:trPr/>
        <w:tc>
          <w:tcPr>
            <w:tcW w:w="31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001" w:name="xdx_49F_20230701__20230930_zQTZr3CdEH6b"/>
            <w:bookmarkEnd w:id="1001"/>
          </w:p>
        </w:tc>
        <w:tc>
          <w:tcPr>
            <w:tcW w:w="160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85" w:type="dxa"/>
            <w:tcBorders/>
            <w:vAlign w:val="center"/>
          </w:tcPr>
          <w:p>
            <w:pPr>
              <w:pStyle w:val="TableContents"/>
              <w:bidi w:val="0"/>
              <w:spacing w:before="0" w:after="283"/>
              <w:jc w:val="left"/>
              <w:rPr>
                <w:color w:val="000000"/>
              </w:rPr>
            </w:pPr>
            <w:r>
              <w:rPr>
                <w:color w:val="000000"/>
              </w:rPr>
              <w:t> </w:t>
            </w:r>
          </w:p>
        </w:tc>
        <w:tc>
          <w:tcPr>
            <w:tcW w:w="85" w:type="dxa"/>
            <w:tcBorders/>
            <w:vAlign w:val="center"/>
          </w:tcPr>
          <w:p>
            <w:pPr>
              <w:pStyle w:val="TableContents"/>
              <w:bidi w:val="0"/>
              <w:spacing w:before="0" w:after="283"/>
              <w:jc w:val="left"/>
              <w:rPr>
                <w:color w:val="000000"/>
              </w:rPr>
            </w:pPr>
            <w:r>
              <w:rPr>
                <w:color w:val="000000"/>
              </w:rPr>
              <w:t> </w:t>
            </w:r>
            <w:bookmarkStart w:id="1002" w:name="xdx_496_20220701__20220930_zp1upvyulC1e"/>
            <w:bookmarkEnd w:id="1002"/>
          </w:p>
        </w:tc>
        <w:tc>
          <w:tcPr>
            <w:tcW w:w="160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bookmarkStart w:id="1003" w:name="xdx_490_20230101__20230930_zdDmh0HeXnM2"/>
            <w:bookmarkEnd w:id="1003"/>
          </w:p>
        </w:tc>
        <w:tc>
          <w:tcPr>
            <w:tcW w:w="1694"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81" w:type="dxa"/>
            <w:tcBorders/>
            <w:vAlign w:val="center"/>
          </w:tcPr>
          <w:p>
            <w:pPr>
              <w:pStyle w:val="TableContents"/>
              <w:bidi w:val="0"/>
              <w:spacing w:before="0" w:after="283"/>
              <w:jc w:val="left"/>
              <w:rPr>
                <w:color w:val="000000"/>
              </w:rPr>
            </w:pPr>
            <w:r>
              <w:rPr>
                <w:color w:val="000000"/>
              </w:rPr>
              <w:t> </w:t>
            </w:r>
          </w:p>
        </w:tc>
        <w:tc>
          <w:tcPr>
            <w:tcW w:w="81" w:type="dxa"/>
            <w:tcBorders/>
            <w:vAlign w:val="center"/>
          </w:tcPr>
          <w:p>
            <w:pPr>
              <w:pStyle w:val="TableContents"/>
              <w:bidi w:val="0"/>
              <w:spacing w:before="0" w:after="283"/>
              <w:jc w:val="left"/>
              <w:rPr>
                <w:color w:val="000000"/>
              </w:rPr>
            </w:pPr>
            <w:r>
              <w:rPr>
                <w:color w:val="000000"/>
              </w:rPr>
              <w:t> </w:t>
            </w:r>
            <w:bookmarkStart w:id="1004" w:name="xdx_490_20220101__20220930_zA53tWtmLic4"/>
            <w:bookmarkEnd w:id="1004"/>
          </w:p>
        </w:tc>
        <w:tc>
          <w:tcPr>
            <w:tcW w:w="153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82" w:type="dxa"/>
            <w:tcBorders/>
            <w:vAlign w:val="center"/>
          </w:tcPr>
          <w:p>
            <w:pPr>
              <w:pStyle w:val="TableContents"/>
              <w:bidi w:val="0"/>
              <w:spacing w:before="0" w:after="283"/>
              <w:jc w:val="left"/>
              <w:rPr>
                <w:color w:val="000000"/>
              </w:rPr>
            </w:pPr>
            <w:r>
              <w:rPr>
                <w:color w:val="000000"/>
              </w:rPr>
              <w:t> </w:t>
            </w:r>
          </w:p>
        </w:tc>
      </w:tr>
      <w:tr>
        <w:trPr/>
        <w:tc>
          <w:tcPr>
            <w:tcW w:w="31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382"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For the Three Months Ended 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386" w:type="dxa"/>
            <w:gridSpan w:val="6"/>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For the Nine Months Ended September 30,</w:t>
            </w:r>
          </w:p>
        </w:tc>
        <w:tc>
          <w:tcPr>
            <w:tcW w:w="82" w:type="dxa"/>
            <w:tcBorders/>
            <w:vAlign w:val="center"/>
          </w:tcPr>
          <w:p>
            <w:pPr>
              <w:pStyle w:val="TableContents"/>
              <w:bidi w:val="0"/>
              <w:spacing w:before="0" w:after="283"/>
              <w:jc w:val="left"/>
              <w:rPr>
                <w:color w:val="000000"/>
              </w:rPr>
            </w:pPr>
            <w:r>
              <w:rPr>
                <w:color w:val="000000"/>
              </w:rPr>
              <w:t> </w:t>
            </w:r>
          </w:p>
        </w:tc>
      </w:tr>
      <w:tr>
        <w:trPr/>
        <w:tc>
          <w:tcPr>
            <w:tcW w:w="31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60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85" w:type="dxa"/>
            <w:tcBorders/>
            <w:vAlign w:val="center"/>
          </w:tcPr>
          <w:p>
            <w:pPr>
              <w:pStyle w:val="TableContents"/>
              <w:bidi w:val="0"/>
              <w:spacing w:before="0" w:after="283"/>
              <w:jc w:val="left"/>
              <w:rPr>
                <w:color w:val="000000"/>
              </w:rPr>
            </w:pPr>
            <w:r>
              <w:rPr>
                <w:color w:val="000000"/>
              </w:rPr>
              <w:t> </w:t>
            </w:r>
          </w:p>
        </w:tc>
        <w:tc>
          <w:tcPr>
            <w:tcW w:w="85" w:type="dxa"/>
            <w:tcBorders/>
            <w:vAlign w:val="center"/>
          </w:tcPr>
          <w:p>
            <w:pPr>
              <w:pStyle w:val="TableContents"/>
              <w:bidi w:val="0"/>
              <w:spacing w:before="0" w:after="283"/>
              <w:jc w:val="left"/>
              <w:rPr>
                <w:color w:val="000000"/>
              </w:rPr>
            </w:pPr>
            <w:r>
              <w:rPr>
                <w:color w:val="000000"/>
              </w:rPr>
              <w:t> </w:t>
            </w:r>
          </w:p>
        </w:tc>
        <w:tc>
          <w:tcPr>
            <w:tcW w:w="1606"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694"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2023</w:t>
            </w:r>
          </w:p>
        </w:tc>
        <w:tc>
          <w:tcPr>
            <w:tcW w:w="81" w:type="dxa"/>
            <w:tcBorders/>
            <w:vAlign w:val="center"/>
          </w:tcPr>
          <w:p>
            <w:pPr>
              <w:pStyle w:val="TableContents"/>
              <w:bidi w:val="0"/>
              <w:spacing w:before="0" w:after="283"/>
              <w:jc w:val="left"/>
              <w:rPr>
                <w:color w:val="000000"/>
              </w:rPr>
            </w:pPr>
            <w:r>
              <w:rPr>
                <w:color w:val="000000"/>
              </w:rPr>
              <w:t> </w:t>
            </w:r>
          </w:p>
        </w:tc>
        <w:tc>
          <w:tcPr>
            <w:tcW w:w="81" w:type="dxa"/>
            <w:tcBorders/>
            <w:vAlign w:val="center"/>
          </w:tcPr>
          <w:p>
            <w:pPr>
              <w:pStyle w:val="TableContents"/>
              <w:bidi w:val="0"/>
              <w:spacing w:before="0" w:after="283"/>
              <w:jc w:val="left"/>
              <w:rPr>
                <w:color w:val="000000"/>
              </w:rPr>
            </w:pPr>
            <w:r>
              <w:rPr>
                <w:color w:val="000000"/>
              </w:rPr>
              <w:t> </w:t>
            </w:r>
          </w:p>
        </w:tc>
        <w:tc>
          <w:tcPr>
            <w:tcW w:w="1530" w:type="dxa"/>
            <w:gridSpan w:val="2"/>
            <w:tcBorders>
              <w:bottom w:val="single" w:sz="12" w:space="0" w:color="000000"/>
            </w:tcBorders>
            <w:tcMar>
              <w:bottom w:w="28" w:type="dxa"/>
            </w:tcMar>
            <w:vAlign w:val="center"/>
          </w:tcPr>
          <w:p>
            <w:pPr>
              <w:pStyle w:val="TableContents"/>
              <w:bidi w:val="0"/>
              <w:spacing w:before="0" w:after="283"/>
              <w:jc w:val="center"/>
              <w:rPr>
                <w:color w:val="000000"/>
              </w:rPr>
            </w:pPr>
            <w:r>
              <w:rPr>
                <w:color w:val="000000"/>
              </w:rPr>
              <w:t>2022</w:t>
            </w:r>
          </w:p>
        </w:tc>
        <w:tc>
          <w:tcPr>
            <w:tcW w:w="82" w:type="dxa"/>
            <w:tcBorders/>
            <w:vAlign w:val="center"/>
          </w:tcPr>
          <w:p>
            <w:pPr>
              <w:pStyle w:val="TableContents"/>
              <w:bidi w:val="0"/>
              <w:spacing w:before="0" w:after="283"/>
              <w:jc w:val="left"/>
              <w:rPr>
                <w:color w:val="000000"/>
              </w:rPr>
            </w:pPr>
            <w:r>
              <w:rPr>
                <w:color w:val="000000"/>
              </w:rPr>
              <w:t> </w:t>
            </w:r>
            <w:bookmarkStart w:id="1005" w:name="xdx_40A_eus-gaap--AllocatedShareBasedCom"/>
            <w:bookmarkEnd w:id="1005"/>
          </w:p>
        </w:tc>
      </w:tr>
      <w:tr>
        <w:trPr/>
        <w:tc>
          <w:tcPr>
            <w:tcW w:w="3175" w:type="dxa"/>
            <w:tcBorders/>
            <w:shd w:fill="CCEEFF" w:val="clear"/>
            <w:vAlign w:val="center"/>
          </w:tcPr>
          <w:p>
            <w:pPr>
              <w:pStyle w:val="TableContents"/>
              <w:bidi w:val="0"/>
              <w:spacing w:before="0" w:after="283"/>
              <w:jc w:val="left"/>
              <w:rPr>
                <w:color w:val="000000"/>
              </w:rPr>
            </w:pPr>
            <w:r>
              <w:rPr>
                <w:color w:val="000000"/>
              </w:rPr>
              <w:t>Employees – selling, general and administrative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color w:val="000000"/>
              </w:rPr>
            </w:pPr>
            <w:r>
              <w:rPr>
                <w:color w:val="000000"/>
              </w:rPr>
              <w:t>$</w:t>
            </w:r>
          </w:p>
        </w:tc>
        <w:tc>
          <w:tcPr>
            <w:tcW w:w="1406" w:type="dxa"/>
            <w:tcBorders/>
            <w:shd w:fill="CCEEFF" w:val="clear"/>
            <w:vAlign w:val="center"/>
          </w:tcPr>
          <w:p>
            <w:pPr>
              <w:pStyle w:val="TableContents"/>
              <w:bidi w:val="0"/>
              <w:spacing w:before="0" w:after="283"/>
              <w:jc w:val="right"/>
              <w:rPr>
                <w:color w:val="000000"/>
              </w:rPr>
            </w:pPr>
            <w:r>
              <w:rPr>
                <w:color w:val="000000"/>
              </w:rPr>
              <w:t>3,784,000</w:t>
            </w:r>
          </w:p>
        </w:tc>
        <w:tc>
          <w:tcPr>
            <w:tcW w:w="85" w:type="dxa"/>
            <w:tcBorders/>
            <w:shd w:fill="CCEEFF" w:val="clear"/>
            <w:vAlign w:val="center"/>
          </w:tcPr>
          <w:p>
            <w:pPr>
              <w:pStyle w:val="TableContents"/>
              <w:bidi w:val="0"/>
              <w:spacing w:before="0" w:after="283"/>
              <w:jc w:val="left"/>
              <w:rPr>
                <w:color w:val="000000"/>
              </w:rPr>
            </w:pPr>
            <w:r>
              <w:rPr>
                <w:color w:val="000000"/>
              </w:rPr>
              <w:t> </w:t>
            </w:r>
          </w:p>
        </w:tc>
        <w:tc>
          <w:tcPr>
            <w:tcW w:w="85"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color w:val="000000"/>
              </w:rPr>
            </w:pPr>
            <w:r>
              <w:rPr>
                <w:color w:val="000000"/>
              </w:rPr>
              <w:t>$</w:t>
            </w:r>
          </w:p>
        </w:tc>
        <w:tc>
          <w:tcPr>
            <w:tcW w:w="1406" w:type="dxa"/>
            <w:tcBorders/>
            <w:shd w:fill="CCEEFF" w:val="clear"/>
            <w:vAlign w:val="center"/>
          </w:tcPr>
          <w:p>
            <w:pPr>
              <w:pStyle w:val="TableContents"/>
              <w:bidi w:val="0"/>
              <w:spacing w:before="0" w:after="283"/>
              <w:jc w:val="right"/>
              <w:rPr>
                <w:color w:val="000000"/>
              </w:rPr>
            </w:pPr>
            <w:r>
              <w:rPr>
                <w:color w:val="000000"/>
              </w:rPr>
              <w:t>1,611,000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1" w:type="dxa"/>
            <w:tcBorders/>
            <w:shd w:fill="CCEEFF" w:val="clear"/>
            <w:vAlign w:val="center"/>
          </w:tcPr>
          <w:p>
            <w:pPr>
              <w:pStyle w:val="TableContents"/>
              <w:bidi w:val="0"/>
              <w:spacing w:before="0" w:after="283"/>
              <w:jc w:val="left"/>
              <w:rPr>
                <w:color w:val="000000"/>
              </w:rPr>
            </w:pPr>
            <w:r>
              <w:rPr>
                <w:color w:val="000000"/>
              </w:rPr>
              <w:t>$</w:t>
            </w:r>
          </w:p>
        </w:tc>
        <w:tc>
          <w:tcPr>
            <w:tcW w:w="1503" w:type="dxa"/>
            <w:tcBorders/>
            <w:shd w:fill="CCEEFF" w:val="clear"/>
            <w:vAlign w:val="center"/>
          </w:tcPr>
          <w:p>
            <w:pPr>
              <w:pStyle w:val="TableContents"/>
              <w:bidi w:val="0"/>
              <w:spacing w:before="0" w:after="283"/>
              <w:jc w:val="right"/>
              <w:rPr>
                <w:color w:val="000000"/>
              </w:rPr>
            </w:pPr>
            <w:r>
              <w:rPr>
                <w:color w:val="000000"/>
              </w:rPr>
              <w:t>9,719,000</w:t>
            </w:r>
          </w:p>
        </w:tc>
        <w:tc>
          <w:tcPr>
            <w:tcW w:w="81"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shd w:fill="CCEEFF" w:val="clear"/>
            <w:vAlign w:val="center"/>
          </w:tcPr>
          <w:p>
            <w:pPr>
              <w:pStyle w:val="TableContents"/>
              <w:bidi w:val="0"/>
              <w:spacing w:before="0" w:after="283"/>
              <w:jc w:val="left"/>
              <w:rPr>
                <w:color w:val="000000"/>
              </w:rPr>
            </w:pPr>
            <w:r>
              <w:rPr>
                <w:color w:val="000000"/>
              </w:rPr>
              <w:t> </w:t>
            </w:r>
          </w:p>
        </w:tc>
        <w:tc>
          <w:tcPr>
            <w:tcW w:w="191" w:type="dxa"/>
            <w:tcBorders/>
            <w:shd w:fill="CCEEFF" w:val="clear"/>
            <w:vAlign w:val="center"/>
          </w:tcPr>
          <w:p>
            <w:pPr>
              <w:pStyle w:val="TableContents"/>
              <w:bidi w:val="0"/>
              <w:spacing w:before="0" w:after="283"/>
              <w:jc w:val="left"/>
              <w:rPr>
                <w:color w:val="000000"/>
              </w:rPr>
            </w:pPr>
            <w:r>
              <w:rPr>
                <w:color w:val="000000"/>
              </w:rPr>
              <w:t>$</w:t>
            </w:r>
          </w:p>
        </w:tc>
        <w:tc>
          <w:tcPr>
            <w:tcW w:w="1339" w:type="dxa"/>
            <w:tcBorders/>
            <w:shd w:fill="CCEEFF" w:val="clear"/>
            <w:vAlign w:val="center"/>
          </w:tcPr>
          <w:p>
            <w:pPr>
              <w:pStyle w:val="TableContents"/>
              <w:bidi w:val="0"/>
              <w:spacing w:before="0" w:after="283"/>
              <w:jc w:val="right"/>
              <w:rPr>
                <w:color w:val="000000"/>
              </w:rPr>
            </w:pPr>
            <w:r>
              <w:rPr>
                <w:color w:val="000000"/>
              </w:rPr>
              <w:t>4,942,000</w:t>
            </w:r>
          </w:p>
        </w:tc>
        <w:tc>
          <w:tcPr>
            <w:tcW w:w="82" w:type="dxa"/>
            <w:tcBorders/>
            <w:shd w:fill="CCEEFF" w:val="clear"/>
            <w:vAlign w:val="center"/>
          </w:tcPr>
          <w:p>
            <w:pPr>
              <w:pStyle w:val="TableContents"/>
              <w:bidi w:val="0"/>
              <w:spacing w:before="0" w:after="283"/>
              <w:jc w:val="left"/>
              <w:rPr>
                <w:color w:val="000000"/>
              </w:rPr>
            </w:pPr>
            <w:r>
              <w:rPr>
                <w:color w:val="000000"/>
              </w:rPr>
              <w:t> </w:t>
            </w:r>
            <w:bookmarkStart w:id="1006" w:name="xdx_40D_eus-gaap--AllocatedShareBasedCom"/>
            <w:bookmarkEnd w:id="1006"/>
          </w:p>
        </w:tc>
      </w:tr>
      <w:tr>
        <w:trPr/>
        <w:tc>
          <w:tcPr>
            <w:tcW w:w="3175" w:type="dxa"/>
            <w:tcBorders/>
            <w:shd w:fill="FFFFFF" w:val="clear"/>
            <w:vAlign w:val="center"/>
          </w:tcPr>
          <w:p>
            <w:pPr>
              <w:pStyle w:val="TableContents"/>
              <w:bidi w:val="0"/>
              <w:spacing w:before="0" w:after="283"/>
              <w:jc w:val="left"/>
              <w:rPr>
                <w:color w:val="000000"/>
              </w:rPr>
            </w:pPr>
            <w:r>
              <w:rPr>
                <w:color w:val="000000"/>
              </w:rPr>
              <w:t>Employees – research and development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shd w:fill="FFFFFF" w:val="clear"/>
            <w:vAlign w:val="center"/>
          </w:tcPr>
          <w:p>
            <w:pPr>
              <w:pStyle w:val="TableContents"/>
              <w:bidi w:val="0"/>
              <w:spacing w:before="0" w:after="283"/>
              <w:jc w:val="left"/>
              <w:rPr>
                <w:color w:val="000000"/>
              </w:rPr>
            </w:pPr>
            <w:r>
              <w:rPr>
                <w:color w:val="000000"/>
              </w:rPr>
              <w:t> </w:t>
            </w:r>
          </w:p>
        </w:tc>
        <w:tc>
          <w:tcPr>
            <w:tcW w:w="1406" w:type="dxa"/>
            <w:tcBorders/>
            <w:shd w:fill="FFFFFF" w:val="clear"/>
            <w:vAlign w:val="center"/>
          </w:tcPr>
          <w:p>
            <w:pPr>
              <w:pStyle w:val="TableContents"/>
              <w:bidi w:val="0"/>
              <w:spacing w:before="0" w:after="283"/>
              <w:jc w:val="right"/>
              <w:rPr>
                <w:color w:val="000000"/>
              </w:rPr>
            </w:pPr>
            <w:r>
              <w:rPr>
                <w:color w:val="000000"/>
              </w:rPr>
              <w:t>475,000</w:t>
            </w:r>
          </w:p>
        </w:tc>
        <w:tc>
          <w:tcPr>
            <w:tcW w:w="85" w:type="dxa"/>
            <w:tcBorders/>
            <w:shd w:fill="FFFFFF" w:val="clear"/>
            <w:vAlign w:val="center"/>
          </w:tcPr>
          <w:p>
            <w:pPr>
              <w:pStyle w:val="TableContents"/>
              <w:bidi w:val="0"/>
              <w:spacing w:before="0" w:after="283"/>
              <w:jc w:val="left"/>
              <w:rPr>
                <w:color w:val="000000"/>
              </w:rPr>
            </w:pPr>
            <w:r>
              <w:rPr>
                <w:color w:val="000000"/>
              </w:rPr>
              <w:t> </w:t>
            </w:r>
          </w:p>
        </w:tc>
        <w:tc>
          <w:tcPr>
            <w:tcW w:w="85"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shd w:fill="FFFFFF" w:val="clear"/>
            <w:vAlign w:val="center"/>
          </w:tcPr>
          <w:p>
            <w:pPr>
              <w:pStyle w:val="TableContents"/>
              <w:bidi w:val="0"/>
              <w:spacing w:before="0" w:after="283"/>
              <w:jc w:val="left"/>
              <w:rPr>
                <w:color w:val="000000"/>
              </w:rPr>
            </w:pPr>
            <w:r>
              <w:rPr>
                <w:color w:val="000000"/>
              </w:rPr>
              <w:t> </w:t>
            </w:r>
          </w:p>
        </w:tc>
        <w:tc>
          <w:tcPr>
            <w:tcW w:w="1406" w:type="dxa"/>
            <w:tcBorders/>
            <w:shd w:fill="FFFFFF" w:val="clear"/>
            <w:vAlign w:val="center"/>
          </w:tcPr>
          <w:p>
            <w:pPr>
              <w:pStyle w:val="TableContents"/>
              <w:bidi w:val="0"/>
              <w:spacing w:before="0" w:after="283"/>
              <w:jc w:val="right"/>
              <w:rPr>
                <w:color w:val="000000"/>
              </w:rPr>
            </w:pPr>
            <w:r>
              <w:rPr>
                <w:color w:val="000000"/>
              </w:rPr>
              <w:t>163,000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1" w:type="dxa"/>
            <w:tcBorders/>
            <w:shd w:fill="FFFFFF" w:val="clear"/>
            <w:vAlign w:val="center"/>
          </w:tcPr>
          <w:p>
            <w:pPr>
              <w:pStyle w:val="TableContents"/>
              <w:bidi w:val="0"/>
              <w:spacing w:before="0" w:after="283"/>
              <w:jc w:val="left"/>
              <w:rPr>
                <w:color w:val="000000"/>
              </w:rPr>
            </w:pPr>
            <w:r>
              <w:rPr>
                <w:color w:val="000000"/>
              </w:rPr>
              <w:t> </w:t>
            </w:r>
          </w:p>
        </w:tc>
        <w:tc>
          <w:tcPr>
            <w:tcW w:w="1503" w:type="dxa"/>
            <w:tcBorders/>
            <w:shd w:fill="FFFFFF" w:val="clear"/>
            <w:vAlign w:val="center"/>
          </w:tcPr>
          <w:p>
            <w:pPr>
              <w:pStyle w:val="TableContents"/>
              <w:bidi w:val="0"/>
              <w:spacing w:before="0" w:after="283"/>
              <w:jc w:val="right"/>
              <w:rPr>
                <w:color w:val="000000"/>
              </w:rPr>
            </w:pPr>
            <w:r>
              <w:rPr>
                <w:color w:val="000000"/>
              </w:rPr>
              <w:t>1,224,000</w:t>
            </w:r>
          </w:p>
        </w:tc>
        <w:tc>
          <w:tcPr>
            <w:tcW w:w="81" w:type="dxa"/>
            <w:tcBorders/>
            <w:shd w:fill="FFFFFF" w:val="clear"/>
            <w:vAlign w:val="center"/>
          </w:tcPr>
          <w:p>
            <w:pPr>
              <w:pStyle w:val="TableContents"/>
              <w:bidi w:val="0"/>
              <w:spacing w:before="0" w:after="283"/>
              <w:jc w:val="left"/>
              <w:rPr>
                <w:color w:val="000000"/>
              </w:rPr>
            </w:pPr>
            <w:r>
              <w:rPr>
                <w:color w:val="000000"/>
              </w:rPr>
              <w:t> </w:t>
            </w:r>
          </w:p>
        </w:tc>
        <w:tc>
          <w:tcPr>
            <w:tcW w:w="81" w:type="dxa"/>
            <w:tcBorders/>
            <w:shd w:fill="FFFFFF" w:val="clear"/>
            <w:vAlign w:val="center"/>
          </w:tcPr>
          <w:p>
            <w:pPr>
              <w:pStyle w:val="TableContents"/>
              <w:bidi w:val="0"/>
              <w:spacing w:before="0" w:after="283"/>
              <w:jc w:val="left"/>
              <w:rPr>
                <w:color w:val="000000"/>
              </w:rPr>
            </w:pPr>
            <w:r>
              <w:rPr>
                <w:color w:val="000000"/>
              </w:rPr>
              <w:t> </w:t>
            </w:r>
          </w:p>
        </w:tc>
        <w:tc>
          <w:tcPr>
            <w:tcW w:w="191" w:type="dxa"/>
            <w:tcBorders/>
            <w:shd w:fill="FFFFFF" w:val="clear"/>
            <w:vAlign w:val="center"/>
          </w:tcPr>
          <w:p>
            <w:pPr>
              <w:pStyle w:val="TableContents"/>
              <w:bidi w:val="0"/>
              <w:spacing w:before="0" w:after="283"/>
              <w:jc w:val="left"/>
              <w:rPr>
                <w:color w:val="000000"/>
              </w:rPr>
            </w:pPr>
            <w:r>
              <w:rPr>
                <w:color w:val="000000"/>
              </w:rPr>
              <w:t> </w:t>
            </w:r>
          </w:p>
        </w:tc>
        <w:tc>
          <w:tcPr>
            <w:tcW w:w="1339" w:type="dxa"/>
            <w:tcBorders/>
            <w:shd w:fill="FFFFFF" w:val="clear"/>
            <w:vAlign w:val="center"/>
          </w:tcPr>
          <w:p>
            <w:pPr>
              <w:pStyle w:val="TableContents"/>
              <w:bidi w:val="0"/>
              <w:spacing w:before="0" w:after="283"/>
              <w:jc w:val="right"/>
              <w:rPr>
                <w:color w:val="000000"/>
              </w:rPr>
            </w:pPr>
            <w:r>
              <w:rPr>
                <w:color w:val="000000"/>
              </w:rPr>
              <w:t>525,000</w:t>
            </w:r>
          </w:p>
        </w:tc>
        <w:tc>
          <w:tcPr>
            <w:tcW w:w="82" w:type="dxa"/>
            <w:tcBorders/>
            <w:shd w:fill="FFFFFF" w:val="clear"/>
            <w:vAlign w:val="center"/>
          </w:tcPr>
          <w:p>
            <w:pPr>
              <w:pStyle w:val="TableContents"/>
              <w:bidi w:val="0"/>
              <w:spacing w:before="0" w:after="283"/>
              <w:jc w:val="left"/>
              <w:rPr>
                <w:color w:val="000000"/>
              </w:rPr>
            </w:pPr>
            <w:r>
              <w:rPr>
                <w:color w:val="000000"/>
              </w:rPr>
              <w:t> </w:t>
            </w:r>
            <w:bookmarkStart w:id="1007" w:name="xdx_402_eus-gaap--AllocatedShareBasedCom"/>
            <w:bookmarkEnd w:id="1007"/>
          </w:p>
        </w:tc>
      </w:tr>
      <w:tr>
        <w:trPr/>
        <w:tc>
          <w:tcPr>
            <w:tcW w:w="3175" w:type="dxa"/>
            <w:tcBorders/>
            <w:shd w:fill="CCEEFF" w:val="clear"/>
            <w:vAlign w:val="center"/>
          </w:tcPr>
          <w:p>
            <w:pPr>
              <w:pStyle w:val="TableContents"/>
              <w:bidi w:val="0"/>
              <w:spacing w:before="0" w:after="283"/>
              <w:jc w:val="left"/>
              <w:rPr>
                <w:color w:val="000000"/>
              </w:rPr>
            </w:pPr>
            <w:r>
              <w:rPr>
                <w:color w:val="000000"/>
              </w:rPr>
              <w:t>Directors – selling, general and administrative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color w:val="000000"/>
              </w:rPr>
            </w:pPr>
            <w:r>
              <w:rPr>
                <w:color w:val="000000"/>
              </w:rPr>
              <w:t> </w:t>
            </w:r>
          </w:p>
        </w:tc>
        <w:tc>
          <w:tcPr>
            <w:tcW w:w="1406" w:type="dxa"/>
            <w:tcBorders/>
            <w:shd w:fill="CCEEFF" w:val="clear"/>
            <w:vAlign w:val="center"/>
          </w:tcPr>
          <w:p>
            <w:pPr>
              <w:pStyle w:val="TableContents"/>
              <w:bidi w:val="0"/>
              <w:spacing w:before="0" w:after="283"/>
              <w:jc w:val="right"/>
              <w:rPr>
                <w:color w:val="000000"/>
              </w:rPr>
            </w:pPr>
            <w:r>
              <w:rPr>
                <w:color w:val="000000"/>
              </w:rPr>
              <w:t>200,000</w:t>
            </w:r>
          </w:p>
        </w:tc>
        <w:tc>
          <w:tcPr>
            <w:tcW w:w="85" w:type="dxa"/>
            <w:tcBorders/>
            <w:shd w:fill="CCEEFF" w:val="clear"/>
            <w:vAlign w:val="center"/>
          </w:tcPr>
          <w:p>
            <w:pPr>
              <w:pStyle w:val="TableContents"/>
              <w:bidi w:val="0"/>
              <w:spacing w:before="0" w:after="283"/>
              <w:jc w:val="left"/>
              <w:rPr>
                <w:color w:val="000000"/>
              </w:rPr>
            </w:pPr>
            <w:r>
              <w:rPr>
                <w:color w:val="000000"/>
              </w:rPr>
              <w:t> </w:t>
            </w:r>
          </w:p>
        </w:tc>
        <w:tc>
          <w:tcPr>
            <w:tcW w:w="85"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shd w:fill="CCEEFF" w:val="clear"/>
            <w:vAlign w:val="center"/>
          </w:tcPr>
          <w:p>
            <w:pPr>
              <w:pStyle w:val="TableContents"/>
              <w:bidi w:val="0"/>
              <w:spacing w:before="0" w:after="283"/>
              <w:jc w:val="left"/>
              <w:rPr>
                <w:color w:val="000000"/>
              </w:rPr>
            </w:pPr>
            <w:r>
              <w:rPr>
                <w:color w:val="000000"/>
              </w:rPr>
              <w:t> </w:t>
            </w:r>
          </w:p>
        </w:tc>
        <w:tc>
          <w:tcPr>
            <w:tcW w:w="1406" w:type="dxa"/>
            <w:tcBorders/>
            <w:shd w:fill="CCEEFF" w:val="clear"/>
            <w:vAlign w:val="center"/>
          </w:tcPr>
          <w:p>
            <w:pPr>
              <w:pStyle w:val="TableContents"/>
              <w:bidi w:val="0"/>
              <w:spacing w:before="0" w:after="283"/>
              <w:jc w:val="right"/>
              <w:rPr>
                <w:color w:val="000000"/>
              </w:rPr>
            </w:pPr>
            <w:r>
              <w:rPr>
                <w:color w:val="000000"/>
              </w:rPr>
              <w:t>125,000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1" w:type="dxa"/>
            <w:tcBorders/>
            <w:shd w:fill="CCEEFF" w:val="clear"/>
            <w:vAlign w:val="center"/>
          </w:tcPr>
          <w:p>
            <w:pPr>
              <w:pStyle w:val="TableContents"/>
              <w:bidi w:val="0"/>
              <w:spacing w:before="0" w:after="283"/>
              <w:jc w:val="left"/>
              <w:rPr>
                <w:color w:val="000000"/>
              </w:rPr>
            </w:pPr>
            <w:r>
              <w:rPr>
                <w:color w:val="000000"/>
              </w:rPr>
              <w:t> </w:t>
            </w:r>
          </w:p>
        </w:tc>
        <w:tc>
          <w:tcPr>
            <w:tcW w:w="1503" w:type="dxa"/>
            <w:tcBorders/>
            <w:shd w:fill="CCEEFF" w:val="clear"/>
            <w:vAlign w:val="center"/>
          </w:tcPr>
          <w:p>
            <w:pPr>
              <w:pStyle w:val="TableContents"/>
              <w:bidi w:val="0"/>
              <w:spacing w:before="0" w:after="283"/>
              <w:jc w:val="right"/>
              <w:rPr>
                <w:color w:val="000000"/>
              </w:rPr>
            </w:pPr>
            <w:r>
              <w:rPr>
                <w:color w:val="000000"/>
              </w:rPr>
              <w:t>528,000</w:t>
            </w:r>
          </w:p>
        </w:tc>
        <w:tc>
          <w:tcPr>
            <w:tcW w:w="81"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shd w:fill="CCEEFF" w:val="clear"/>
            <w:vAlign w:val="center"/>
          </w:tcPr>
          <w:p>
            <w:pPr>
              <w:pStyle w:val="TableContents"/>
              <w:bidi w:val="0"/>
              <w:spacing w:before="0" w:after="283"/>
              <w:jc w:val="left"/>
              <w:rPr>
                <w:color w:val="000000"/>
              </w:rPr>
            </w:pPr>
            <w:r>
              <w:rPr>
                <w:color w:val="000000"/>
              </w:rPr>
              <w:t> </w:t>
            </w:r>
          </w:p>
        </w:tc>
        <w:tc>
          <w:tcPr>
            <w:tcW w:w="191" w:type="dxa"/>
            <w:tcBorders/>
            <w:shd w:fill="CCEEFF" w:val="clear"/>
            <w:vAlign w:val="center"/>
          </w:tcPr>
          <w:p>
            <w:pPr>
              <w:pStyle w:val="TableContents"/>
              <w:bidi w:val="0"/>
              <w:spacing w:before="0" w:after="283"/>
              <w:jc w:val="left"/>
              <w:rPr>
                <w:color w:val="000000"/>
              </w:rPr>
            </w:pPr>
            <w:r>
              <w:rPr>
                <w:color w:val="000000"/>
              </w:rPr>
              <w:t> </w:t>
            </w:r>
          </w:p>
        </w:tc>
        <w:tc>
          <w:tcPr>
            <w:tcW w:w="1339" w:type="dxa"/>
            <w:tcBorders/>
            <w:shd w:fill="CCEEFF" w:val="clear"/>
            <w:vAlign w:val="center"/>
          </w:tcPr>
          <w:p>
            <w:pPr>
              <w:pStyle w:val="TableContents"/>
              <w:bidi w:val="0"/>
              <w:spacing w:before="0" w:after="283"/>
              <w:jc w:val="right"/>
              <w:rPr>
                <w:color w:val="000000"/>
              </w:rPr>
            </w:pPr>
            <w:r>
              <w:rPr>
                <w:color w:val="000000"/>
              </w:rPr>
              <w:t>337,000</w:t>
            </w:r>
          </w:p>
        </w:tc>
        <w:tc>
          <w:tcPr>
            <w:tcW w:w="82" w:type="dxa"/>
            <w:tcBorders/>
            <w:shd w:fill="CCEEFF" w:val="clear"/>
            <w:vAlign w:val="center"/>
          </w:tcPr>
          <w:p>
            <w:pPr>
              <w:pStyle w:val="TableContents"/>
              <w:bidi w:val="0"/>
              <w:spacing w:before="0" w:after="283"/>
              <w:jc w:val="left"/>
              <w:rPr>
                <w:color w:val="000000"/>
              </w:rPr>
            </w:pPr>
            <w:r>
              <w:rPr>
                <w:color w:val="000000"/>
              </w:rPr>
              <w:t> </w:t>
            </w:r>
            <w:bookmarkStart w:id="1008" w:name="xdx_40B_eus-gaap--AllocatedShareBasedCom"/>
            <w:bookmarkEnd w:id="1008"/>
          </w:p>
        </w:tc>
      </w:tr>
      <w:tr>
        <w:trPr/>
        <w:tc>
          <w:tcPr>
            <w:tcW w:w="3175" w:type="dxa"/>
            <w:tcBorders/>
            <w:shd w:fill="FFFFFF" w:val="clear"/>
            <w:vAlign w:val="center"/>
          </w:tcPr>
          <w:p>
            <w:pPr>
              <w:pStyle w:val="TableContents"/>
              <w:bidi w:val="0"/>
              <w:spacing w:before="0" w:after="283"/>
              <w:jc w:val="left"/>
              <w:rPr>
                <w:color w:val="000000"/>
              </w:rPr>
            </w:pPr>
            <w:r>
              <w:rPr>
                <w:color w:val="000000"/>
              </w:rPr>
              <w:t>Consultants – selling, general and administrative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406"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17,000</w:t>
            </w:r>
          </w:p>
        </w:tc>
        <w:tc>
          <w:tcPr>
            <w:tcW w:w="85" w:type="dxa"/>
            <w:tcBorders/>
            <w:shd w:fill="FFFFFF" w:val="clear"/>
            <w:vAlign w:val="center"/>
          </w:tcPr>
          <w:p>
            <w:pPr>
              <w:pStyle w:val="TableContents"/>
              <w:bidi w:val="0"/>
              <w:spacing w:before="0" w:after="283"/>
              <w:jc w:val="left"/>
              <w:rPr>
                <w:color w:val="000000"/>
              </w:rPr>
            </w:pPr>
            <w:r>
              <w:rPr>
                <w:color w:val="000000"/>
              </w:rPr>
              <w:t> </w:t>
            </w:r>
          </w:p>
        </w:tc>
        <w:tc>
          <w:tcPr>
            <w:tcW w:w="85" w:type="dxa"/>
            <w:tcBorders/>
            <w:shd w:fill="FFFFFF" w:val="clear"/>
            <w:vAlign w:val="center"/>
          </w:tcPr>
          <w:p>
            <w:pPr>
              <w:pStyle w:val="TableContents"/>
              <w:bidi w:val="0"/>
              <w:spacing w:before="0" w:after="283"/>
              <w:jc w:val="left"/>
              <w:rPr>
                <w:color w:val="000000"/>
              </w:rPr>
            </w:pPr>
            <w:r>
              <w:rPr>
                <w:color w:val="000000"/>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406"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33,000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03"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50,000</w:t>
            </w:r>
          </w:p>
        </w:tc>
        <w:tc>
          <w:tcPr>
            <w:tcW w:w="81" w:type="dxa"/>
            <w:tcBorders/>
            <w:shd w:fill="FFFFFF" w:val="clear"/>
            <w:vAlign w:val="center"/>
          </w:tcPr>
          <w:p>
            <w:pPr>
              <w:pStyle w:val="TableContents"/>
              <w:bidi w:val="0"/>
              <w:spacing w:before="0" w:after="283"/>
              <w:jc w:val="left"/>
              <w:rPr>
                <w:color w:val="000000"/>
              </w:rPr>
            </w:pPr>
            <w:r>
              <w:rPr>
                <w:color w:val="000000"/>
              </w:rPr>
              <w:t> </w:t>
            </w:r>
          </w:p>
        </w:tc>
        <w:tc>
          <w:tcPr>
            <w:tcW w:w="81" w:type="dxa"/>
            <w:tcBorders/>
            <w:shd w:fill="FFFFFF" w:val="clear"/>
            <w:vAlign w:val="center"/>
          </w:tcPr>
          <w:p>
            <w:pPr>
              <w:pStyle w:val="TableContents"/>
              <w:bidi w:val="0"/>
              <w:spacing w:before="0" w:after="283"/>
              <w:jc w:val="left"/>
              <w:rPr>
                <w:color w:val="000000"/>
              </w:rPr>
            </w:pPr>
            <w:r>
              <w:rPr>
                <w:color w:val="000000"/>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137,000</w:t>
            </w:r>
          </w:p>
        </w:tc>
        <w:tc>
          <w:tcPr>
            <w:tcW w:w="82" w:type="dxa"/>
            <w:tcBorders/>
            <w:shd w:fill="FFFFFF" w:val="clear"/>
            <w:vAlign w:val="center"/>
          </w:tcPr>
          <w:p>
            <w:pPr>
              <w:pStyle w:val="TableContents"/>
              <w:bidi w:val="0"/>
              <w:spacing w:before="0" w:after="283"/>
              <w:jc w:val="left"/>
              <w:rPr>
                <w:color w:val="000000"/>
              </w:rPr>
            </w:pPr>
            <w:r>
              <w:rPr>
                <w:color w:val="000000"/>
              </w:rPr>
              <w:t> </w:t>
            </w:r>
            <w:bookmarkStart w:id="1009" w:name="xdx_409_eus-gaap--AllocatedShareBasedCom"/>
            <w:bookmarkEnd w:id="1009"/>
          </w:p>
        </w:tc>
      </w:tr>
      <w:tr>
        <w:trPr/>
        <w:tc>
          <w:tcPr>
            <w:tcW w:w="3175" w:type="dxa"/>
            <w:tcBorders/>
            <w:shd w:fill="CCEEFF" w:val="clear"/>
            <w:vAlign w:val="center"/>
          </w:tcPr>
          <w:p>
            <w:pPr>
              <w:pStyle w:val="TableContents"/>
              <w:bidi w:val="0"/>
              <w:spacing w:before="0" w:after="283"/>
              <w:jc w:val="left"/>
              <w:rPr>
                <w:color w:val="000000"/>
              </w:rPr>
            </w:pPr>
            <w:r>
              <w:rPr>
                <w:color w:val="000000"/>
              </w:rPr>
              <w:t>Total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406"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4,476,000</w:t>
            </w:r>
          </w:p>
        </w:tc>
        <w:tc>
          <w:tcPr>
            <w:tcW w:w="85" w:type="dxa"/>
            <w:tcBorders/>
            <w:shd w:fill="CCEEFF" w:val="clear"/>
            <w:vAlign w:val="center"/>
          </w:tcPr>
          <w:p>
            <w:pPr>
              <w:pStyle w:val="TableContents"/>
              <w:bidi w:val="0"/>
              <w:spacing w:before="0" w:after="283"/>
              <w:jc w:val="left"/>
              <w:rPr>
                <w:color w:val="000000"/>
              </w:rPr>
            </w:pPr>
            <w:r>
              <w:rPr>
                <w:color w:val="000000"/>
              </w:rPr>
              <w:t> </w:t>
            </w:r>
          </w:p>
        </w:tc>
        <w:tc>
          <w:tcPr>
            <w:tcW w:w="85" w:type="dxa"/>
            <w:tcBorders/>
            <w:shd w:fill="CCEEFF" w:val="clear"/>
            <w:vAlign w:val="center"/>
          </w:tcPr>
          <w:p>
            <w:pPr>
              <w:pStyle w:val="TableContents"/>
              <w:bidi w:val="0"/>
              <w:spacing w:before="0" w:after="283"/>
              <w:jc w:val="left"/>
              <w:rPr>
                <w:color w:val="000000"/>
              </w:rPr>
            </w:pPr>
            <w:r>
              <w:rPr>
                <w:color w:val="000000"/>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406"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1,932,000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11,521,000</w:t>
            </w:r>
          </w:p>
        </w:tc>
        <w:tc>
          <w:tcPr>
            <w:tcW w:w="81" w:type="dxa"/>
            <w:tcBorders/>
            <w:shd w:fill="CCEEFF" w:val="clear"/>
            <w:vAlign w:val="center"/>
          </w:tcPr>
          <w:p>
            <w:pPr>
              <w:pStyle w:val="TableContents"/>
              <w:bidi w:val="0"/>
              <w:spacing w:before="0" w:after="283"/>
              <w:jc w:val="left"/>
              <w:rPr>
                <w:color w:val="000000"/>
              </w:rPr>
            </w:pPr>
            <w:r>
              <w:rPr>
                <w:color w:val="000000"/>
              </w:rPr>
              <w:t> </w:t>
            </w:r>
          </w:p>
        </w:tc>
        <w:tc>
          <w:tcPr>
            <w:tcW w:w="81" w:type="dxa"/>
            <w:tcBorders/>
            <w:shd w:fill="CCEEFF" w:val="clear"/>
            <w:vAlign w:val="center"/>
          </w:tcPr>
          <w:p>
            <w:pPr>
              <w:pStyle w:val="TableContents"/>
              <w:bidi w:val="0"/>
              <w:spacing w:before="0" w:after="283"/>
              <w:jc w:val="left"/>
              <w:rPr>
                <w:color w:val="000000"/>
              </w:rPr>
            </w:pPr>
            <w:r>
              <w:rPr>
                <w:color w:val="000000"/>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5,941,000</w:t>
            </w:r>
          </w:p>
        </w:tc>
        <w:tc>
          <w:tcPr>
            <w:tcW w:w="82"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bookmarkStart w:id="1010" w:name="xdx_8A5_zuPr2CoYwM0l"/>
      <w:bookmarkEnd w:id="1010"/>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11" w:name="xdx_80A_eus-gaap--CommitmentsAndContinge"/>
      <w:bookmarkEnd w:id="1011"/>
      <w:r>
        <w:rPr>
          <w:rFonts w:ascii="Times New Roman;Times;Serif" w:hAnsi="Times New Roman;Times;Serif"/>
          <w:b/>
          <w:i w:val="false"/>
          <w:caps w:val="false"/>
          <w:smallCaps w:val="false"/>
          <w:color w:val="000000"/>
          <w:sz w:val="20"/>
        </w:rPr>
        <w:t xml:space="preserve">NOTE 16. </w:t>
      </w:r>
      <w:bookmarkStart w:id="1012" w:name="xdx_824_zHlvt3833Nhj"/>
      <w:bookmarkEnd w:id="1012"/>
      <w:r>
        <w:rPr>
          <w:rFonts w:ascii="Times New Roman;Times;Serif" w:hAnsi="Times New Roman;Times;Serif"/>
          <w:b/>
          <w:i w:val="false"/>
          <w:caps w:val="false"/>
          <w:smallCaps w:val="false"/>
          <w:color w:val="000000"/>
          <w:sz w:val="20"/>
        </w:rPr>
        <w:t xml:space="preserve">COMMITMENTS AND CONTINGENCIES </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Legal</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General and Other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footnote or not) currently pending may have a material adverse effect on the Company’s condensed consolidated results of operations, financial position or cash flows.</w:t>
      </w:r>
    </w:p>
    <w:p>
      <w:pPr>
        <w:pStyle w:val="TextBody"/>
        <w:bidi w:val="0"/>
        <w:spacing w:before="0" w:after="0"/>
        <w:ind w:left="0" w:right="0" w:firstLine="45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45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Ocular Science, Inc. et. al</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ImprimisRx is seeking damages from OSRX. Since July 2021, the complaint has been amended and OSRX added counterclaims alleging ImprimisRx, LLC is violating the Lanham Act with false advertising. Both parties are seeking damages from the other. The Company expects the trial to take place in 2024.</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Product and Professional Liability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Indemnities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indemnifies Oaktree for certain claims and losses associated with the Oaktree Loan.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Klarity License Agreement – Related Party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entered into a license agreement in April 2017, as amended in April 2018 (the “Klarity License Agreement”), with Richard L. Lindstrom, M.D., a former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1013" w:name="xdx_909_ecustom--RoyaltyPaymentDescripti"/>
      <w:bookmarkEnd w:id="1013"/>
      <w:r>
        <w:rPr>
          <w:rFonts w:ascii="Times New Roman;Times;Serif" w:hAnsi="Times New Roman;Times;Serif"/>
          <w:b w:val="false"/>
          <w:i w:val="false"/>
          <w:caps w:val="false"/>
          <w:smallCaps w:val="false"/>
          <w:color w:val="000000"/>
          <w:sz w:val="20"/>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w:t>
      </w:r>
      <w:bookmarkStart w:id="1014" w:name="xdx_90E_eus-gaap--RoyaltyExpense_c201704"/>
      <w:bookmarkEnd w:id="1014"/>
      <w:r>
        <w:rPr>
          <w:rFonts w:ascii="Times New Roman;Times;Serif" w:hAnsi="Times New Roman;Times;Serif"/>
          <w:b w:val="false"/>
          <w:i w:val="false"/>
          <w:caps w:val="false"/>
          <w:smallCaps w:val="false"/>
          <w:color w:val="000000"/>
          <w:sz w:val="20"/>
        </w:rPr>
        <w:t>50,000 upon execution of the Klarity License Agreement, (ii) a second payment of $</w:t>
      </w:r>
      <w:bookmarkStart w:id="1015" w:name="xdx_905_eus-gaap--RoyaltyExpense_c201704"/>
      <w:bookmarkEnd w:id="1015"/>
      <w:r>
        <w:rPr>
          <w:rFonts w:ascii="Times New Roman;Times;Serif" w:hAnsi="Times New Roman;Times;Serif"/>
          <w:b w:val="false"/>
          <w:i w:val="false"/>
          <w:caps w:val="false"/>
          <w:smallCaps w:val="false"/>
          <w:color w:val="000000"/>
          <w:sz w:val="20"/>
        </w:rPr>
        <w:t>50,000 following the first $</w:t>
      </w:r>
      <w:bookmarkStart w:id="1016" w:name="xdx_907_ecustom--NetSalesRevenue_c201704"/>
      <w:bookmarkEnd w:id="1016"/>
      <w:r>
        <w:rPr>
          <w:rFonts w:ascii="Times New Roman;Times;Serif" w:hAnsi="Times New Roman;Times;Serif"/>
          <w:b w:val="false"/>
          <w:i w:val="false"/>
          <w:caps w:val="false"/>
          <w:smallCaps w:val="false"/>
          <w:color w:val="000000"/>
          <w:sz w:val="20"/>
        </w:rPr>
        <w:t>50,000 in net sales of the Klarity Product; and (iii) a final payment of $</w:t>
      </w:r>
      <w:bookmarkStart w:id="1017" w:name="xdx_90B_eus-gaap--RoyaltyExpense_c201704"/>
      <w:bookmarkEnd w:id="1017"/>
      <w:r>
        <w:rPr>
          <w:rFonts w:ascii="Times New Roman;Times;Serif" w:hAnsi="Times New Roman;Times;Serif"/>
          <w:b w:val="false"/>
          <w:i w:val="false"/>
          <w:caps w:val="false"/>
          <w:smallCaps w:val="false"/>
          <w:color w:val="000000"/>
          <w:sz w:val="20"/>
        </w:rPr>
        <w:t>50,000 following the first $</w:t>
      </w:r>
      <w:bookmarkStart w:id="1018" w:name="xdx_904_ecustom--NetSalesRevenue_c201704"/>
      <w:bookmarkEnd w:id="1018"/>
      <w:r>
        <w:rPr>
          <w:rFonts w:ascii="Times New Roman;Times;Serif" w:hAnsi="Times New Roman;Times;Serif"/>
          <w:b w:val="false"/>
          <w:i w:val="false"/>
          <w:caps w:val="false"/>
          <w:smallCaps w:val="false"/>
          <w:color w:val="000000"/>
          <w:sz w:val="20"/>
        </w:rPr>
        <w:t>100,000 in net sales of the Klarity Product. All of the above referenced milestone payments were payable at the Company’s election in cash or shares of the Company’s restricted common stock. Payments totaling $</w:t>
      </w:r>
      <w:bookmarkStart w:id="1019" w:name="xdx_906_ecustom--MilestonePaymentInCash_"/>
      <w:bookmarkEnd w:id="1019"/>
      <w:r>
        <w:rPr>
          <w:rFonts w:ascii="Times New Roman;Times;Serif" w:hAnsi="Times New Roman;Times;Serif"/>
          <w:b w:val="false"/>
          <w:i w:val="false"/>
          <w:caps w:val="false"/>
          <w:smallCaps w:val="false"/>
          <w:color w:val="000000"/>
          <w:sz w:val="20"/>
        </w:rPr>
        <w:t>0 and $</w:t>
      </w:r>
      <w:bookmarkStart w:id="1020" w:name="xdx_902_ecustom--MilestonePaymentInCash_"/>
      <w:bookmarkEnd w:id="1020"/>
      <w:r>
        <w:rPr>
          <w:rFonts w:ascii="Times New Roman;Times;Serif" w:hAnsi="Times New Roman;Times;Serif"/>
          <w:b w:val="false"/>
          <w:i w:val="false"/>
          <w:caps w:val="false"/>
          <w:smallCaps w:val="false"/>
          <w:color w:val="000000"/>
          <w:sz w:val="20"/>
        </w:rPr>
        <w:t>146,000 were made during the three and nine months ended September 30, 2023, respectively, compared to $</w:t>
      </w:r>
      <w:bookmarkStart w:id="1021" w:name="xdx_90E_ecustom--MilestonePaymentInCash_"/>
      <w:bookmarkEnd w:id="1021"/>
      <w:r>
        <w:rPr>
          <w:rFonts w:ascii="Times New Roman;Times;Serif" w:hAnsi="Times New Roman;Times;Serif"/>
          <w:b w:val="false"/>
          <w:i w:val="false"/>
          <w:caps w:val="false"/>
          <w:smallCaps w:val="false"/>
          <w:color w:val="000000"/>
          <w:sz w:val="20"/>
        </w:rPr>
        <w:t>77,000 and $</w:t>
      </w:r>
      <w:bookmarkStart w:id="1022" w:name="xdx_90D_ecustom--MilestonePaymentInCash_"/>
      <w:bookmarkEnd w:id="1022"/>
      <w:r>
        <w:rPr>
          <w:rFonts w:ascii="Times New Roman;Times;Serif" w:hAnsi="Times New Roman;Times;Serif"/>
          <w:b w:val="false"/>
          <w:i w:val="false"/>
          <w:caps w:val="false"/>
          <w:smallCaps w:val="false"/>
          <w:color w:val="000000"/>
          <w:sz w:val="20"/>
        </w:rPr>
        <w:t>199,000 during the same periods in 2022, respectively. Royalty expenses were $</w:t>
      </w:r>
      <w:bookmarkStart w:id="1023" w:name="xdx_908_eus-gaap--RoyaltyExpense_c202307"/>
      <w:bookmarkEnd w:id="1023"/>
      <w:r>
        <w:rPr>
          <w:rFonts w:ascii="Times New Roman;Times;Serif" w:hAnsi="Times New Roman;Times;Serif"/>
          <w:b w:val="false"/>
          <w:i w:val="false"/>
          <w:caps w:val="false"/>
          <w:smallCaps w:val="false"/>
          <w:color w:val="000000"/>
          <w:sz w:val="20"/>
        </w:rPr>
        <w:t>71,000 and $</w:t>
      </w:r>
      <w:bookmarkStart w:id="1024" w:name="xdx_900_eus-gaap--RoyaltyExpense_c202301"/>
      <w:bookmarkEnd w:id="1024"/>
      <w:r>
        <w:rPr>
          <w:rFonts w:ascii="Times New Roman;Times;Serif" w:hAnsi="Times New Roman;Times;Serif"/>
          <w:b w:val="false"/>
          <w:i w:val="false"/>
          <w:caps w:val="false"/>
          <w:smallCaps w:val="false"/>
          <w:color w:val="000000"/>
          <w:sz w:val="20"/>
        </w:rPr>
        <w:t>220,000 during the three and nine months ended September 30, 2023, respectively, compared to $</w:t>
      </w:r>
      <w:bookmarkStart w:id="1025" w:name="xdx_90F_eus-gaap--RoyaltyExpense_c202207"/>
      <w:bookmarkEnd w:id="1025"/>
      <w:r>
        <w:rPr>
          <w:rFonts w:ascii="Times New Roman;Times;Serif" w:hAnsi="Times New Roman;Times;Serif"/>
          <w:b w:val="false"/>
          <w:i w:val="false"/>
          <w:caps w:val="false"/>
          <w:smallCaps w:val="false"/>
          <w:color w:val="000000"/>
          <w:sz w:val="20"/>
        </w:rPr>
        <w:t>67,000 and $</w:t>
      </w:r>
      <w:bookmarkStart w:id="1026" w:name="xdx_90A_eus-gaap--RoyaltyExpense_c202201"/>
      <w:bookmarkEnd w:id="1026"/>
      <w:r>
        <w:rPr>
          <w:rFonts w:ascii="Times New Roman;Times;Serif" w:hAnsi="Times New Roman;Times;Serif"/>
          <w:b w:val="false"/>
          <w:i w:val="false"/>
          <w:caps w:val="false"/>
          <w:smallCaps w:val="false"/>
          <w:color w:val="000000"/>
          <w:sz w:val="20"/>
        </w:rPr>
        <w:t>244,000 during the same periods in 2022, respectively, and were included in accounts payable to Dr. Lindstrom.</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Injectable Asset Purchase Agreement – Related Party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December 2019, the Company entered into an asset purchase agreement (the “Lindstrom APA”) with Dr. Lindstrom, a former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1027" w:name="xdx_900_ecustom--RoyaltyPaymentDescripti"/>
      <w:bookmarkEnd w:id="1027"/>
      <w:r>
        <w:rPr>
          <w:rFonts w:ascii="Times New Roman;Times;Serif" w:hAnsi="Times New Roman;Times;Serif"/>
          <w:b w:val="false"/>
          <w:i w:val="false"/>
          <w:caps w:val="false"/>
          <w:smallCaps w:val="false"/>
          <w:color w:val="000000"/>
          <w:sz w:val="20"/>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w:t>
      </w:r>
      <w:bookmarkStart w:id="1028" w:name="xdx_903_ecustom--InitialMilestonePayment"/>
      <w:bookmarkEnd w:id="1028"/>
      <w:r>
        <w:rPr>
          <w:rFonts w:ascii="Times New Roman;Times;Serif" w:hAnsi="Times New Roman;Times;Serif"/>
          <w:b w:val="false"/>
          <w:i w:val="false"/>
          <w:caps w:val="false"/>
          <w:smallCaps w:val="false"/>
          <w:color w:val="000000"/>
          <w:sz w:val="20"/>
        </w:rPr>
        <w:t>33,000 that was due upon execution of the Lindstrom APA. Dr. Lindstrom was paid $</w:t>
      </w:r>
      <w:bookmarkStart w:id="1029" w:name="xdx_901_ecustom--MilestonePaymentInCash_"/>
      <w:bookmarkEnd w:id="1029"/>
      <w:r>
        <w:rPr>
          <w:rFonts w:ascii="Times New Roman;Times;Serif" w:hAnsi="Times New Roman;Times;Serif"/>
          <w:b w:val="false"/>
          <w:i w:val="false"/>
          <w:caps w:val="false"/>
          <w:smallCaps w:val="false"/>
          <w:color w:val="000000"/>
          <w:sz w:val="20"/>
        </w:rPr>
        <w:t>0 and $</w:t>
      </w:r>
      <w:bookmarkStart w:id="1030" w:name="xdx_906_ecustom--MilestonePaymentInCash_"/>
      <w:bookmarkEnd w:id="1030"/>
      <w:r>
        <w:rPr>
          <w:rFonts w:ascii="Times New Roman;Times;Serif" w:hAnsi="Times New Roman;Times;Serif"/>
          <w:b w:val="false"/>
          <w:i w:val="false"/>
          <w:caps w:val="false"/>
          <w:smallCaps w:val="false"/>
          <w:color w:val="000000"/>
          <w:sz w:val="20"/>
        </w:rPr>
        <w:t>17,000 in cash during the three and nine months ended September 30, 2023, respectively, and $</w:t>
      </w:r>
      <w:bookmarkStart w:id="1031" w:name="xdx_909_ecustom--MilestonePaymentInCash_"/>
      <w:bookmarkEnd w:id="1031"/>
      <w:r>
        <w:rPr>
          <w:rFonts w:ascii="Times New Roman;Times;Serif" w:hAnsi="Times New Roman;Times;Serif"/>
          <w:b w:val="false"/>
          <w:i w:val="false"/>
          <w:caps w:val="false"/>
          <w:smallCaps w:val="false"/>
          <w:color w:val="000000"/>
          <w:sz w:val="20"/>
        </w:rPr>
        <w:t>8,000 and $</w:t>
      </w:r>
      <w:bookmarkStart w:id="1032" w:name="xdx_90B_ecustom--MilestonePaymentInCash_"/>
      <w:bookmarkEnd w:id="1032"/>
      <w:r>
        <w:rPr>
          <w:rFonts w:ascii="Times New Roman;Times;Serif" w:hAnsi="Times New Roman;Times;Serif"/>
          <w:b w:val="false"/>
          <w:i w:val="false"/>
          <w:caps w:val="false"/>
          <w:smallCaps w:val="false"/>
          <w:color w:val="000000"/>
          <w:sz w:val="20"/>
        </w:rPr>
        <w:t>23,000 during the same periods in 2022, respectively. The Company incurred $</w:t>
      </w:r>
      <w:bookmarkStart w:id="1033" w:name="xdx_90E_eus-gaap--RoyaltyExpense_c202307"/>
      <w:bookmarkEnd w:id="1033"/>
      <w:r>
        <w:rPr>
          <w:rFonts w:ascii="Times New Roman;Times;Serif" w:hAnsi="Times New Roman;Times;Serif"/>
          <w:b w:val="false"/>
          <w:i w:val="false"/>
          <w:caps w:val="false"/>
          <w:smallCaps w:val="false"/>
          <w:color w:val="000000"/>
          <w:sz w:val="20"/>
        </w:rPr>
        <w:t>9,000 and $</w:t>
      </w:r>
      <w:bookmarkStart w:id="1034" w:name="xdx_907_eus-gaap--RoyaltyExpense_c202301"/>
      <w:bookmarkEnd w:id="1034"/>
      <w:r>
        <w:rPr>
          <w:rFonts w:ascii="Times New Roman;Times;Serif" w:hAnsi="Times New Roman;Times;Serif"/>
          <w:b w:val="false"/>
          <w:i w:val="false"/>
          <w:caps w:val="false"/>
          <w:smallCaps w:val="false"/>
          <w:color w:val="000000"/>
          <w:sz w:val="20"/>
        </w:rPr>
        <w:t>26,000 for royalty expenses related to the Lindstrom APA during the three and nine months ended September 30, 2023, respectively, and $</w:t>
      </w:r>
      <w:bookmarkStart w:id="1035" w:name="xdx_90F_eus-gaap--RoyaltyExpense_c202207"/>
      <w:bookmarkEnd w:id="1035"/>
      <w:r>
        <w:rPr>
          <w:rFonts w:ascii="Times New Roman;Times;Serif" w:hAnsi="Times New Roman;Times;Serif"/>
          <w:b w:val="false"/>
          <w:i w:val="false"/>
          <w:caps w:val="false"/>
          <w:smallCaps w:val="false"/>
          <w:color w:val="000000"/>
          <w:sz w:val="20"/>
        </w:rPr>
        <w:t>9,000 and $</w:t>
      </w:r>
      <w:bookmarkStart w:id="1036" w:name="xdx_90A_eus-gaap--RoyaltyExpense_c202201"/>
      <w:bookmarkEnd w:id="1036"/>
      <w:r>
        <w:rPr>
          <w:rFonts w:ascii="Times New Roman;Times;Serif" w:hAnsi="Times New Roman;Times;Serif"/>
          <w:b w:val="false"/>
          <w:i w:val="false"/>
          <w:caps w:val="false"/>
          <w:smallCaps w:val="false"/>
          <w:color w:val="000000"/>
          <w:sz w:val="20"/>
        </w:rPr>
        <w:t>24,000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Asset Purchase, License and Related Agreements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nine months ended September 30, 2023, $</w:t>
      </w:r>
      <w:bookmarkStart w:id="1037" w:name="xdx_90F_eus-gaap--RoyaltyExpense_c202307"/>
      <w:bookmarkEnd w:id="1037"/>
      <w:r>
        <w:rPr>
          <w:rFonts w:ascii="Times New Roman;Times;Serif" w:hAnsi="Times New Roman;Times;Serif"/>
          <w:b w:val="false"/>
          <w:i w:val="false"/>
          <w:caps w:val="false"/>
          <w:smallCaps w:val="false"/>
          <w:color w:val="000000"/>
          <w:sz w:val="20"/>
        </w:rPr>
        <w:t>220,000 and $</w:t>
      </w:r>
      <w:bookmarkStart w:id="1038" w:name="xdx_900_eus-gaap--RoyaltyExpense_c202301"/>
      <w:bookmarkEnd w:id="1038"/>
      <w:r>
        <w:rPr>
          <w:rFonts w:ascii="Times New Roman;Times;Serif" w:hAnsi="Times New Roman;Times;Serif"/>
          <w:b w:val="false"/>
          <w:i w:val="false"/>
          <w:caps w:val="false"/>
          <w:smallCaps w:val="false"/>
          <w:color w:val="000000"/>
          <w:sz w:val="20"/>
        </w:rPr>
        <w:t>705,000 were incurred under these agreements as royalty expenses, respectively, and $</w:t>
      </w:r>
      <w:bookmarkStart w:id="1039" w:name="xdx_901_eus-gaap--RoyaltyExpense_c202207"/>
      <w:bookmarkEnd w:id="1039"/>
      <w:r>
        <w:rPr>
          <w:rFonts w:ascii="Times New Roman;Times;Serif" w:hAnsi="Times New Roman;Times;Serif"/>
          <w:b w:val="false"/>
          <w:i w:val="false"/>
          <w:caps w:val="false"/>
          <w:smallCaps w:val="false"/>
          <w:color w:val="000000"/>
          <w:sz w:val="20"/>
        </w:rPr>
        <w:t>185,000 and $</w:t>
      </w:r>
      <w:bookmarkStart w:id="1040" w:name="xdx_90D_eus-gaap--RoyaltyExpense_c202201"/>
      <w:bookmarkEnd w:id="1040"/>
      <w:r>
        <w:rPr>
          <w:rFonts w:ascii="Times New Roman;Times;Serif" w:hAnsi="Times New Roman;Times;Serif"/>
          <w:b w:val="false"/>
          <w:i w:val="false"/>
          <w:caps w:val="false"/>
          <w:smallCaps w:val="false"/>
          <w:color w:val="000000"/>
          <w:sz w:val="20"/>
        </w:rPr>
        <w:t>695,000 during the same periods in 2022, respectively.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Sintetica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2021, the Company entered into a License and Supply Agreement (the “Sintetica Agreement”) with Sintetica S.A. (“Sintetica”), pursuant to which Sintetica granted the Company the exclusive license and marketing rights to its patented ophthalmic drug candidate (“IHEEZO”) in the U.S. and Canada.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Sintetica Agreement, the Company agreed to pay Sintetica a per unit transfer price to supply IHEEZO, along with a per unit royalty for units sold. The Company is required to pay Sintetica up to $</w:t>
      </w:r>
      <w:bookmarkStart w:id="1041" w:name="xdx_903_eus-gaap--PaymentsForRoyalties_c"/>
      <w:bookmarkEnd w:id="1041"/>
      <w:r>
        <w:rPr>
          <w:rFonts w:ascii="Times New Roman;Times;Serif" w:hAnsi="Times New Roman;Times;Serif"/>
          <w:b w:val="false"/>
          <w:i w:val="false"/>
          <w:caps w:val="false"/>
          <w:smallCaps w:val="false"/>
          <w:color w:val="000000"/>
          <w:sz w:val="20"/>
        </w:rPr>
        <w:t>18,000,000 in one-time milestone payments including a $</w:t>
      </w:r>
      <w:bookmarkStart w:id="1042" w:name="xdx_900_eus-gaap--PaymentsForRoyalties_c"/>
      <w:bookmarkEnd w:id="1042"/>
      <w:r>
        <w:rPr>
          <w:rFonts w:ascii="Times New Roman;Times;Serif" w:hAnsi="Times New Roman;Times;Serif"/>
          <w:b w:val="false"/>
          <w:i w:val="false"/>
          <w:caps w:val="false"/>
          <w:smallCaps w:val="false"/>
          <w:color w:val="000000"/>
          <w:sz w:val="20"/>
        </w:rPr>
        <w:t xml:space="preserve">5,000,000 payment (the “Upfront Payment”) that was due within 30 days of signing the Sintetica Agreement and the balance of payments due upon achievement of certain regulatory and commercial milestones. Under the terms of the Sintetica Agreement, Sintetica was responsible for regulatory filings for IHEEZO in the U.S. As of September 30, 2023, the Company had paid all milestone amounts due under the Sintetica Agreement, and all commercial milestones were previously capitalized as an intangible asset. </w:t>
      </w:r>
      <w:r>
        <w:rPr>
          <w:rFonts w:ascii="Times New Roman;Times;Serif" w:hAnsi="Times New Roman;Times;Serif"/>
          <w:b w:val="false"/>
          <w:i w:val="false"/>
          <w:caps w:val="false"/>
          <w:smallCaps w:val="false"/>
          <w:color w:val="000000"/>
          <w:sz w:val="20"/>
          <w:shd w:fill="FFFFFF" w:val="clear"/>
        </w:rPr>
        <w:t>In August 2023, the Company amended the Sintetica Agreement to allow for early payment of previously accrued amounts for commercial related milestones associated with sales of IHEEZO in exchange for a $</w:t>
      </w:r>
      <w:bookmarkStart w:id="1043" w:name="xdx_90C_ecustom--ReductionInMilestoneAmo"/>
      <w:bookmarkEnd w:id="1043"/>
      <w:r>
        <w:rPr>
          <w:rFonts w:ascii="Times New Roman;Times;Serif" w:hAnsi="Times New Roman;Times;Serif"/>
          <w:b w:val="false"/>
          <w:i w:val="false"/>
          <w:caps w:val="false"/>
          <w:smallCaps w:val="false"/>
          <w:color w:val="000000"/>
          <w:sz w:val="20"/>
          <w:shd w:fill="FFFFFF" w:val="clear"/>
        </w:rPr>
        <w:t>550,000 reduction in the milestone amounts due, and as a result of this amendment, the Company reduced the intangible asset value associated with IHEEZO by $</w:t>
      </w:r>
      <w:bookmarkStart w:id="1044" w:name="xdx_90C_ecustom--ReductionInMilestoneAmo"/>
      <w:bookmarkEnd w:id="1044"/>
      <w:r>
        <w:rPr>
          <w:rFonts w:ascii="Times New Roman;Times;Serif" w:hAnsi="Times New Roman;Times;Serif"/>
          <w:b w:val="false"/>
          <w:i w:val="false"/>
          <w:caps w:val="false"/>
          <w:smallCaps w:val="false"/>
          <w:color w:val="000000"/>
          <w:sz w:val="20"/>
          <w:shd w:fill="FFFFFF" w:val="clear"/>
        </w:rPr>
        <w:t>550,000 and paid the remaining commercial milestone amount of $</w:t>
      </w:r>
      <w:bookmarkStart w:id="1045" w:name="xdx_903_ecustom--PaymentForMilestone_c20"/>
      <w:bookmarkStart w:id="1046" w:name="xdx_905_ecustom--PaymentForMilestone_c20"/>
      <w:bookmarkEnd w:id="1045"/>
      <w:bookmarkEnd w:id="1046"/>
      <w:r>
        <w:rPr>
          <w:rFonts w:ascii="Times New Roman;Times;Serif" w:hAnsi="Times New Roman;Times;Serif"/>
          <w:b w:val="false"/>
          <w:i w:val="false"/>
          <w:caps w:val="false"/>
          <w:smallCaps w:val="false"/>
          <w:color w:val="000000"/>
          <w:sz w:val="20"/>
          <w:shd w:fill="FFFFFF" w:val="clear"/>
        </w:rPr>
        <w:t>4,450,000 during the three and nine months ended September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Subject to certain limitations, the Sintetica Agreement has a ten-year term, and allows for a ten-year extension if certain sales thresholds are met.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Wakamoto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Wakamoto Agreements, Wakamoto will supply MAQ-100 to the Company, and the Company will pay Wakamoto a per unit transfer price to supply MAQ-100. In addition, the Company is required to pay Wakamoto various one-time milestone payments totaling up to $</w:t>
      </w:r>
      <w:bookmarkStart w:id="1047" w:name="xdx_901_eus-gaap--PaymentsForRoyalties_c"/>
      <w:bookmarkEnd w:id="1047"/>
      <w:r>
        <w:rPr>
          <w:rFonts w:ascii="Times New Roman;Times;Serif" w:hAnsi="Times New Roman;Times;Serif"/>
          <w:b w:val="false"/>
          <w:i w:val="false"/>
          <w:caps w:val="false"/>
          <w:smallCaps w:val="false"/>
          <w:color w:val="000000"/>
          <w:sz w:val="20"/>
        </w:rPr>
        <w:t>2,000,000 upon the achievement of certain regulatory milestones and up to $</w:t>
      </w:r>
      <w:bookmarkStart w:id="1048" w:name="xdx_900_ecustom--CommercialPaymentsForRo"/>
      <w:bookmarkEnd w:id="1048"/>
      <w:r>
        <w:rPr>
          <w:rFonts w:ascii="Times New Roman;Times;Serif" w:hAnsi="Times New Roman;Times;Serif"/>
          <w:b w:val="false"/>
          <w:i w:val="false"/>
          <w:caps w:val="false"/>
          <w:smallCaps w:val="false"/>
          <w:color w:val="000000"/>
          <w:sz w:val="20"/>
        </w:rPr>
        <w:t>6,200,000 upon the achievement of certain commercial milestones. Under the terms of the Wakamoto Agreements, the Company will be responsible for regulatory filings and fees for MAQ-100 in the U.S. and Canada. Through September 30, 2023, no amounts have been paid or accrued under the Wakamoto Agreements.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Subject to certain limitations, the term of the Wakamoto Agreements is for five years from the date of the FDA’s market approval of MAQ-100 and may be extended for a five-year period if certain unit sales thresholds are met.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Eyepoint Commercial Alliance Agreement – Terminated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August 2020, the Company, through its wholly owned subsidiary ImprimisRx, LLC, entered into a Commercial Alliance Agreement (the “Dexycu Agreement”) with Eyepoint Pharmaceuticals, Inc. (“Eyepoint”), pursuant to which Eyepoint granted the Company the non-exclusive right to co-promote DEXYCU</w:t>
      </w:r>
      <w:r>
        <w:rPr>
          <w:rFonts w:ascii="Times New Roman;Times;Serif" w:hAnsi="Times New Roman;Times;Serif"/>
          <w:b w:val="false"/>
          <w:i w:val="false"/>
          <w:caps w:val="false"/>
          <w:smallCaps w:val="false"/>
          <w:color w:val="000000"/>
          <w:position w:val="7"/>
          <w:sz w:val="16"/>
          <w:sz w:val="20"/>
        </w:rPr>
        <w:t>®</w:t>
      </w:r>
      <w:r>
        <w:rPr>
          <w:rFonts w:ascii="Times New Roman;Times;Serif" w:hAnsi="Times New Roman;Times;Serif"/>
          <w:b w:val="false"/>
          <w:i w:val="false"/>
          <w:caps w:val="false"/>
          <w:smallCaps w:val="false"/>
          <w:color w:val="000000"/>
          <w:sz w:val="20"/>
        </w:rPr>
        <w:t xml:space="preserve"> (dexamethasone intraocular suspension) 9% (“DEXYCU”) for the treatment of post-operative inflammation following ocular surgery in the United States. Pursuant to the Dexycu Agreement, Eyepoint pays the Company a fee calculated based on the quarterly sales of DEXYCU in excess of predefined volumes to specific customers of the Company in the U.S. Under the terms of the Dexycu Agreement, the Company agreed to use commercially reasonable efforts to promote and market DEXYCU in the U.S.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a mutual termination agreement entered into on October 7, 2022, the Dexycu Agreement terminated on January 1, 2023. Following the preliminary Hospital Outpatient Prospective Payment System (HOPPS) rule proposed by the Centers for Medicare &amp; Medicaid Services (CMS) in July of 2022, which did not contain an extension of the pass-through payment period for DEXYCU beyond December 31, 2022, the Company entered into a Mutual Termination Agreement (the “Termination Agreement”) with Eyepoint on October 7, 2022, pursuant to which Eyepoint and the Company agreed (a) that the Company would continue to support the sale of DEXYCU through the fourth quarter of 2022, consistent with the Company’s level of effort during the January through September 2022 period, (b) to decrease the required minimum quarterly sales levels based on DEXYCU unit demand for the fourth quarter of 2022, and (c) to terminate the Dexycu Agreement, along with ancillary letter agreements, effective January 1,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nine months ended September 30, 2022, the Company recorded $</w:t>
      </w:r>
      <w:bookmarkStart w:id="1049" w:name="xdx_908_ecustom--CommissionRevenues_c202"/>
      <w:bookmarkEnd w:id="1049"/>
      <w:r>
        <w:rPr>
          <w:rFonts w:ascii="Times New Roman;Times;Serif" w:hAnsi="Times New Roman;Times;Serif"/>
          <w:b w:val="false"/>
          <w:i w:val="false"/>
          <w:caps w:val="false"/>
          <w:smallCaps w:val="false"/>
          <w:color w:val="000000"/>
          <w:sz w:val="20"/>
        </w:rPr>
        <w:t>1,044,000 and $</w:t>
      </w:r>
      <w:bookmarkStart w:id="1050" w:name="xdx_90B_ecustom--CommissionRevenues_c202"/>
      <w:bookmarkEnd w:id="1050"/>
      <w:r>
        <w:rPr>
          <w:rFonts w:ascii="Times New Roman;Times;Serif" w:hAnsi="Times New Roman;Times;Serif"/>
          <w:b w:val="false"/>
          <w:i w:val="false"/>
          <w:caps w:val="false"/>
          <w:smallCaps w:val="false"/>
          <w:color w:val="000000"/>
          <w:sz w:val="20"/>
        </w:rPr>
        <w:t>3,576,000, respectively, in commission revenues related to the Dexycu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Sales and Marketing Agreements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had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bookmarkStart w:id="1051" w:name="xdx_901_ecustom--DescriptionForCommissio"/>
      <w:bookmarkEnd w:id="1051"/>
      <w:r>
        <w:rPr>
          <w:rFonts w:ascii="Times New Roman;Times;Serif" w:hAnsi="Times New Roman;Times;Serif"/>
          <w:b w:val="false"/>
          <w:i w:val="false"/>
          <w:caps w:val="false"/>
          <w:smallCaps w:val="false"/>
          <w:color w:val="000000"/>
          <w:sz w:val="20"/>
        </w:rPr>
        <w:t>Under the terms of the sales and marketing agreements, the Company was generally required to make commission payments equal to 10% to 14% of net sales for products above and beyond the initial existing sales amounts. In addition, the Company was required to make periodic milestone payments to certain organizations in shares of the Company’s restricted common stock if net sales in the assigned territory reach certain future levels by the end of their terms. Commission expenses of $</w:t>
      </w:r>
      <w:bookmarkStart w:id="1052" w:name="xdx_902_eus-gaap--SalesCommissionsAndFee"/>
      <w:bookmarkEnd w:id="1052"/>
      <w:r>
        <w:rPr>
          <w:rFonts w:ascii="Times New Roman;Times;Serif" w:hAnsi="Times New Roman;Times;Serif"/>
          <w:b w:val="false"/>
          <w:i w:val="false"/>
          <w:caps w:val="false"/>
          <w:smallCaps w:val="false"/>
          <w:color w:val="000000"/>
          <w:sz w:val="20"/>
        </w:rPr>
        <w:t>0 and $</w:t>
      </w:r>
      <w:bookmarkStart w:id="1053" w:name="xdx_90C_eus-gaap--SalesCommissionsAndFee"/>
      <w:bookmarkEnd w:id="1053"/>
      <w:r>
        <w:rPr>
          <w:rFonts w:ascii="Times New Roman;Times;Serif" w:hAnsi="Times New Roman;Times;Serif"/>
          <w:b w:val="false"/>
          <w:i w:val="false"/>
          <w:caps w:val="false"/>
          <w:smallCaps w:val="false"/>
          <w:color w:val="000000"/>
          <w:sz w:val="20"/>
        </w:rPr>
        <w:t>130,000 were incurred under these agreements for commission expenses during the three and nine months ended September 30, 2023, respectively, and $</w:t>
      </w:r>
      <w:bookmarkStart w:id="1054" w:name="xdx_90F_eus-gaap--SalesCommissionsAndFee"/>
      <w:bookmarkEnd w:id="1054"/>
      <w:r>
        <w:rPr>
          <w:rFonts w:ascii="Times New Roman;Times;Serif" w:hAnsi="Times New Roman;Times;Serif"/>
          <w:b w:val="false"/>
          <w:i w:val="false"/>
          <w:caps w:val="false"/>
          <w:smallCaps w:val="false"/>
          <w:color w:val="000000"/>
          <w:sz w:val="20"/>
        </w:rPr>
        <w:t>1,041,000 and $</w:t>
      </w:r>
      <w:bookmarkStart w:id="1055" w:name="xdx_907_eus-gaap--SalesCommissionsAndFee"/>
      <w:bookmarkEnd w:id="1055"/>
      <w:r>
        <w:rPr>
          <w:rFonts w:ascii="Times New Roman;Times;Serif" w:hAnsi="Times New Roman;Times;Serif"/>
          <w:b w:val="false"/>
          <w:i w:val="false"/>
          <w:caps w:val="false"/>
          <w:smallCaps w:val="false"/>
          <w:color w:val="000000"/>
          <w:sz w:val="20"/>
        </w:rPr>
        <w:t>3,188,000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56" w:name="xdx_803_eus-gaap--SegmentReportingDisclo"/>
      <w:bookmarkEnd w:id="1056"/>
      <w:r>
        <w:rPr>
          <w:rFonts w:ascii="Times New Roman;Times;Serif" w:hAnsi="Times New Roman;Times;Serif"/>
          <w:b/>
          <w:i w:val="false"/>
          <w:caps w:val="false"/>
          <w:smallCaps w:val="false"/>
          <w:color w:val="000000"/>
          <w:sz w:val="20"/>
        </w:rPr>
        <w:t xml:space="preserve">NOTE 17. </w:t>
      </w:r>
      <w:bookmarkStart w:id="1057" w:name="xdx_824_zbVXHHGzhW63"/>
      <w:bookmarkEnd w:id="1057"/>
      <w:r>
        <w:rPr>
          <w:rFonts w:ascii="Times New Roman;Times;Serif" w:hAnsi="Times New Roman;Times;Serif"/>
          <w:b/>
          <w:i w:val="false"/>
          <w:caps w:val="false"/>
          <w:smallCaps w:val="false"/>
          <w:color w:val="000000"/>
          <w:sz w:val="20"/>
        </w:rPr>
        <w:t>SEGMENTS AND CONCENTRATIONS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operates its business on the basis of a single reportable segment, which is the business of discovery, development, and commercialization of innovative ophthalmic therapies. The Company’s chief operating decision-maker is the Chief Executive Officer, who evaluates the Company as a single operating segment.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has two products that each accounted for more than 10% of total revenues during the three and nine months ended September 30, 2023. The Company had two and three products that each accounted for more than 10% of total revenues during the three and nine months ended September 30, 2022, respectively. These products collectively accounted for </w:t>
      </w:r>
      <w:bookmarkStart w:id="1058" w:name="xdx_90B_eus-gaap--ConcentrationRiskPerce"/>
      <w:bookmarkEnd w:id="1058"/>
      <w:r>
        <w:rPr>
          <w:rFonts w:ascii="Times New Roman;Times;Serif" w:hAnsi="Times New Roman;Times;Serif"/>
          <w:b w:val="false"/>
          <w:i w:val="false"/>
          <w:caps w:val="false"/>
          <w:smallCaps w:val="false"/>
          <w:color w:val="000000"/>
          <w:sz w:val="20"/>
        </w:rPr>
        <w:t xml:space="preserve">32% and </w:t>
      </w:r>
      <w:bookmarkStart w:id="1059" w:name="xdx_90C_eus-gaap--ConcentrationRiskPerce"/>
      <w:bookmarkEnd w:id="1059"/>
      <w:r>
        <w:rPr>
          <w:rFonts w:ascii="Times New Roman;Times;Serif" w:hAnsi="Times New Roman;Times;Serif"/>
          <w:b w:val="false"/>
          <w:i w:val="false"/>
          <w:caps w:val="false"/>
          <w:smallCaps w:val="false"/>
          <w:color w:val="000000"/>
          <w:sz w:val="20"/>
        </w:rPr>
        <w:t xml:space="preserve">35% of revenues during the three and nine months ended September 30, 2023, respectively, and </w:t>
      </w:r>
      <w:bookmarkStart w:id="1060" w:name="xdx_905_eus-gaap--ConcentrationRiskPerce"/>
      <w:bookmarkEnd w:id="1060"/>
      <w:r>
        <w:rPr>
          <w:rFonts w:ascii="Times New Roman;Times;Serif" w:hAnsi="Times New Roman;Times;Serif"/>
          <w:b w:val="false"/>
          <w:i w:val="false"/>
          <w:caps w:val="false"/>
          <w:smallCaps w:val="false"/>
          <w:color w:val="000000"/>
          <w:sz w:val="20"/>
        </w:rPr>
        <w:t xml:space="preserve">34% and </w:t>
      </w:r>
      <w:bookmarkStart w:id="1061" w:name="xdx_909_eus-gaap--ConcentrationRiskPerce"/>
      <w:bookmarkEnd w:id="1061"/>
      <w:r>
        <w:rPr>
          <w:rFonts w:ascii="Times New Roman;Times;Serif" w:hAnsi="Times New Roman;Times;Serif"/>
          <w:b w:val="false"/>
          <w:i w:val="false"/>
          <w:caps w:val="false"/>
          <w:smallCaps w:val="false"/>
          <w:color w:val="000000"/>
          <w:sz w:val="20"/>
        </w:rPr>
        <w:t>33%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As of September 30, 2023 and December 31, 2022, accounts receivable from a single customer accounted for </w:t>
      </w:r>
      <w:bookmarkStart w:id="1062" w:name="xdx_909_eus-gaap--ConcentrationRiskPerce"/>
      <w:bookmarkEnd w:id="1062"/>
      <w:r>
        <w:rPr>
          <w:rFonts w:ascii="Times New Roman;Times;Serif" w:hAnsi="Times New Roman;Times;Serif"/>
          <w:b w:val="false"/>
          <w:i w:val="false"/>
          <w:caps w:val="false"/>
          <w:smallCaps w:val="false"/>
          <w:color w:val="000000"/>
          <w:sz w:val="20"/>
        </w:rPr>
        <w:t xml:space="preserve">48% and </w:t>
      </w:r>
      <w:bookmarkStart w:id="1063" w:name="xdx_90E_eus-gaap--ConcentrationRiskPerce"/>
      <w:bookmarkEnd w:id="1063"/>
      <w:r>
        <w:rPr>
          <w:rFonts w:ascii="Times New Roman;Times;Serif" w:hAnsi="Times New Roman;Times;Serif"/>
          <w:b w:val="false"/>
          <w:i w:val="false"/>
          <w:caps w:val="false"/>
          <w:smallCaps w:val="false"/>
          <w:color w:val="000000"/>
          <w:sz w:val="20"/>
        </w:rPr>
        <w:t xml:space="preserve">0% of total accounts receivable, respectively. For the three and nine months ended September 30, 2023, revenues from a single customer accounted for </w:t>
      </w:r>
      <w:bookmarkStart w:id="1064" w:name="xdx_90D_eus-gaap--ConcentrationRiskPerce"/>
      <w:bookmarkEnd w:id="1064"/>
      <w:r>
        <w:rPr>
          <w:rFonts w:ascii="Times New Roman;Times;Serif" w:hAnsi="Times New Roman;Times;Serif"/>
          <w:b w:val="false"/>
          <w:i w:val="false"/>
          <w:caps w:val="false"/>
          <w:smallCaps w:val="false"/>
          <w:color w:val="000000"/>
          <w:sz w:val="20"/>
        </w:rPr>
        <w:t xml:space="preserve">35% and </w:t>
      </w:r>
      <w:bookmarkStart w:id="1065" w:name="xdx_90E_eus-gaap--ConcentrationRiskPerce"/>
      <w:bookmarkEnd w:id="1065"/>
      <w:r>
        <w:rPr>
          <w:rFonts w:ascii="Times New Roman;Times;Serif" w:hAnsi="Times New Roman;Times;Serif"/>
          <w:b w:val="false"/>
          <w:i w:val="false"/>
          <w:caps w:val="false"/>
          <w:smallCaps w:val="false"/>
          <w:color w:val="000000"/>
          <w:sz w:val="20"/>
        </w:rPr>
        <w:t>23% of total revenues, respectively. For the three and nine months ended September 30, 2022, no customer exceeded 10% of total revenues.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Company receives its active pharmaceutical ingredients from three main suppliers. These suppliers collectively accounted for </w:t>
      </w:r>
      <w:bookmarkStart w:id="1066" w:name="xdx_906_eus-gaap--ConcentrationRiskPerce"/>
      <w:bookmarkEnd w:id="1066"/>
      <w:r>
        <w:rPr>
          <w:rFonts w:ascii="Times New Roman;Times;Serif" w:hAnsi="Times New Roman;Times;Serif"/>
          <w:b w:val="false"/>
          <w:i w:val="false"/>
          <w:caps w:val="false"/>
          <w:smallCaps w:val="false"/>
          <w:color w:val="000000"/>
          <w:sz w:val="20"/>
        </w:rPr>
        <w:t xml:space="preserve">96% and </w:t>
      </w:r>
      <w:bookmarkStart w:id="1067" w:name="xdx_900_eus-gaap--ConcentrationRiskPerce"/>
      <w:bookmarkEnd w:id="1067"/>
      <w:r>
        <w:rPr>
          <w:rFonts w:ascii="Times New Roman;Times;Serif" w:hAnsi="Times New Roman;Times;Serif"/>
          <w:b w:val="false"/>
          <w:i w:val="false"/>
          <w:caps w:val="false"/>
          <w:smallCaps w:val="false"/>
          <w:color w:val="000000"/>
          <w:sz w:val="20"/>
        </w:rPr>
        <w:t xml:space="preserve">79% of active pharmaceutical ingredient purchases during the three and nine months ended September 30, 2023, respectively, and </w:t>
      </w:r>
      <w:bookmarkStart w:id="1068" w:name="xdx_90A_eus-gaap--ConcentrationRiskPerce"/>
      <w:bookmarkEnd w:id="1068"/>
      <w:r>
        <w:rPr>
          <w:rFonts w:ascii="Times New Roman;Times;Serif" w:hAnsi="Times New Roman;Times;Serif"/>
          <w:b w:val="false"/>
          <w:i w:val="false"/>
          <w:caps w:val="false"/>
          <w:smallCaps w:val="false"/>
          <w:color w:val="000000"/>
          <w:sz w:val="20"/>
        </w:rPr>
        <w:t xml:space="preserve">52% and </w:t>
      </w:r>
      <w:bookmarkStart w:id="1069" w:name="xdx_906_eus-gaap--ConcentrationRiskPerce"/>
      <w:bookmarkEnd w:id="1069"/>
      <w:r>
        <w:rPr>
          <w:rFonts w:ascii="Times New Roman;Times;Serif" w:hAnsi="Times New Roman;Times;Serif"/>
          <w:b w:val="false"/>
          <w:i w:val="false"/>
          <w:caps w:val="false"/>
          <w:smallCaps w:val="false"/>
          <w:color w:val="000000"/>
          <w:sz w:val="20"/>
        </w:rPr>
        <w:t>66% during the same periods in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70" w:name="xdx_802_eus-gaap--SubsequentEventsTextBl"/>
      <w:bookmarkEnd w:id="1070"/>
      <w:r>
        <w:rPr>
          <w:rFonts w:ascii="Times New Roman;Times;Serif" w:hAnsi="Times New Roman;Times;Serif"/>
          <w:b/>
          <w:i w:val="false"/>
          <w:caps w:val="false"/>
          <w:smallCaps w:val="false"/>
          <w:color w:val="000000"/>
          <w:sz w:val="20"/>
        </w:rPr>
        <w:t xml:space="preserve">NOTE 18. </w:t>
      </w:r>
      <w:bookmarkStart w:id="1071" w:name="xdx_820_zub2Mcwstl3e"/>
      <w:bookmarkEnd w:id="1071"/>
      <w:r>
        <w:rPr>
          <w:rFonts w:ascii="Times New Roman;Times;Serif" w:hAnsi="Times New Roman;Times;Serif"/>
          <w:b/>
          <w:i w:val="false"/>
          <w:caps w:val="false"/>
          <w:smallCaps w:val="false"/>
          <w:color w:val="000000"/>
          <w:sz w:val="20"/>
        </w:rPr>
        <w:t>SUBSEQUENT EVENTS</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has performed an evaluation of events occurring subsequent to September 30, 2023 through the filing date of this Quarterly Report on Form 10-Q. Based on its evaluation, no events other than those described below need to be disclosed.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 November 2023, the Company issued </w:t>
      </w:r>
      <w:bookmarkStart w:id="1072" w:name="xdx_90A_eus-gaap--StockIssuedDuringPerio"/>
      <w:bookmarkEnd w:id="1072"/>
      <w:r>
        <w:rPr>
          <w:rFonts w:ascii="Times New Roman;Times;Serif" w:hAnsi="Times New Roman;Times;Serif"/>
          <w:b w:val="false"/>
          <w:i w:val="false"/>
          <w:caps w:val="false"/>
          <w:smallCaps w:val="false"/>
          <w:color w:val="000000"/>
          <w:sz w:val="20"/>
        </w:rPr>
        <w:t>125 shares of common stock and received proceeds of $</w:t>
      </w:r>
      <w:bookmarkStart w:id="1073" w:name="xdx_90C_eus-gaap--ProceedsFromIssuanceOf"/>
      <w:bookmarkEnd w:id="1073"/>
      <w:r>
        <w:rPr>
          <w:rFonts w:ascii="Times New Roman;Times;Serif" w:hAnsi="Times New Roman;Times;Serif"/>
          <w:b w:val="false"/>
          <w:i w:val="false"/>
          <w:caps w:val="false"/>
          <w:smallCaps w:val="false"/>
          <w:color w:val="000000"/>
          <w:sz w:val="20"/>
        </w:rPr>
        <w:t xml:space="preserve">1,000 upon the exercise of options to purchase </w:t>
      </w:r>
      <w:bookmarkStart w:id="1074" w:name="xdx_90D_ecustom--OptionsToPurchaseCommon"/>
      <w:bookmarkEnd w:id="1074"/>
      <w:r>
        <w:rPr>
          <w:rFonts w:ascii="Times New Roman;Times;Serif" w:hAnsi="Times New Roman;Times;Serif"/>
          <w:b w:val="false"/>
          <w:i w:val="false"/>
          <w:caps w:val="false"/>
          <w:smallCaps w:val="false"/>
          <w:color w:val="000000"/>
          <w:sz w:val="20"/>
        </w:rPr>
        <w:t>125 shares of common stock with exercise price of $</w:t>
      </w:r>
      <w:bookmarkStart w:id="1075" w:name="xdx_906_eus-gaap--ShareBasedCompensation"/>
      <w:bookmarkEnd w:id="1075"/>
      <w:r>
        <w:rPr>
          <w:rFonts w:ascii="Times New Roman;Times;Serif" w:hAnsi="Times New Roman;Times;Serif"/>
          <w:b w:val="false"/>
          <w:i w:val="false"/>
          <w:caps w:val="false"/>
          <w:smallCaps w:val="false"/>
          <w:color w:val="000000"/>
          <w:sz w:val="20"/>
        </w:rPr>
        <w:t>6.75 per share.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October 2023, the Company transferred the NDAs and marketing authorizations for all of the Santen Products in the U.S. The Company expects Santen to transfer the Canadian marketing authorizations for VERKAZIA and CATIONORM PLUS by March 31, 2024.</w:t>
      </w:r>
    </w:p>
    <w:p>
      <w:pPr>
        <w:pStyle w:val="TextBody"/>
        <w:bidi w:val="0"/>
        <w:spacing w:before="0" w:after="0"/>
        <w:ind w:left="0" w:right="0" w:hanging="0"/>
        <w:jc w:val="left"/>
        <w:rPr>
          <w:caps w:val="false"/>
          <w:smallCaps w:val="false"/>
          <w:color w:val="000000"/>
        </w:rPr>
      </w:pPr>
      <w:bookmarkStart w:id="1076" w:name="xdx_813_zGYiRthvv0B8"/>
      <w:bookmarkEnd w:id="1076"/>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77" w:name="a_003"/>
      <w:bookmarkEnd w:id="1077"/>
      <w:r>
        <w:rPr>
          <w:rFonts w:ascii="Times New Roman;Times;Serif" w:hAnsi="Times New Roman;Times;Serif"/>
          <w:b/>
          <w:i w:val="false"/>
          <w:caps w:val="false"/>
          <w:smallCaps w:val="false"/>
          <w:color w:val="000000"/>
          <w:sz w:val="20"/>
        </w:rPr>
        <w:t>Item 2. Management’s Discussion and Analysis of Financial Condition and Results of Operations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2022 and subsequent reports, which discuss our business in greater detail. As used in this discussion and analysis, unless the context indicates otherwise, the terms the “Company,” “Harrow,” “we,” “us” and “our” refer to Harrow, Inc. and its consolidated subsidiaries, consisting of ImprimisRx, LLC, ImprimisRx NJ, LLC dba ImprimisRx, Imprimis NJOF, LLC, and Harrow Eye, LLC. In this discussion and analysis, we refer to our consolidated subsidiaries ImprimisRx, LLC, ImprimisRx NJ, LLC and Imprimis NJOF, LLC collectively as “ImprimisRx.” </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shd w:fill="FFFFFF" w:val="clear"/>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Overview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the U.S. that are marketed under our Harrow name. We also own and operate ImprimisRx, one of the nation’s leading ophthalmology-focused pharmaceutical-compounding businesses. In addition, we have non-controlling equity interests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Factors Affecting Our Performance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believe the primary factors affecting our performance are our ability to increase revenues of our branded pharmaceutical products, proprietary compounded formulations and certain non-proprietary products, grow and gain operating efficiencies in our operations,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Recent Developments </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describes certain developments in 2023 to date that are important to understand our financial condition and results of operations. See the notes to our unaudited condensed consolidated financial statements included in this Quarterly Report for additional information about each of these developments.</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IHEEZO Reimbursement, Launch and Studies</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February 2023, we announced that the Centers for Medicare &amp; Medicaid Services (“CMS”) had issued a permanent, product specific J-code for IHEEZO (J2403) which became effective under the Healthcare Procedure Coding System (HCPCS) on April 1, 2023, which physicians can use for reimbursement purposes of that product. New drugs approved by the U.S. Food and Drug Administration (“FDA”) that are used in surgeries performed in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April 2023.</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also working to ensure our continued access to the Medicare market for the ambulatory surgery center (ASC), hospital and outpatient department (HOPD), and in-office use market for IHEEZO. In this regard, we are designing and intend to execute, during 2024, clinical studies to build data sets that could be presented to Centers for Medicare &amp; Medicaid Services (CMS) to extend our temporary pass-through period for IHEEZO in ASCs and HOPDs. We are also meeting with CMS to clarify policy on anesthesia billing policy which has historically not allowed for the separate billing of anesthesia services in the physician’s office. We intend to request that CMS clarify that J-Code 2403, IHEEZO’s permanent J-Code, is appropriate to be billed for the anesthesia product itself (i.e., IHEEZO in our case) in the physician’s office setting.</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 the beginning of April 2023, we initiated a regional and targeted launch of IHEEZO (chloroprocaine HCL ophthalmic gel) 3%. In early May 2023, our full commercial launch of IHEEZO occurred, with the product being highlighted by our commercial team at the ASCRS (American Society of Cataract and Refractive Surgery) Annual Meeting.</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Recently we sponsored an in-vivo (in human) study to compare the effects of IHEEZO with povidone-iodine (PVI) compared to a low-viscosity tetracaine ophthalmic solution with PVI. The primary intent of the study is to show that IHEEZO does not act as a “barrier” to PVI, which had otherwise been shown with other ocular anesthetic gels. Findings from the study are positive showing that IHEEZO demonstrated a similar barrier risk to tetracaine (e.g., a non-gel anesthetic).</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Acquisition of ILEVRO, NEVANAC, VIGAMOX, MAXIDEX and TRIESENCE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ILEVRO (nepafenac ophthalmic suspension) 0.3%, a non-steroidal, anti-inflammatory eye drop indicated for pain and inflammation associated with cataract surgery.</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NEVANAC (nepafenac ophthalmic suspension) 0.1%, a non-steroidal, anti-inflammatory eye drop indicated for pain and inflammation associated with cataract surgery.</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VIGAMOX (moxifloxacin hydrochloride ophthalmic solution) 0.5%, a fluoroquinolone antibiotic eye drop for the treatment of bacterial conjunctivitis caused by susceptible strains of organisms.</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MAXIDEX (dexamethasone ophthalmic suspension) 0.1%, a steroid eye drop for steroid-responsive inflammatory conditions of the palpebral and bulbar conjunctiva, cornea, and anterior segment of the globe.</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TRIESENCE (triamcinolone acetonide injectable suspension) 40 mg/ml, a steroid injection for the treatment of certain ophthalmic diseases and for visualization during vitrectomy.</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closed the Fab 5 Acquisition on January 20, 2023. Under the terms of the Purchase Agreement, we made a one-time payment of $130,000,000 at closing, with up to another $45,000,000 due in a milestone payment related to the timing of the commercial availability of TRIESCENCE. Pursuant to the Purchase Agreement and various ancillary agreements, immediately following the closing and subject to certain conditions, for a period that lasted approximately nine months, and prior to the transfer of the Fab 5 Products new drug applications (the “NDAs”) to us, Novartis continued to sell the Products on our behalf and transferred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April 28, 2023, we transferred the NDAs for ILEVRO, NEVANAC and MAXIDEX. In July 2023, we transferred the NDA for VIGAMOX, and the NDA for TRIESENCE is expected to transfer upon around the timing of its commercial availability.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Oaktree Credit and Guaranty Agreement</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March 27, 2023, we entered into a Credit Agreement and Guaranty (the “Oaktree Loan”) with Oaktree Fund Administration, LLC, as administrative agent for the lenders (together, “Oaktree”), providing for a loan to us with a principal amount of up to $100,000,000. Upon entering into the Oaktree Loan, we drew a principal amount of $65,000,000 from the Oaktree Loan and used the net proceeds to repay all amounts owed by us pursuant to the BR Loan (as defined below). No remaining amounts are due under the BR Loan, and no exit or prepayment fees were paid as a result of the payoff of the BR Loan. The additional principal loan amount of up to $35,000,000 available under the Oaktree Loan (the “Tranche B”) will be made available to the Company upon the commercialization of TRIESENCE.</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July 18, 2023, we entered into the First Amendment to Credit Agreement and Guaranty and Consent (the “Oaktree Amendment”) to the Oaktree Loan. Under the Oaktree Amendment, the overall credit facility size was increased from $100,000,000 to $112,500,000, and we made other changes related to the Santen Products Acquisition. Upon satisfaction of certain conditions to funding, we drew down a principal amount of $12,500,000 (the “Loan Increase”) on August 1, 2023 to fund the initial one-time payment associated with the Santen Products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we have drawn down a total principal loan amount of $77,500,000 under the Oaktree Loan and an additional Tranche B loan amount of up to $35,000,000 remains available to us upon the commercialization of TRIESENCE, provided, that if Tranche B is not drawn by the Company on or before March 27, 2024, the amount available under Tranche B will decrease to $30,000,000.</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Oaktree Loan is secured by nearly all of the assets, including intellectual property, of the Company and its material subsidiaries. The Oaktree Loan has a maturity date of January 19, 2026 and carries an interest rate equal to the Secured Overnight Financing Rate plus 6.5% per annum. The Oaktree Loan requires interest-only payments through its term (there is no amortization of the principal amount or excess cash flow sweeps during the term of the Oaktree Loan).</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HROWM – Senior Notes Offering </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December 2022, the Company entered into an underwriting agreement with B. Riley Securities, Inc., as representative of the several underwriters named therein, pursuant to which we agreed to sell $35,000,000 aggregate principal amount of 11.875% Senior Notes due 2027 (the “2027 Notes”) plus up to an additional $5,250,000 aggregate principal amount of 2027 Notes pursuant to the option to purchase additional 2027 Notes. In January 2023, the underwriters exercised their option to purchase the additional $5,250,000 aggregate principal amount of 2027 Notes.</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Acquisition of VEVYE</w:t>
      </w:r>
      <w:r>
        <w:rPr>
          <w:rFonts w:ascii="Times New Roman;Times;Serif" w:hAnsi="Times New Roman;Times;Serif"/>
          <w:b w:val="false"/>
          <w:i/>
          <w:caps w:val="false"/>
          <w:smallCaps w:val="false"/>
          <w:color w:val="000000"/>
          <w:position w:val="7"/>
          <w:sz w:val="16"/>
          <w:sz w:val="20"/>
        </w:rPr>
        <w:t>TM</w:t>
      </w:r>
      <w:r>
        <w:rPr>
          <w:rFonts w:ascii="Times New Roman;Times;Serif" w:hAnsi="Times New Roman;Times;Serif"/>
          <w:b w:val="false"/>
          <w:i/>
          <w:caps w:val="false"/>
          <w:smallCaps w:val="false"/>
          <w:color w:val="000000"/>
          <w:sz w:val="20"/>
        </w:rPr>
        <w:t xml:space="preserve"> U.S. and Canadian Commercial Rights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we acquired commercial rights of VEVYE (cyclosporine ophthalmic solution) 0.1%, an ophthalmic drug product, for the U.S. and Canadian markets (the “VEVYE Acquisition”). VEVYE, which is dispensed topically in a unique ten microliter per one drop and is labeled for twice-daily (BID) dosing, is the first and only cyclosporine-based product indicated for the treatment of both signs and symptoms of dry eye disease (DED). VEVYE was approved on May 30, 2023 by the FDA. We acquired the commercial rights to VEVYE by entering into a license agreement with Novaliq GmbH (“Novaliq”). As consideration, we made initial payments to Novaliq totaling $8,000,000 and will pay low double-digit royalties on net sales of VEVYE along with potential commercial milestone payments.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Acquisition of Certain U.S. and Canadian Commercial Rights to Santen and Eyevance Products</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we entered into an Asset Purchase Agreement with Eyevance Pharmaceuticals, LLC and a License Agreement with Santen S.A.S. (collectively, the “Santen Agreements”), each a subsidiary of Santen Pharmaceuticals Co., Ltd. (collectively, “Santen”). Pursuant to the Santen Agreements, we acquired the exclusive commercial rights to assets associated with the following ophthalmic products (collectively, the “Santen Products”):</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U.S.:</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FLAREX®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NATACYN® (natamycin ophthalmic suspension) 5%, a sterile, antifungal drug for the treatment of fungal blepharitis, conjunctivitis, and keratitis caused by susceptible organisms, including Fusarium solani keratitis.</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TOBRADEX®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ZERVIATE® (cetirizine ophthalmic solution) 0.24%, a histamine-1 (H1) receptor antagonist indicated for treatment of ocular itching associated with allergic conjunctivitis.</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2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FRESHKOTE®, a preservative-free formulation for temporary relief of symptoms of dry eye.</w:t>
            </w:r>
          </w:p>
        </w:tc>
      </w:tr>
    </w:tbl>
    <w:p>
      <w:pPr>
        <w:pStyle w:val="TextBody"/>
        <w:bidi w:val="0"/>
        <w:spacing w:before="0" w:after="0"/>
        <w:ind w:left="0" w:right="0" w:firstLine="360"/>
        <w:jc w:val="both"/>
        <w:rPr>
          <w:caps w:val="false"/>
          <w:smallCaps w:val="false"/>
          <w:color w:val="000000"/>
        </w:rPr>
      </w:pPr>
      <w:r>
        <w:rPr>
          <w:caps w:val="false"/>
          <w:smallCaps w:val="false"/>
          <w:color w:val="000000"/>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U.S. and Canada:</w:t>
      </w:r>
    </w:p>
    <w:p>
      <w:pPr>
        <w:pStyle w:val="TextBody"/>
        <w:bidi w:val="0"/>
        <w:spacing w:before="0" w:after="0"/>
        <w:ind w:left="0" w:right="0" w:firstLine="36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VERKAZIA® (cyclosporine ophthalmic emulsion) 0.1%, an orphan designated drug that is a calcineurin inhibitor immunosuppressant indicated for the treatment of vernal keratoconjunctivitis.</w:t>
            </w:r>
          </w:p>
        </w:tc>
      </w:tr>
    </w:tbl>
    <w:p>
      <w:pPr>
        <w:pStyle w:val="TextBody"/>
        <w:bidi w:val="0"/>
        <w:spacing w:before="0" w:after="0"/>
        <w:ind w:left="0" w:right="0" w:firstLine="360"/>
        <w:jc w:val="both"/>
        <w:rPr>
          <w:caps w:val="false"/>
          <w:smallCaps w:val="false"/>
          <w:color w:val="000000"/>
        </w:rPr>
      </w:pPr>
      <w:r>
        <w:rPr>
          <w:caps w:val="false"/>
          <w:smallCaps w:val="false"/>
          <w:color w:val="000000"/>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Canada:</w:t>
      </w:r>
    </w:p>
    <w:p>
      <w:pPr>
        <w:pStyle w:val="TextBody"/>
        <w:bidi w:val="0"/>
        <w:spacing w:before="0" w:after="0"/>
        <w:ind w:left="0" w:right="0" w:firstLine="360"/>
        <w:jc w:val="both"/>
        <w:rPr>
          <w:caps w:val="false"/>
          <w:smallCaps w:val="false"/>
          <w:color w:val="000000"/>
        </w:rPr>
      </w:pPr>
      <w:r>
        <w:rPr>
          <w:caps w:val="false"/>
          <w:smallCaps w:val="false"/>
          <w:color w:val="000000"/>
        </w:rPr>
        <w:t> </w:t>
      </w:r>
    </w:p>
    <w:tbl>
      <w:tblPr>
        <w:tblW w:w="6880" w:type="dxa"/>
        <w:jc w:val="left"/>
        <w:tblInd w:w="0" w:type="dxa"/>
        <w:tblLayout w:type="fixed"/>
        <w:tblCellMar>
          <w:top w:w="0" w:type="dxa"/>
          <w:left w:w="0" w:type="dxa"/>
          <w:bottom w:w="0" w:type="dxa"/>
          <w:right w:w="0" w:type="dxa"/>
        </w:tblCellMar>
      </w:tblPr>
      <w:tblGrid>
        <w:gridCol w:w="185"/>
        <w:gridCol w:w="6695"/>
      </w:tblGrid>
      <w:tr>
        <w:trPr/>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CATIONORM® PLUS, a preservative-free formulation for dry eye or allergy relief.</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transactions pursuant to the Santen Agreements are referred to in this Quarterly Report as the “Santen Products Acquisition.”</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the terms of the Santen Agreements, we made an initial one-time payment of $8,000,000. In addition, the Santen Agreements provide for various one-time milestone payments associated with certain manufacturing-related events as well as low-double digit royalty payments on net sales of VERKAZIA and high-single digit royalty payments on net sales of CATIONORM PLUS. Under the Santen Agreements, we also assumed certain obligations associated with other third parties that require royalties on sales of FRESHKOTE and ZERVIATE. Immediately following the closing and subject to certain conditions, prior to the transfer of the Santen Product NDAs and other marketing authorizations to us, Santen continued to sell the Santen Products on our behalf and transfer the net profit from the sale of the Santen Products to us. In October 2023, we completed the transfer of the U.S. NDAs and rights of the Santen Products, and expect Santen to transfer the Canadian marketing authorizations of VERKAZIA and CATIONORM PLUS by March 31, 2024.</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Common Stock Offering</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we closed a public offering of shares of our common stock at an offering price of $17.75 per share (the “Offering”). We sold 3,887,324 shares of our common stock in the Offering, resulting in us receiving aggregate net proceeds of $64,520,000, after deducting underwriting discounts and commissions and other offering expenses of $4,480,000.</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B. Riley Loan and Security Agreement – Paid</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December 14, 2022, we entered into a Loan and Security Agreement (the “BR Loan”) with B. Riley Commercial Capital, LLC, as administrative agent for the lenders from time to time party thereto. The proceeds of the Loan were used to finance the Fab 5 Acquisition.</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BR Loan provided for a loan facility of up to $100,000,000 to the Company with a maturity date of December 14, 2025, at an interest rate of 10.875% per annum. The BR Loan was secured by an intellectual property security agreement and by all assets of the Company and its material subsidiaries. In January 2023, the Company drew $59,750,000 of the BR Loan simultaneously with the consummation of the Fab 5 Acquisition, and subsequently paid back the BR Loan in March 2023 at the time of closing the Oaktree Loan. No remaining amounts are due under the BR Loan, and no exit or prepayment fees were paid as a result of the payoff of the BR Loan</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Results of Operations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period-to-period comparisons of our financial results for the three and nine months ended September 30, 2023 and 2022 are not necessarily indicative of results for any future period.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Revenues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presents our revenues for the three and nine months ended September 30, 2023 and 2022:</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703"/>
        <w:gridCol w:w="60"/>
        <w:gridCol w:w="148"/>
        <w:gridCol w:w="1164"/>
        <w:gridCol w:w="63"/>
        <w:gridCol w:w="63"/>
        <w:gridCol w:w="148"/>
        <w:gridCol w:w="1164"/>
        <w:gridCol w:w="60"/>
        <w:gridCol w:w="60"/>
        <w:gridCol w:w="140"/>
        <w:gridCol w:w="1100"/>
        <w:gridCol w:w="95"/>
        <w:gridCol w:w="60"/>
        <w:gridCol w:w="145"/>
        <w:gridCol w:w="1144"/>
        <w:gridCol w:w="62"/>
        <w:gridCol w:w="62"/>
        <w:gridCol w:w="145"/>
        <w:gridCol w:w="1144"/>
        <w:gridCol w:w="60"/>
        <w:gridCol w:w="60"/>
        <w:gridCol w:w="140"/>
        <w:gridCol w:w="1100"/>
        <w:gridCol w:w="115"/>
      </w:tblGrid>
      <w:tr>
        <w:trPr/>
        <w:tc>
          <w:tcPr>
            <w:tcW w:w="1703"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50" w:type="dxa"/>
            <w:gridSpan w:val="6"/>
            <w:tcBorders/>
            <w:vAlign w:val="center"/>
          </w:tcPr>
          <w:p>
            <w:pPr>
              <w:pStyle w:val="TableContents"/>
              <w:bidi w:val="0"/>
              <w:spacing w:before="0" w:after="283"/>
              <w:jc w:val="center"/>
              <w:rPr>
                <w:b/>
                <w:color w:val="000000"/>
              </w:rPr>
            </w:pPr>
            <w:r>
              <w:rPr>
                <w:b/>
                <w:color w:val="000000"/>
              </w:rPr>
              <w:t>For the Three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02" w:type="dxa"/>
            <w:gridSpan w:val="6"/>
            <w:tcBorders/>
            <w:vAlign w:val="center"/>
          </w:tcPr>
          <w:p>
            <w:pPr>
              <w:pStyle w:val="TableContents"/>
              <w:bidi w:val="0"/>
              <w:spacing w:before="0" w:after="283"/>
              <w:jc w:val="center"/>
              <w:rPr>
                <w:b/>
                <w:color w:val="000000"/>
              </w:rPr>
            </w:pPr>
            <w:r>
              <w:rPr>
                <w:b/>
                <w:color w:val="000000"/>
              </w:rPr>
              <w:t>For the Nine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115" w:type="dxa"/>
            <w:tcBorders/>
            <w:vAlign w:val="center"/>
          </w:tcPr>
          <w:p>
            <w:pPr>
              <w:pStyle w:val="TableContents"/>
              <w:bidi w:val="0"/>
              <w:spacing w:before="0" w:after="283"/>
              <w:jc w:val="left"/>
              <w:rPr>
                <w:color w:val="000000"/>
              </w:rPr>
            </w:pPr>
            <w:r>
              <w:rPr>
                <w:color w:val="000000"/>
              </w:rPr>
              <w:t> </w:t>
            </w:r>
          </w:p>
        </w:tc>
      </w:tr>
      <w:tr>
        <w:trPr/>
        <w:tc>
          <w:tcPr>
            <w:tcW w:w="1703"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50"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center"/>
              <w:rPr>
                <w:b/>
                <w:color w:val="000000"/>
              </w:rPr>
            </w:pPr>
            <w:r>
              <w:rPr>
                <w:b/>
                <w:color w:val="000000"/>
              </w:rPr>
              <w: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02"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center"/>
              <w:rPr>
                <w:b/>
                <w:color w:val="000000"/>
              </w:rPr>
            </w:pPr>
            <w:r>
              <w:rPr>
                <w:b/>
                <w:color w:val="000000"/>
              </w:rPr>
              <w:t>$</w:t>
            </w:r>
          </w:p>
        </w:tc>
        <w:tc>
          <w:tcPr>
            <w:tcW w:w="115" w:type="dxa"/>
            <w:tcBorders/>
            <w:vAlign w:val="center"/>
          </w:tcPr>
          <w:p>
            <w:pPr>
              <w:pStyle w:val="TableContents"/>
              <w:bidi w:val="0"/>
              <w:spacing w:before="0" w:after="283"/>
              <w:jc w:val="left"/>
              <w:rPr>
                <w:color w:val="000000"/>
              </w:rPr>
            </w:pPr>
            <w:r>
              <w:rPr>
                <w:color w:val="000000"/>
              </w:rPr>
              <w:t> </w:t>
            </w:r>
          </w:p>
        </w:tc>
      </w:tr>
      <w:tr>
        <w:trPr/>
        <w:tc>
          <w:tcPr>
            <w:tcW w:w="1703"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2"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3" w:type="dxa"/>
            <w:tcBorders/>
            <w:vAlign w:val="center"/>
          </w:tcPr>
          <w:p>
            <w:pPr>
              <w:pStyle w:val="TableContents"/>
              <w:bidi w:val="0"/>
              <w:spacing w:before="0" w:after="283"/>
              <w:jc w:val="left"/>
              <w:rPr>
                <w:color w:val="000000"/>
              </w:rPr>
            </w:pPr>
            <w:r>
              <w:rPr>
                <w:color w:val="000000"/>
              </w:rPr>
              <w:t> </w:t>
            </w:r>
          </w:p>
        </w:tc>
        <w:tc>
          <w:tcPr>
            <w:tcW w:w="63" w:type="dxa"/>
            <w:tcBorders/>
            <w:vAlign w:val="center"/>
          </w:tcPr>
          <w:p>
            <w:pPr>
              <w:pStyle w:val="TableContents"/>
              <w:bidi w:val="0"/>
              <w:spacing w:before="0" w:after="283"/>
              <w:jc w:val="left"/>
              <w:rPr>
                <w:color w:val="000000"/>
              </w:rPr>
            </w:pPr>
            <w:r>
              <w:rPr>
                <w:color w:val="000000"/>
              </w:rPr>
              <w:t> </w:t>
            </w:r>
          </w:p>
        </w:tc>
        <w:tc>
          <w:tcPr>
            <w:tcW w:w="1312"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2" w:type="dxa"/>
            <w:tcBorders/>
            <w:vAlign w:val="center"/>
          </w:tcPr>
          <w:p>
            <w:pPr>
              <w:pStyle w:val="TableContents"/>
              <w:bidi w:val="0"/>
              <w:spacing w:before="0" w:after="283"/>
              <w:jc w:val="left"/>
              <w:rPr>
                <w:color w:val="000000"/>
              </w:rPr>
            </w:pPr>
            <w:r>
              <w:rPr>
                <w:color w:val="000000"/>
              </w:rPr>
              <w:t> </w:t>
            </w:r>
          </w:p>
        </w:tc>
        <w:tc>
          <w:tcPr>
            <w:tcW w:w="62" w:type="dxa"/>
            <w:tcBorders/>
            <w:vAlign w:val="center"/>
          </w:tcPr>
          <w:p>
            <w:pPr>
              <w:pStyle w:val="TableContents"/>
              <w:bidi w:val="0"/>
              <w:spacing w:before="0" w:after="283"/>
              <w:jc w:val="left"/>
              <w:rPr>
                <w:color w:val="000000"/>
              </w:rPr>
            </w:pPr>
            <w:r>
              <w:rPr>
                <w:color w:val="000000"/>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115" w:type="dxa"/>
            <w:tcBorders/>
            <w:vAlign w:val="center"/>
          </w:tcPr>
          <w:p>
            <w:pPr>
              <w:pStyle w:val="TableContents"/>
              <w:bidi w:val="0"/>
              <w:spacing w:before="0" w:after="283"/>
              <w:jc w:val="left"/>
              <w:rPr>
                <w:color w:val="000000"/>
              </w:rPr>
            </w:pPr>
            <w:r>
              <w:rPr>
                <w:color w:val="000000"/>
              </w:rPr>
              <w:t> </w:t>
            </w:r>
          </w:p>
        </w:tc>
      </w:tr>
      <w:tr>
        <w:trPr/>
        <w:tc>
          <w:tcPr>
            <w:tcW w:w="1703" w:type="dxa"/>
            <w:tcBorders/>
            <w:shd w:fill="CCEEFF" w:val="clear"/>
            <w:vAlign w:val="center"/>
          </w:tcPr>
          <w:p>
            <w:pPr>
              <w:pStyle w:val="TableContents"/>
              <w:bidi w:val="0"/>
              <w:spacing w:before="0" w:after="283"/>
              <w:jc w:val="left"/>
              <w:rPr>
                <w:b/>
                <w:color w:val="000000"/>
              </w:rPr>
            </w:pPr>
            <w:r>
              <w:rPr>
                <w:b/>
                <w:color w:val="000000"/>
              </w:rPr>
              <w:t>Product sales,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8" w:type="dxa"/>
            <w:tcBorders/>
            <w:shd w:fill="CCEEFF" w:val="clear"/>
            <w:vAlign w:val="center"/>
          </w:tcPr>
          <w:p>
            <w:pPr>
              <w:pStyle w:val="TableContents"/>
              <w:bidi w:val="0"/>
              <w:spacing w:before="0" w:after="283"/>
              <w:jc w:val="left"/>
              <w:rPr>
                <w:color w:val="000000"/>
              </w:rPr>
            </w:pPr>
            <w:r>
              <w:rPr>
                <w:color w:val="000000"/>
              </w:rPr>
              <w:t>$</w:t>
            </w:r>
          </w:p>
        </w:tc>
        <w:tc>
          <w:tcPr>
            <w:tcW w:w="1164" w:type="dxa"/>
            <w:tcBorders/>
            <w:shd w:fill="CCEEFF" w:val="clear"/>
            <w:vAlign w:val="center"/>
          </w:tcPr>
          <w:p>
            <w:pPr>
              <w:pStyle w:val="TableContents"/>
              <w:bidi w:val="0"/>
              <w:spacing w:before="0" w:after="283"/>
              <w:jc w:val="right"/>
              <w:rPr>
                <w:color w:val="000000"/>
              </w:rPr>
            </w:pPr>
            <w:r>
              <w:rPr>
                <w:color w:val="000000"/>
              </w:rPr>
              <w:t>31,809,000</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148" w:type="dxa"/>
            <w:tcBorders/>
            <w:shd w:fill="CCEEFF" w:val="clear"/>
            <w:vAlign w:val="center"/>
          </w:tcPr>
          <w:p>
            <w:pPr>
              <w:pStyle w:val="TableContents"/>
              <w:bidi w:val="0"/>
              <w:spacing w:before="0" w:after="283"/>
              <w:jc w:val="left"/>
              <w:rPr>
                <w:color w:val="000000"/>
              </w:rPr>
            </w:pPr>
            <w:r>
              <w:rPr>
                <w:color w:val="000000"/>
              </w:rPr>
              <w:t>$</w:t>
            </w:r>
          </w:p>
        </w:tc>
        <w:tc>
          <w:tcPr>
            <w:tcW w:w="1164" w:type="dxa"/>
            <w:tcBorders/>
            <w:shd w:fill="CCEEFF" w:val="clear"/>
            <w:vAlign w:val="center"/>
          </w:tcPr>
          <w:p>
            <w:pPr>
              <w:pStyle w:val="TableContents"/>
              <w:bidi w:val="0"/>
              <w:spacing w:before="0" w:after="283"/>
              <w:jc w:val="right"/>
              <w:rPr>
                <w:color w:val="000000"/>
              </w:rPr>
            </w:pPr>
            <w:r>
              <w:rPr>
                <w:color w:val="000000"/>
              </w:rPr>
              <w:t>21,575,000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00" w:type="dxa"/>
            <w:tcBorders/>
            <w:shd w:fill="CCEEFF" w:val="clear"/>
            <w:vAlign w:val="center"/>
          </w:tcPr>
          <w:p>
            <w:pPr>
              <w:pStyle w:val="TableContents"/>
              <w:bidi w:val="0"/>
              <w:spacing w:before="0" w:after="283"/>
              <w:jc w:val="right"/>
              <w:rPr>
                <w:color w:val="000000"/>
              </w:rPr>
            </w:pPr>
            <w:r>
              <w:rPr>
                <w:color w:val="000000"/>
              </w:rPr>
              <w:t>10,234,000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shd w:fill="CCEEFF" w:val="clear"/>
            <w:vAlign w:val="center"/>
          </w:tcPr>
          <w:p>
            <w:pPr>
              <w:pStyle w:val="TableContents"/>
              <w:bidi w:val="0"/>
              <w:spacing w:before="0" w:after="283"/>
              <w:jc w:val="left"/>
              <w:rPr>
                <w:color w:val="000000"/>
              </w:rPr>
            </w:pPr>
            <w:r>
              <w:rPr>
                <w:color w:val="000000"/>
              </w:rPr>
              <w:t>$</w:t>
            </w:r>
          </w:p>
        </w:tc>
        <w:tc>
          <w:tcPr>
            <w:tcW w:w="1144" w:type="dxa"/>
            <w:tcBorders/>
            <w:shd w:fill="CCEEFF" w:val="clear"/>
            <w:vAlign w:val="center"/>
          </w:tcPr>
          <w:p>
            <w:pPr>
              <w:pStyle w:val="TableContents"/>
              <w:bidi w:val="0"/>
              <w:spacing w:before="0" w:after="283"/>
              <w:jc w:val="right"/>
              <w:rPr>
                <w:color w:val="000000"/>
              </w:rPr>
            </w:pPr>
            <w:r>
              <w:rPr>
                <w:color w:val="000000"/>
              </w:rPr>
              <w:t>81,804,000</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shd w:fill="CCEEFF" w:val="clear"/>
            <w:vAlign w:val="center"/>
          </w:tcPr>
          <w:p>
            <w:pPr>
              <w:pStyle w:val="TableContents"/>
              <w:bidi w:val="0"/>
              <w:spacing w:before="0" w:after="283"/>
              <w:jc w:val="left"/>
              <w:rPr>
                <w:color w:val="000000"/>
              </w:rPr>
            </w:pPr>
            <w:r>
              <w:rPr>
                <w:color w:val="000000"/>
              </w:rPr>
              <w:t>$</w:t>
            </w:r>
          </w:p>
        </w:tc>
        <w:tc>
          <w:tcPr>
            <w:tcW w:w="1144" w:type="dxa"/>
            <w:tcBorders/>
            <w:shd w:fill="CCEEFF" w:val="clear"/>
            <w:vAlign w:val="center"/>
          </w:tcPr>
          <w:p>
            <w:pPr>
              <w:pStyle w:val="TableContents"/>
              <w:bidi w:val="0"/>
              <w:spacing w:before="0" w:after="283"/>
              <w:jc w:val="right"/>
              <w:rPr>
                <w:color w:val="000000"/>
              </w:rPr>
            </w:pPr>
            <w:r>
              <w:rPr>
                <w:color w:val="000000"/>
              </w:rPr>
              <w:t>63,433,000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w:t>
            </w:r>
          </w:p>
        </w:tc>
        <w:tc>
          <w:tcPr>
            <w:tcW w:w="1100" w:type="dxa"/>
            <w:tcBorders/>
            <w:shd w:fill="CCEEFF" w:val="clear"/>
            <w:vAlign w:val="center"/>
          </w:tcPr>
          <w:p>
            <w:pPr>
              <w:pStyle w:val="TableContents"/>
              <w:bidi w:val="0"/>
              <w:spacing w:before="0" w:after="283"/>
              <w:jc w:val="right"/>
              <w:rPr>
                <w:color w:val="000000"/>
              </w:rPr>
            </w:pPr>
            <w:r>
              <w:rPr>
                <w:color w:val="000000"/>
              </w:rPr>
              <w:t>18,371,000</w:t>
            </w:r>
          </w:p>
        </w:tc>
        <w:tc>
          <w:tcPr>
            <w:tcW w:w="115" w:type="dxa"/>
            <w:tcBorders/>
            <w:shd w:fill="CCEEFF" w:val="clear"/>
            <w:vAlign w:val="center"/>
          </w:tcPr>
          <w:p>
            <w:pPr>
              <w:pStyle w:val="TableContents"/>
              <w:bidi w:val="0"/>
              <w:spacing w:before="0" w:after="283"/>
              <w:jc w:val="left"/>
              <w:rPr>
                <w:color w:val="000000"/>
              </w:rPr>
            </w:pPr>
            <w:r>
              <w:rPr>
                <w:color w:val="000000"/>
              </w:rPr>
              <w:t> </w:t>
            </w:r>
          </w:p>
        </w:tc>
      </w:tr>
      <w:tr>
        <w:trPr/>
        <w:tc>
          <w:tcPr>
            <w:tcW w:w="1703" w:type="dxa"/>
            <w:tcBorders/>
            <w:shd w:fill="FFFFFF" w:val="clear"/>
            <w:vAlign w:val="center"/>
          </w:tcPr>
          <w:p>
            <w:pPr>
              <w:pStyle w:val="TableContents"/>
              <w:bidi w:val="0"/>
              <w:spacing w:before="0" w:after="283"/>
              <w:jc w:val="left"/>
              <w:rPr>
                <w:b/>
                <w:color w:val="000000"/>
              </w:rPr>
            </w:pPr>
            <w:r>
              <w:rPr>
                <w:b/>
                <w:color w:val="000000"/>
              </w:rPr>
              <w:t>Commission revenues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8" w:type="dxa"/>
            <w:tcBorders/>
            <w:shd w:fill="FFFFFF" w:val="clear"/>
            <w:vAlign w:val="center"/>
          </w:tcPr>
          <w:p>
            <w:pPr>
              <w:pStyle w:val="TableContents"/>
              <w:bidi w:val="0"/>
              <w:spacing w:before="0" w:after="283"/>
              <w:jc w:val="left"/>
              <w:rPr>
                <w:color w:val="000000"/>
              </w:rPr>
            </w:pPr>
            <w:r>
              <w:rPr>
                <w:color w:val="000000"/>
              </w:rPr>
              <w:t> </w:t>
            </w:r>
          </w:p>
        </w:tc>
        <w:tc>
          <w:tcPr>
            <w:tcW w:w="1164" w:type="dxa"/>
            <w:tcBorders/>
            <w:shd w:fill="FFFFFF" w:val="clear"/>
            <w:vAlign w:val="center"/>
          </w:tcPr>
          <w:p>
            <w:pPr>
              <w:pStyle w:val="TableContents"/>
              <w:bidi w:val="0"/>
              <w:spacing w:before="0" w:after="283"/>
              <w:jc w:val="right"/>
              <w:rPr>
                <w:color w:val="000000"/>
              </w:rPr>
            </w:pPr>
            <w:r>
              <w:rPr>
                <w:color w:val="000000"/>
              </w:rPr>
              <w:t>-</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148" w:type="dxa"/>
            <w:tcBorders/>
            <w:shd w:fill="FFFFFF" w:val="clear"/>
            <w:vAlign w:val="center"/>
          </w:tcPr>
          <w:p>
            <w:pPr>
              <w:pStyle w:val="TableContents"/>
              <w:bidi w:val="0"/>
              <w:spacing w:before="0" w:after="283"/>
              <w:jc w:val="left"/>
              <w:rPr>
                <w:color w:val="000000"/>
              </w:rPr>
            </w:pPr>
            <w:r>
              <w:rPr>
                <w:color w:val="000000"/>
              </w:rPr>
              <w:t> </w:t>
            </w:r>
          </w:p>
        </w:tc>
        <w:tc>
          <w:tcPr>
            <w:tcW w:w="1164" w:type="dxa"/>
            <w:tcBorders/>
            <w:shd w:fill="FFFFFF" w:val="clear"/>
            <w:vAlign w:val="center"/>
          </w:tcPr>
          <w:p>
            <w:pPr>
              <w:pStyle w:val="TableContents"/>
              <w:bidi w:val="0"/>
              <w:spacing w:before="0" w:after="283"/>
              <w:jc w:val="right"/>
              <w:rPr>
                <w:color w:val="000000"/>
              </w:rPr>
            </w:pPr>
            <w:r>
              <w:rPr>
                <w:color w:val="000000"/>
              </w:rPr>
              <w:t>1,044,000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(1,044,000</w:t>
            </w:r>
          </w:p>
        </w:tc>
        <w:tc>
          <w:tcPr>
            <w:tcW w:w="9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shd w:fill="FFFFFF" w:val="clear"/>
            <w:vAlign w:val="center"/>
          </w:tcPr>
          <w:p>
            <w:pPr>
              <w:pStyle w:val="TableContents"/>
              <w:bidi w:val="0"/>
              <w:spacing w:before="0" w:after="283"/>
              <w:jc w:val="left"/>
              <w:rPr>
                <w:color w:val="000000"/>
              </w:rPr>
            </w:pPr>
            <w:r>
              <w:rPr>
                <w:color w:val="000000"/>
              </w:rPr>
              <w:t> </w:t>
            </w:r>
          </w:p>
        </w:tc>
        <w:tc>
          <w:tcPr>
            <w:tcW w:w="1144" w:type="dxa"/>
            <w:tcBorders/>
            <w:shd w:fill="FFFFFF" w:val="clear"/>
            <w:vAlign w:val="center"/>
          </w:tcPr>
          <w:p>
            <w:pPr>
              <w:pStyle w:val="TableContents"/>
              <w:bidi w:val="0"/>
              <w:spacing w:before="0" w:after="283"/>
              <w:jc w:val="right"/>
              <w:rPr>
                <w:color w:val="000000"/>
              </w:rPr>
            </w:pPr>
            <w:r>
              <w:rPr>
                <w:color w:val="000000"/>
              </w:rPr>
              <w:t>-</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shd w:fill="FFFFFF" w:val="clear"/>
            <w:vAlign w:val="center"/>
          </w:tcPr>
          <w:p>
            <w:pPr>
              <w:pStyle w:val="TableContents"/>
              <w:bidi w:val="0"/>
              <w:spacing w:before="0" w:after="283"/>
              <w:jc w:val="left"/>
              <w:rPr>
                <w:color w:val="000000"/>
              </w:rPr>
            </w:pPr>
            <w:r>
              <w:rPr>
                <w:color w:val="000000"/>
              </w:rPr>
              <w:t> </w:t>
            </w:r>
          </w:p>
        </w:tc>
        <w:tc>
          <w:tcPr>
            <w:tcW w:w="1144" w:type="dxa"/>
            <w:tcBorders/>
            <w:shd w:fill="FFFFFF" w:val="clear"/>
            <w:vAlign w:val="center"/>
          </w:tcPr>
          <w:p>
            <w:pPr>
              <w:pStyle w:val="TableContents"/>
              <w:bidi w:val="0"/>
              <w:spacing w:before="0" w:after="283"/>
              <w:jc w:val="right"/>
              <w:rPr>
                <w:color w:val="000000"/>
              </w:rPr>
            </w:pPr>
            <w:r>
              <w:rPr>
                <w:color w:val="000000"/>
              </w:rPr>
              <w:t>3,576,000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(3,576,000</w:t>
            </w:r>
          </w:p>
        </w:tc>
        <w:tc>
          <w:tcPr>
            <w:tcW w:w="115" w:type="dxa"/>
            <w:tcBorders/>
            <w:shd w:fill="FFFFFF" w:val="clear"/>
            <w:vAlign w:val="center"/>
          </w:tcPr>
          <w:p>
            <w:pPr>
              <w:pStyle w:val="TableContents"/>
              <w:bidi w:val="0"/>
              <w:spacing w:before="0" w:after="283"/>
              <w:jc w:val="left"/>
              <w:rPr>
                <w:color w:val="000000"/>
              </w:rPr>
            </w:pPr>
            <w:r>
              <w:rPr>
                <w:color w:val="000000"/>
              </w:rPr>
              <w:t>)</w:t>
            </w:r>
          </w:p>
        </w:tc>
      </w:tr>
      <w:tr>
        <w:trPr/>
        <w:tc>
          <w:tcPr>
            <w:tcW w:w="1703" w:type="dxa"/>
            <w:tcBorders/>
            <w:shd w:fill="CCEEFF" w:val="clear"/>
            <w:vAlign w:val="center"/>
          </w:tcPr>
          <w:p>
            <w:pPr>
              <w:pStyle w:val="TableContents"/>
              <w:bidi w:val="0"/>
              <w:spacing w:before="0" w:after="283"/>
              <w:jc w:val="left"/>
              <w:rPr>
                <w:b/>
                <w:color w:val="000000"/>
              </w:rPr>
            </w:pPr>
            <w:r>
              <w:rPr>
                <w:b/>
                <w:color w:val="000000"/>
              </w:rPr>
              <w:t>Transfer of profits/sales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2,456,000</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63" w:type="dxa"/>
            <w:tcBorders/>
            <w:shd w:fill="CCEEFF" w:val="clear"/>
            <w:vAlign w:val="center"/>
          </w:tcPr>
          <w:p>
            <w:pPr>
              <w:pStyle w:val="TableContents"/>
              <w:bidi w:val="0"/>
              <w:spacing w:before="0" w:after="283"/>
              <w:jc w:val="left"/>
              <w:rPr>
                <w:color w:val="000000"/>
              </w:rPr>
            </w:pPr>
            <w:r>
              <w:rPr>
                <w:color w:val="000000"/>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204,000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2,252,000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12,034,000</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1,257,000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10,777,000</w:t>
            </w:r>
          </w:p>
        </w:tc>
        <w:tc>
          <w:tcPr>
            <w:tcW w:w="115" w:type="dxa"/>
            <w:tcBorders/>
            <w:shd w:fill="CCEEFF" w:val="clear"/>
            <w:vAlign w:val="center"/>
          </w:tcPr>
          <w:p>
            <w:pPr>
              <w:pStyle w:val="TableContents"/>
              <w:bidi w:val="0"/>
              <w:spacing w:before="0" w:after="283"/>
              <w:jc w:val="left"/>
              <w:rPr>
                <w:color w:val="000000"/>
              </w:rPr>
            </w:pPr>
            <w:r>
              <w:rPr>
                <w:color w:val="000000"/>
              </w:rPr>
              <w:t> </w:t>
            </w:r>
          </w:p>
        </w:tc>
      </w:tr>
      <w:tr>
        <w:trPr/>
        <w:tc>
          <w:tcPr>
            <w:tcW w:w="1703" w:type="dxa"/>
            <w:tcBorders/>
            <w:shd w:fill="FFFFFF" w:val="clear"/>
            <w:vAlign w:val="center"/>
          </w:tcPr>
          <w:p>
            <w:pPr>
              <w:pStyle w:val="TableContents"/>
              <w:bidi w:val="0"/>
              <w:spacing w:before="0" w:after="283"/>
              <w:jc w:val="left"/>
              <w:rPr>
                <w:b/>
                <w:color w:val="000000"/>
              </w:rPr>
            </w:pPr>
            <w:r>
              <w:rPr>
                <w:b/>
                <w:color w:val="000000"/>
              </w:rPr>
              <w:t>Total revenues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34,265,000</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63" w:type="dxa"/>
            <w:tcBorders/>
            <w:shd w:fill="FFFFFF" w:val="clear"/>
            <w:vAlign w:val="center"/>
          </w:tcPr>
          <w:p>
            <w:pPr>
              <w:pStyle w:val="TableContents"/>
              <w:bidi w:val="0"/>
              <w:spacing w:before="0" w:after="283"/>
              <w:jc w:val="left"/>
              <w:rPr>
                <w:color w:val="000000"/>
              </w:rPr>
            </w:pPr>
            <w:r>
              <w:rPr>
                <w:color w:val="000000"/>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22,823,000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11,442,000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93,838,000</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68,266,000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25,572,000</w:t>
            </w:r>
          </w:p>
        </w:tc>
        <w:tc>
          <w:tcPr>
            <w:tcW w:w="11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increase in revenues between periods was related to an increase in sales of our branded ophthalmology products, as well as an increase in the transfer of acquired products sales and profits related to the Fab 5 Acquisition and Santen Products Acquisition. This increase in 2023 was offset slightly by a decrease in commissions attributable to sales of DEXYCU® (which agreement terminated January 1, 2023) and a decrease in sales from our non-ophthalmology compounded products as a result of our sale of those assets in the fourth quarter of 2022. During the three and nine months ended September 30, 2023, revenues, including transfer of acquired product sales and profits, from branded products totaled $14,496,000 and $33,863,000, respectively, as compared to $654,000 and $1,896,000 during the same periods in the prior year, respectively.</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Cost of Sales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presents our cost of sales for the three and nine months ended September 30, 2023 and 2022:</w:t>
      </w:r>
    </w:p>
    <w:p>
      <w:pPr>
        <w:pStyle w:val="TextBody"/>
        <w:bidi w:val="0"/>
        <w:spacing w:before="0" w:after="0"/>
        <w:ind w:left="0" w:right="0" w:firstLine="720"/>
        <w:jc w:val="left"/>
        <w:rPr>
          <w:caps w:val="false"/>
          <w:smallCaps w:val="false"/>
          <w:color w:val="000000"/>
        </w:rPr>
      </w:pPr>
      <w:r>
        <w:rPr>
          <w:caps w:val="false"/>
          <w:smallCaps w:val="false"/>
          <w:color w:val="000000"/>
        </w:rPr>
        <w:t> </w:t>
      </w:r>
    </w:p>
    <w:tbl>
      <w:tblPr>
        <w:tblW w:w="9915" w:type="dxa"/>
        <w:jc w:val="left"/>
        <w:tblInd w:w="0" w:type="dxa"/>
        <w:tblLayout w:type="fixed"/>
        <w:tblCellMar>
          <w:top w:w="0" w:type="dxa"/>
          <w:left w:w="0" w:type="dxa"/>
          <w:bottom w:w="0" w:type="dxa"/>
          <w:right w:w="0" w:type="dxa"/>
        </w:tblCellMar>
      </w:tblPr>
      <w:tblGrid>
        <w:gridCol w:w="1280"/>
        <w:gridCol w:w="60"/>
        <w:gridCol w:w="170"/>
        <w:gridCol w:w="1339"/>
        <w:gridCol w:w="73"/>
        <w:gridCol w:w="73"/>
        <w:gridCol w:w="170"/>
        <w:gridCol w:w="1193"/>
        <w:gridCol w:w="60"/>
        <w:gridCol w:w="60"/>
        <w:gridCol w:w="140"/>
        <w:gridCol w:w="980"/>
        <w:gridCol w:w="60"/>
        <w:gridCol w:w="60"/>
        <w:gridCol w:w="155"/>
        <w:gridCol w:w="1220"/>
        <w:gridCol w:w="66"/>
        <w:gridCol w:w="66"/>
        <w:gridCol w:w="155"/>
        <w:gridCol w:w="1220"/>
        <w:gridCol w:w="60"/>
        <w:gridCol w:w="60"/>
        <w:gridCol w:w="140"/>
        <w:gridCol w:w="980"/>
        <w:gridCol w:w="75"/>
      </w:tblGrid>
      <w:tr>
        <w:trPr/>
        <w:tc>
          <w:tcPr>
            <w:tcW w:w="128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018" w:type="dxa"/>
            <w:gridSpan w:val="6"/>
            <w:tcBorders/>
            <w:vAlign w:val="center"/>
          </w:tcPr>
          <w:p>
            <w:pPr>
              <w:pStyle w:val="TableContents"/>
              <w:bidi w:val="0"/>
              <w:spacing w:before="0" w:after="283"/>
              <w:jc w:val="center"/>
              <w:rPr>
                <w:b/>
                <w:color w:val="000000"/>
              </w:rPr>
            </w:pPr>
            <w:r>
              <w:rPr>
                <w:b/>
                <w:color w:val="000000"/>
              </w:rPr>
              <w:t>For the Three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82" w:type="dxa"/>
            <w:gridSpan w:val="6"/>
            <w:tcBorders/>
            <w:vAlign w:val="center"/>
          </w:tcPr>
          <w:p>
            <w:pPr>
              <w:pStyle w:val="TableContents"/>
              <w:bidi w:val="0"/>
              <w:spacing w:before="0" w:after="283"/>
              <w:jc w:val="center"/>
              <w:rPr>
                <w:b/>
                <w:color w:val="000000"/>
              </w:rPr>
            </w:pPr>
            <w:r>
              <w:rPr>
                <w:b/>
                <w:color w:val="000000"/>
              </w:rPr>
              <w:t>For the Nine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75" w:type="dxa"/>
            <w:tcBorders/>
            <w:vAlign w:val="center"/>
          </w:tcPr>
          <w:p>
            <w:pPr>
              <w:pStyle w:val="TableContents"/>
              <w:bidi w:val="0"/>
              <w:spacing w:before="0" w:after="283"/>
              <w:jc w:val="left"/>
              <w:rPr>
                <w:color w:val="000000"/>
              </w:rPr>
            </w:pPr>
            <w:r>
              <w:rPr>
                <w:color w:val="000000"/>
              </w:rPr>
              <w:t> </w:t>
            </w:r>
          </w:p>
        </w:tc>
      </w:tr>
      <w:tr>
        <w:trPr/>
        <w:tc>
          <w:tcPr>
            <w:tcW w:w="128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82"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75" w:type="dxa"/>
            <w:tcBorders/>
            <w:vAlign w:val="center"/>
          </w:tcPr>
          <w:p>
            <w:pPr>
              <w:pStyle w:val="TableContents"/>
              <w:bidi w:val="0"/>
              <w:spacing w:before="0" w:after="283"/>
              <w:jc w:val="left"/>
              <w:rPr>
                <w:color w:val="000000"/>
              </w:rPr>
            </w:pPr>
            <w:r>
              <w:rPr>
                <w:color w:val="000000"/>
              </w:rPr>
              <w:t> </w:t>
            </w:r>
          </w:p>
        </w:tc>
      </w:tr>
      <w:tr>
        <w:trPr/>
        <w:tc>
          <w:tcPr>
            <w:tcW w:w="128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73" w:type="dxa"/>
            <w:tcBorders/>
            <w:vAlign w:val="center"/>
          </w:tcPr>
          <w:p>
            <w:pPr>
              <w:pStyle w:val="TableContents"/>
              <w:bidi w:val="0"/>
              <w:spacing w:before="0" w:after="283"/>
              <w:jc w:val="left"/>
              <w:rPr>
                <w:color w:val="000000"/>
              </w:rPr>
            </w:pPr>
            <w:r>
              <w:rPr>
                <w:color w:val="000000"/>
              </w:rPr>
              <w:t> </w:t>
            </w:r>
          </w:p>
        </w:tc>
        <w:tc>
          <w:tcPr>
            <w:tcW w:w="73" w:type="dxa"/>
            <w:tcBorders/>
            <w:vAlign w:val="center"/>
          </w:tcPr>
          <w:p>
            <w:pPr>
              <w:pStyle w:val="TableContents"/>
              <w:bidi w:val="0"/>
              <w:spacing w:before="0" w:after="283"/>
              <w:jc w:val="left"/>
              <w:rPr>
                <w:color w:val="000000"/>
              </w:rPr>
            </w:pPr>
            <w:r>
              <w:rPr>
                <w:color w:val="000000"/>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6" w:type="dxa"/>
            <w:tcBorders/>
            <w:vAlign w:val="center"/>
          </w:tcPr>
          <w:p>
            <w:pPr>
              <w:pStyle w:val="TableContents"/>
              <w:bidi w:val="0"/>
              <w:spacing w:before="0" w:after="283"/>
              <w:jc w:val="left"/>
              <w:rPr>
                <w:color w:val="000000"/>
              </w:rPr>
            </w:pPr>
            <w:r>
              <w:rPr>
                <w:color w:val="000000"/>
              </w:rPr>
              <w:t> </w:t>
            </w:r>
          </w:p>
        </w:tc>
        <w:tc>
          <w:tcPr>
            <w:tcW w:w="66" w:type="dxa"/>
            <w:tcBorders/>
            <w:vAlign w:val="center"/>
          </w:tcPr>
          <w:p>
            <w:pPr>
              <w:pStyle w:val="TableContents"/>
              <w:bidi w:val="0"/>
              <w:spacing w:before="0" w:after="283"/>
              <w:jc w:val="left"/>
              <w:rPr>
                <w:color w:val="000000"/>
              </w:rPr>
            </w:pPr>
            <w:r>
              <w:rPr>
                <w:color w:val="000000"/>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75" w:type="dxa"/>
            <w:tcBorders/>
            <w:vAlign w:val="center"/>
          </w:tcPr>
          <w:p>
            <w:pPr>
              <w:pStyle w:val="TableContents"/>
              <w:bidi w:val="0"/>
              <w:spacing w:before="0" w:after="283"/>
              <w:jc w:val="left"/>
              <w:rPr>
                <w:color w:val="000000"/>
              </w:rPr>
            </w:pPr>
            <w:r>
              <w:rPr>
                <w:color w:val="000000"/>
              </w:rPr>
              <w:t> </w:t>
            </w:r>
          </w:p>
        </w:tc>
      </w:tr>
      <w:tr>
        <w:trPr/>
        <w:tc>
          <w:tcPr>
            <w:tcW w:w="1280" w:type="dxa"/>
            <w:tcBorders/>
            <w:shd w:fill="CCEEFF" w:val="clear"/>
            <w:vAlign w:val="center"/>
          </w:tcPr>
          <w:p>
            <w:pPr>
              <w:pStyle w:val="TableContents"/>
              <w:bidi w:val="0"/>
              <w:spacing w:before="0" w:after="283"/>
              <w:jc w:val="left"/>
              <w:rPr>
                <w:b/>
                <w:color w:val="000000"/>
              </w:rPr>
            </w:pPr>
            <w:r>
              <w:rPr>
                <w:b/>
                <w:color w:val="000000"/>
              </w:rPr>
              <w:t>Cost of sales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10,067,000</w:t>
            </w:r>
          </w:p>
        </w:tc>
        <w:tc>
          <w:tcPr>
            <w:tcW w:w="73" w:type="dxa"/>
            <w:tcBorders/>
            <w:shd w:fill="CCEEFF" w:val="clear"/>
            <w:vAlign w:val="center"/>
          </w:tcPr>
          <w:p>
            <w:pPr>
              <w:pStyle w:val="TableContents"/>
              <w:bidi w:val="0"/>
              <w:spacing w:before="0" w:after="283"/>
              <w:jc w:val="left"/>
              <w:rPr>
                <w:color w:val="000000"/>
              </w:rPr>
            </w:pPr>
            <w:r>
              <w:rPr>
                <w:color w:val="000000"/>
              </w:rPr>
              <w:t> </w:t>
            </w:r>
          </w:p>
        </w:tc>
        <w:tc>
          <w:tcPr>
            <w:tcW w:w="73" w:type="dxa"/>
            <w:tcBorders/>
            <w:shd w:fill="CCEEFF" w:val="clear"/>
            <w:vAlign w:val="center"/>
          </w:tcPr>
          <w:p>
            <w:pPr>
              <w:pStyle w:val="TableContents"/>
              <w:bidi w:val="0"/>
              <w:spacing w:before="0" w:after="283"/>
              <w:jc w:val="left"/>
              <w:rPr>
                <w:color w:val="000000"/>
              </w:rPr>
            </w:pPr>
            <w:r>
              <w:rPr>
                <w:color w:val="000000"/>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6,721,000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3,346,000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28,338,000</w:t>
            </w:r>
          </w:p>
        </w:tc>
        <w:tc>
          <w:tcPr>
            <w:tcW w:w="66" w:type="dxa"/>
            <w:tcBorders/>
            <w:shd w:fill="CCEEFF" w:val="clear"/>
            <w:vAlign w:val="center"/>
          </w:tcPr>
          <w:p>
            <w:pPr>
              <w:pStyle w:val="TableContents"/>
              <w:bidi w:val="0"/>
              <w:spacing w:before="0" w:after="283"/>
              <w:jc w:val="left"/>
              <w:rPr>
                <w:color w:val="000000"/>
              </w:rPr>
            </w:pPr>
            <w:r>
              <w:rPr>
                <w:color w:val="000000"/>
              </w:rPr>
              <w:t> </w:t>
            </w:r>
          </w:p>
        </w:tc>
        <w:tc>
          <w:tcPr>
            <w:tcW w:w="66" w:type="dxa"/>
            <w:tcBorders/>
            <w:shd w:fill="CCEEFF" w:val="clear"/>
            <w:vAlign w:val="center"/>
          </w:tcPr>
          <w:p>
            <w:pPr>
              <w:pStyle w:val="TableContents"/>
              <w:bidi w:val="0"/>
              <w:spacing w:before="0" w:after="283"/>
              <w:jc w:val="left"/>
              <w:rPr>
                <w:color w:val="000000"/>
              </w:rPr>
            </w:pPr>
            <w:r>
              <w:rPr>
                <w:color w:val="000000"/>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19,218,000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9,120,000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increase in our cost of sales was largely attributable to the amortization of acquired product NDAs and product licenses which totaled $2,480,000 and $7,174,000 for the three and nine months ended September 30, 2023, respectively, compared to $341,000 and $1,023,000 during the prior year periods, respectively, offset by lesser increases in expenses associated with unit volumes sold and increased direct and indirect costs associated with production of our products.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Gross Profit and Margin</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032"/>
        <w:gridCol w:w="60"/>
        <w:gridCol w:w="145"/>
        <w:gridCol w:w="1142"/>
        <w:gridCol w:w="223"/>
        <w:gridCol w:w="62"/>
        <w:gridCol w:w="145"/>
        <w:gridCol w:w="1142"/>
        <w:gridCol w:w="215"/>
        <w:gridCol w:w="60"/>
        <w:gridCol w:w="140"/>
        <w:gridCol w:w="980"/>
        <w:gridCol w:w="215"/>
        <w:gridCol w:w="60"/>
        <w:gridCol w:w="142"/>
        <w:gridCol w:w="1120"/>
        <w:gridCol w:w="219"/>
        <w:gridCol w:w="60"/>
        <w:gridCol w:w="142"/>
        <w:gridCol w:w="1120"/>
        <w:gridCol w:w="215"/>
        <w:gridCol w:w="60"/>
        <w:gridCol w:w="140"/>
        <w:gridCol w:w="1100"/>
        <w:gridCol w:w="266"/>
      </w:tblGrid>
      <w:tr>
        <w:trPr/>
        <w:tc>
          <w:tcPr>
            <w:tcW w:w="103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59" w:type="dxa"/>
            <w:gridSpan w:val="6"/>
            <w:tcBorders/>
            <w:vAlign w:val="center"/>
          </w:tcPr>
          <w:p>
            <w:pPr>
              <w:pStyle w:val="TableContents"/>
              <w:bidi w:val="0"/>
              <w:spacing w:before="0" w:after="283"/>
              <w:jc w:val="center"/>
              <w:rPr>
                <w:b/>
                <w:color w:val="000000"/>
              </w:rPr>
            </w:pPr>
            <w:r>
              <w:rPr>
                <w:b/>
                <w:color w:val="000000"/>
              </w:rPr>
              <w:t>For the Three Months Ended</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03" w:type="dxa"/>
            <w:gridSpan w:val="6"/>
            <w:tcBorders/>
            <w:vAlign w:val="center"/>
          </w:tcPr>
          <w:p>
            <w:pPr>
              <w:pStyle w:val="TableContents"/>
              <w:bidi w:val="0"/>
              <w:spacing w:before="0" w:after="283"/>
              <w:jc w:val="center"/>
              <w:rPr>
                <w:b/>
                <w:color w:val="000000"/>
              </w:rPr>
            </w:pPr>
            <w:r>
              <w:rPr>
                <w:b/>
                <w:color w:val="000000"/>
              </w:rPr>
              <w:t>For the Nine Months Ended</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266" w:type="dxa"/>
            <w:tcBorders/>
            <w:vAlign w:val="center"/>
          </w:tcPr>
          <w:p>
            <w:pPr>
              <w:pStyle w:val="TableContents"/>
              <w:bidi w:val="0"/>
              <w:spacing w:before="0" w:after="283"/>
              <w:jc w:val="left"/>
              <w:rPr>
                <w:color w:val="000000"/>
              </w:rPr>
            </w:pPr>
            <w:r>
              <w:rPr>
                <w:color w:val="000000"/>
              </w:rPr>
              <w:t> </w:t>
            </w:r>
          </w:p>
        </w:tc>
      </w:tr>
      <w:tr>
        <w:trPr/>
        <w:tc>
          <w:tcPr>
            <w:tcW w:w="103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59"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03"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266" w:type="dxa"/>
            <w:tcBorders/>
            <w:vAlign w:val="center"/>
          </w:tcPr>
          <w:p>
            <w:pPr>
              <w:pStyle w:val="TableContents"/>
              <w:bidi w:val="0"/>
              <w:spacing w:before="0" w:after="283"/>
              <w:jc w:val="left"/>
              <w:rPr>
                <w:color w:val="000000"/>
              </w:rPr>
            </w:pPr>
            <w:r>
              <w:rPr>
                <w:color w:val="000000"/>
              </w:rPr>
              <w:t> </w:t>
            </w:r>
          </w:p>
        </w:tc>
      </w:tr>
      <w:tr>
        <w:trPr/>
        <w:tc>
          <w:tcPr>
            <w:tcW w:w="103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223" w:type="dxa"/>
            <w:tcBorders/>
            <w:vAlign w:val="center"/>
          </w:tcPr>
          <w:p>
            <w:pPr>
              <w:pStyle w:val="TableContents"/>
              <w:bidi w:val="0"/>
              <w:spacing w:before="0" w:after="283"/>
              <w:jc w:val="left"/>
              <w:rPr>
                <w:color w:val="000000"/>
              </w:rPr>
            </w:pPr>
            <w:r>
              <w:rPr>
                <w:color w:val="000000"/>
              </w:rPr>
              <w:t> </w:t>
            </w:r>
          </w:p>
        </w:tc>
        <w:tc>
          <w:tcPr>
            <w:tcW w:w="62" w:type="dxa"/>
            <w:tcBorders/>
            <w:vAlign w:val="center"/>
          </w:tcPr>
          <w:p>
            <w:pPr>
              <w:pStyle w:val="TableContents"/>
              <w:bidi w:val="0"/>
              <w:spacing w:before="0" w:after="283"/>
              <w:jc w:val="left"/>
              <w:rPr>
                <w:color w:val="000000"/>
              </w:rPr>
            </w:pPr>
            <w:r>
              <w:rPr>
                <w:color w:val="000000"/>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219"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266" w:type="dxa"/>
            <w:tcBorders/>
            <w:vAlign w:val="center"/>
          </w:tcPr>
          <w:p>
            <w:pPr>
              <w:pStyle w:val="TableContents"/>
              <w:bidi w:val="0"/>
              <w:spacing w:before="0" w:after="283"/>
              <w:jc w:val="left"/>
              <w:rPr>
                <w:color w:val="000000"/>
              </w:rPr>
            </w:pPr>
            <w:r>
              <w:rPr>
                <w:color w:val="000000"/>
              </w:rPr>
              <w:t> </w:t>
            </w:r>
          </w:p>
        </w:tc>
      </w:tr>
      <w:tr>
        <w:trPr/>
        <w:tc>
          <w:tcPr>
            <w:tcW w:w="1032" w:type="dxa"/>
            <w:tcBorders/>
            <w:shd w:fill="CCEEFF" w:val="clear"/>
            <w:vAlign w:val="center"/>
          </w:tcPr>
          <w:p>
            <w:pPr>
              <w:pStyle w:val="TableContents"/>
              <w:bidi w:val="0"/>
              <w:spacing w:before="0" w:after="283"/>
              <w:jc w:val="left"/>
              <w:rPr>
                <w:b/>
                <w:color w:val="000000"/>
              </w:rPr>
            </w:pPr>
            <w:r>
              <w:rPr>
                <w:b/>
                <w:color w:val="000000"/>
              </w:rPr>
              <w:t>Gross profit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24,198,000</w:t>
            </w:r>
          </w:p>
        </w:tc>
        <w:tc>
          <w:tcPr>
            <w:tcW w:w="223"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16,102,000</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8,096,000</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65,500,000</w:t>
            </w:r>
          </w:p>
        </w:tc>
        <w:tc>
          <w:tcPr>
            <w:tcW w:w="219"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49,048,000</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16,452,000</w:t>
            </w:r>
          </w:p>
        </w:tc>
        <w:tc>
          <w:tcPr>
            <w:tcW w:w="266" w:type="dxa"/>
            <w:tcBorders/>
            <w:shd w:fill="CCEEFF" w:val="clear"/>
            <w:vAlign w:val="center"/>
          </w:tcPr>
          <w:p>
            <w:pPr>
              <w:pStyle w:val="TableContents"/>
              <w:bidi w:val="0"/>
              <w:spacing w:before="0" w:after="283"/>
              <w:jc w:val="left"/>
              <w:rPr>
                <w:color w:val="000000"/>
              </w:rPr>
            </w:pPr>
            <w:r>
              <w:rPr>
                <w:color w:val="000000"/>
              </w:rPr>
              <w:t> </w:t>
            </w:r>
          </w:p>
        </w:tc>
      </w:tr>
      <w:tr>
        <w:trPr/>
        <w:tc>
          <w:tcPr>
            <w:tcW w:w="1032" w:type="dxa"/>
            <w:tcBorders/>
            <w:shd w:fill="FFFFFF" w:val="clear"/>
            <w:vAlign w:val="center"/>
          </w:tcPr>
          <w:p>
            <w:pPr>
              <w:pStyle w:val="TableContents"/>
              <w:bidi w:val="0"/>
              <w:spacing w:before="0" w:after="283"/>
              <w:jc w:val="left"/>
              <w:rPr>
                <w:b/>
                <w:color w:val="000000"/>
              </w:rPr>
            </w:pPr>
            <w:r>
              <w:rPr>
                <w:b/>
                <w:color w:val="000000"/>
              </w:rPr>
              <w:t>Gross margin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42"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70.62</w:t>
            </w:r>
          </w:p>
        </w:tc>
        <w:tc>
          <w:tcPr>
            <w:tcW w:w="223" w:type="dxa"/>
            <w:tcBorders/>
            <w:shd w:fill="FFFFFF" w:val="clear"/>
            <w:vAlign w:val="center"/>
          </w:tcPr>
          <w:p>
            <w:pPr>
              <w:pStyle w:val="TableContents"/>
              <w:bidi w:val="0"/>
              <w:spacing w:before="0" w:after="283"/>
              <w:jc w:val="left"/>
              <w:rPr>
                <w:color w:val="000000"/>
              </w:rPr>
            </w:pPr>
            <w:r>
              <w:rPr>
                <w:color w:val="000000"/>
              </w:rPr>
              <w:t>%</w:t>
            </w:r>
          </w:p>
        </w:tc>
        <w:tc>
          <w:tcPr>
            <w:tcW w:w="62" w:type="dxa"/>
            <w:tcBorders/>
            <w:shd w:fill="FFFF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42"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70.55</w:t>
            </w:r>
          </w:p>
        </w:tc>
        <w:tc>
          <w:tcPr>
            <w:tcW w:w="21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0.07</w:t>
            </w:r>
          </w:p>
        </w:tc>
        <w:tc>
          <w:tcPr>
            <w:tcW w:w="21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69.80</w:t>
            </w:r>
          </w:p>
        </w:tc>
        <w:tc>
          <w:tcPr>
            <w:tcW w:w="219"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71.85</w:t>
            </w:r>
          </w:p>
        </w:tc>
        <w:tc>
          <w:tcPr>
            <w:tcW w:w="215" w:type="dxa"/>
            <w:tcBorders/>
            <w:shd w:fill="FFFFFF" w:val="clear"/>
            <w:vAlign w:val="center"/>
          </w:tcPr>
          <w:p>
            <w:pPr>
              <w:pStyle w:val="TableContents"/>
              <w:bidi w:val="0"/>
              <w:spacing w:before="0" w:after="283"/>
              <w:jc w:val="left"/>
              <w:rPr>
                <w:color w:val="000000"/>
              </w:rPr>
            </w:pPr>
            <w:r>
              <w:rPr>
                <w:color w:val="000000"/>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(2.05</w:t>
            </w:r>
          </w:p>
        </w:tc>
        <w:tc>
          <w:tcPr>
            <w:tcW w:w="266" w:type="dxa"/>
            <w:tcBorders/>
            <w:shd w:fill="FFFFFF" w:val="clear"/>
            <w:vAlign w:val="center"/>
          </w:tcPr>
          <w:p>
            <w:pPr>
              <w:pStyle w:val="TableContents"/>
              <w:bidi w:val="0"/>
              <w:spacing w:before="0" w:after="283"/>
              <w:jc w:val="left"/>
              <w:rPr>
                <w:color w:val="000000"/>
              </w:rPr>
            </w:pPr>
            <w:r>
              <w:rPr>
                <w:color w:val="000000"/>
              </w:rPr>
              <w:t>)%</w:t>
            </w:r>
          </w:p>
        </w:tc>
      </w:tr>
    </w:tbl>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decrease in gross margin between the nine months ended September 30, 2023 and 2022 was primarily attributable to amortization of acquired NDAs from the Fab 5 Acquisition, beginning in January 2023.</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Selling, General and Administrative Expenses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presents our selling, general and administrative expenses for the three and nine months ended September 30, 2023 and 2022:</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982"/>
        <w:gridCol w:w="60"/>
        <w:gridCol w:w="145"/>
        <w:gridCol w:w="1142"/>
        <w:gridCol w:w="62"/>
        <w:gridCol w:w="62"/>
        <w:gridCol w:w="145"/>
        <w:gridCol w:w="1142"/>
        <w:gridCol w:w="60"/>
        <w:gridCol w:w="60"/>
        <w:gridCol w:w="140"/>
        <w:gridCol w:w="980"/>
        <w:gridCol w:w="60"/>
        <w:gridCol w:w="60"/>
        <w:gridCol w:w="143"/>
        <w:gridCol w:w="1128"/>
        <w:gridCol w:w="61"/>
        <w:gridCol w:w="61"/>
        <w:gridCol w:w="143"/>
        <w:gridCol w:w="1128"/>
        <w:gridCol w:w="60"/>
        <w:gridCol w:w="60"/>
        <w:gridCol w:w="140"/>
        <w:gridCol w:w="1100"/>
        <w:gridCol w:w="81"/>
      </w:tblGrid>
      <w:tr>
        <w:trPr/>
        <w:tc>
          <w:tcPr>
            <w:tcW w:w="198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98" w:type="dxa"/>
            <w:gridSpan w:val="6"/>
            <w:tcBorders/>
            <w:vAlign w:val="center"/>
          </w:tcPr>
          <w:p>
            <w:pPr>
              <w:pStyle w:val="TableContents"/>
              <w:bidi w:val="0"/>
              <w:spacing w:before="0" w:after="283"/>
              <w:jc w:val="center"/>
              <w:rPr>
                <w:b/>
                <w:color w:val="000000"/>
              </w:rPr>
            </w:pPr>
            <w:r>
              <w:rPr>
                <w:b/>
                <w:color w:val="000000"/>
              </w:rPr>
              <w:t>For the Three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64" w:type="dxa"/>
            <w:gridSpan w:val="6"/>
            <w:tcBorders/>
            <w:vAlign w:val="center"/>
          </w:tcPr>
          <w:p>
            <w:pPr>
              <w:pStyle w:val="TableContents"/>
              <w:bidi w:val="0"/>
              <w:spacing w:before="0" w:after="283"/>
              <w:jc w:val="center"/>
              <w:rPr>
                <w:b/>
                <w:color w:val="000000"/>
              </w:rPr>
            </w:pPr>
            <w:r>
              <w:rPr>
                <w:b/>
                <w:color w:val="000000"/>
              </w:rPr>
              <w:t>For the Nine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81" w:type="dxa"/>
            <w:tcBorders/>
            <w:vAlign w:val="center"/>
          </w:tcPr>
          <w:p>
            <w:pPr>
              <w:pStyle w:val="TableContents"/>
              <w:bidi w:val="0"/>
              <w:spacing w:before="0" w:after="283"/>
              <w:jc w:val="left"/>
              <w:rPr>
                <w:color w:val="000000"/>
              </w:rPr>
            </w:pPr>
            <w:r>
              <w:rPr>
                <w:color w:val="000000"/>
              </w:rPr>
              <w:t> </w:t>
            </w:r>
          </w:p>
        </w:tc>
      </w:tr>
      <w:tr>
        <w:trPr/>
        <w:tc>
          <w:tcPr>
            <w:tcW w:w="198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98"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64"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t>
            </w:r>
          </w:p>
        </w:tc>
        <w:tc>
          <w:tcPr>
            <w:tcW w:w="81" w:type="dxa"/>
            <w:tcBorders/>
            <w:vAlign w:val="center"/>
          </w:tcPr>
          <w:p>
            <w:pPr>
              <w:pStyle w:val="TableContents"/>
              <w:bidi w:val="0"/>
              <w:spacing w:before="0" w:after="283"/>
              <w:jc w:val="left"/>
              <w:rPr>
                <w:color w:val="000000"/>
              </w:rPr>
            </w:pPr>
            <w:r>
              <w:rPr>
                <w:color w:val="000000"/>
              </w:rPr>
              <w:t> </w:t>
            </w:r>
          </w:p>
        </w:tc>
      </w:tr>
      <w:tr>
        <w:trPr/>
        <w:tc>
          <w:tcPr>
            <w:tcW w:w="198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2" w:type="dxa"/>
            <w:tcBorders/>
            <w:vAlign w:val="center"/>
          </w:tcPr>
          <w:p>
            <w:pPr>
              <w:pStyle w:val="TableContents"/>
              <w:bidi w:val="0"/>
              <w:spacing w:before="0" w:after="283"/>
              <w:jc w:val="left"/>
              <w:rPr>
                <w:color w:val="000000"/>
              </w:rPr>
            </w:pPr>
            <w:r>
              <w:rPr>
                <w:color w:val="000000"/>
              </w:rPr>
              <w:t> </w:t>
            </w:r>
          </w:p>
        </w:tc>
        <w:tc>
          <w:tcPr>
            <w:tcW w:w="62" w:type="dxa"/>
            <w:tcBorders/>
            <w:vAlign w:val="center"/>
          </w:tcPr>
          <w:p>
            <w:pPr>
              <w:pStyle w:val="TableContents"/>
              <w:bidi w:val="0"/>
              <w:spacing w:before="0" w:after="283"/>
              <w:jc w:val="left"/>
              <w:rPr>
                <w:color w:val="000000"/>
              </w:rPr>
            </w:pPr>
            <w:r>
              <w:rPr>
                <w:color w:val="000000"/>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7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1" w:type="dxa"/>
            <w:tcBorders/>
            <w:vAlign w:val="center"/>
          </w:tcPr>
          <w:p>
            <w:pPr>
              <w:pStyle w:val="TableContents"/>
              <w:bidi w:val="0"/>
              <w:spacing w:before="0" w:after="283"/>
              <w:jc w:val="left"/>
              <w:rPr>
                <w:color w:val="000000"/>
              </w:rPr>
            </w:pPr>
            <w:r>
              <w:rPr>
                <w:color w:val="000000"/>
              </w:rPr>
              <w:t> </w:t>
            </w:r>
          </w:p>
        </w:tc>
        <w:tc>
          <w:tcPr>
            <w:tcW w:w="61" w:type="dxa"/>
            <w:tcBorders/>
            <w:vAlign w:val="center"/>
          </w:tcPr>
          <w:p>
            <w:pPr>
              <w:pStyle w:val="TableContents"/>
              <w:bidi w:val="0"/>
              <w:spacing w:before="0" w:after="283"/>
              <w:jc w:val="left"/>
              <w:rPr>
                <w:color w:val="000000"/>
              </w:rPr>
            </w:pPr>
            <w:r>
              <w:rPr>
                <w:color w:val="000000"/>
              </w:rPr>
              <w:t> </w:t>
            </w:r>
          </w:p>
        </w:tc>
        <w:tc>
          <w:tcPr>
            <w:tcW w:w="127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81" w:type="dxa"/>
            <w:tcBorders/>
            <w:vAlign w:val="center"/>
          </w:tcPr>
          <w:p>
            <w:pPr>
              <w:pStyle w:val="TableContents"/>
              <w:bidi w:val="0"/>
              <w:spacing w:before="0" w:after="283"/>
              <w:jc w:val="left"/>
              <w:rPr>
                <w:color w:val="000000"/>
              </w:rPr>
            </w:pPr>
            <w:r>
              <w:rPr>
                <w:color w:val="000000"/>
              </w:rPr>
              <w:t> </w:t>
            </w:r>
          </w:p>
        </w:tc>
      </w:tr>
      <w:tr>
        <w:trPr/>
        <w:tc>
          <w:tcPr>
            <w:tcW w:w="1982" w:type="dxa"/>
            <w:tcBorders/>
            <w:shd w:fill="CCEEFF" w:val="clear"/>
            <w:vAlign w:val="center"/>
          </w:tcPr>
          <w:p>
            <w:pPr>
              <w:pStyle w:val="TableContents"/>
              <w:bidi w:val="0"/>
              <w:spacing w:before="0" w:after="283"/>
              <w:jc w:val="left"/>
              <w:rPr>
                <w:b/>
                <w:color w:val="000000"/>
              </w:rPr>
            </w:pPr>
            <w:r>
              <w:rPr>
                <w:b/>
                <w:color w:val="000000"/>
              </w:rPr>
              <w:t>Selling, general and administrative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21,033,000</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62" w:type="dxa"/>
            <w:tcBorders/>
            <w:shd w:fill="CCEEFF" w:val="clear"/>
            <w:vAlign w:val="center"/>
          </w:tcPr>
          <w:p>
            <w:pPr>
              <w:pStyle w:val="TableContents"/>
              <w:bidi w:val="0"/>
              <w:spacing w:before="0" w:after="283"/>
              <w:jc w:val="left"/>
              <w:rPr>
                <w:color w:val="000000"/>
              </w:rPr>
            </w:pPr>
            <w:r>
              <w:rPr>
                <w:color w:val="000000"/>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15,421,000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5,612,000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56,878,000</w:t>
            </w:r>
          </w:p>
        </w:tc>
        <w:tc>
          <w:tcPr>
            <w:tcW w:w="61" w:type="dxa"/>
            <w:tcBorders/>
            <w:shd w:fill="CCEEFF" w:val="clear"/>
            <w:vAlign w:val="center"/>
          </w:tcPr>
          <w:p>
            <w:pPr>
              <w:pStyle w:val="TableContents"/>
              <w:bidi w:val="0"/>
              <w:spacing w:before="0" w:after="283"/>
              <w:jc w:val="left"/>
              <w:rPr>
                <w:color w:val="000000"/>
              </w:rPr>
            </w:pPr>
            <w:r>
              <w:rPr>
                <w:color w:val="000000"/>
              </w:rPr>
              <w:t> </w:t>
            </w:r>
          </w:p>
        </w:tc>
        <w:tc>
          <w:tcPr>
            <w:tcW w:w="61" w:type="dxa"/>
            <w:tcBorders/>
            <w:shd w:fill="CCEEFF" w:val="clear"/>
            <w:vAlign w:val="center"/>
          </w:tcPr>
          <w:p>
            <w:pPr>
              <w:pStyle w:val="TableContents"/>
              <w:bidi w:val="0"/>
              <w:spacing w:before="0" w:after="283"/>
              <w:jc w:val="left"/>
              <w:rPr>
                <w:color w:val="000000"/>
              </w:rPr>
            </w:pPr>
            <w:r>
              <w:rPr>
                <w:color w:val="000000"/>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43,004,000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13,874,000</w:t>
            </w:r>
          </w:p>
        </w:tc>
        <w:tc>
          <w:tcPr>
            <w:tcW w:w="81"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increase in selling, general and administrative expenses between periods was primarily attributable to an increase in stock-based compensation expense of $4,476,000 and $11,521,000 for the three and nine months ended September 30, 2023, respectively, compared to the prior year periods, including new expenses associated with performance stock units granted in April 2023. Other areas of increased expenses included regulatory enhancements, costs to support the transition of recent product acquisitions, and an increase in expenses related to the addition of new employees in sales, marketing and other departments to support current and expected growth, including the commercial launch of IHEEZO in April 2023.</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Research and Development Expenses </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presents our research and development expenses for the three and nine months ended September 30, 2023 and 2022:</w:t>
      </w:r>
    </w:p>
    <w:p>
      <w:pPr>
        <w:pStyle w:val="TextBody"/>
        <w:bidi w:val="0"/>
        <w:spacing w:before="0" w:after="0"/>
        <w:ind w:left="0" w:right="0" w:firstLine="72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329"/>
        <w:gridCol w:w="60"/>
        <w:gridCol w:w="176"/>
        <w:gridCol w:w="1240"/>
        <w:gridCol w:w="75"/>
        <w:gridCol w:w="75"/>
        <w:gridCol w:w="176"/>
        <w:gridCol w:w="1012"/>
        <w:gridCol w:w="60"/>
        <w:gridCol w:w="60"/>
        <w:gridCol w:w="141"/>
        <w:gridCol w:w="809"/>
        <w:gridCol w:w="60"/>
        <w:gridCol w:w="60"/>
        <w:gridCol w:w="161"/>
        <w:gridCol w:w="1130"/>
        <w:gridCol w:w="68"/>
        <w:gridCol w:w="68"/>
        <w:gridCol w:w="161"/>
        <w:gridCol w:w="1130"/>
        <w:gridCol w:w="60"/>
        <w:gridCol w:w="60"/>
        <w:gridCol w:w="141"/>
        <w:gridCol w:w="809"/>
        <w:gridCol w:w="84"/>
      </w:tblGrid>
      <w:tr>
        <w:trPr/>
        <w:tc>
          <w:tcPr>
            <w:tcW w:w="2329"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54" w:type="dxa"/>
            <w:gridSpan w:val="6"/>
            <w:tcBorders/>
            <w:vAlign w:val="center"/>
          </w:tcPr>
          <w:p>
            <w:pPr>
              <w:pStyle w:val="TableContents"/>
              <w:bidi w:val="0"/>
              <w:spacing w:before="0" w:after="283"/>
              <w:jc w:val="center"/>
              <w:rPr>
                <w:b/>
                <w:color w:val="000000"/>
              </w:rPr>
            </w:pPr>
            <w:r>
              <w:rPr>
                <w:b/>
                <w:color w:val="000000"/>
              </w:rPr>
              <w:t>For the Three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5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18" w:type="dxa"/>
            <w:gridSpan w:val="6"/>
            <w:tcBorders/>
            <w:vAlign w:val="center"/>
          </w:tcPr>
          <w:p>
            <w:pPr>
              <w:pStyle w:val="TableContents"/>
              <w:bidi w:val="0"/>
              <w:spacing w:before="0" w:after="283"/>
              <w:jc w:val="center"/>
              <w:rPr>
                <w:b/>
                <w:color w:val="000000"/>
              </w:rPr>
            </w:pPr>
            <w:r>
              <w:rPr>
                <w:b/>
                <w:color w:val="000000"/>
              </w:rPr>
              <w:t>For the Nine Months Ended</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50" w:type="dxa"/>
            <w:gridSpan w:val="2"/>
            <w:tcBorders/>
            <w:vAlign w:val="center"/>
          </w:tcPr>
          <w:p>
            <w:pPr>
              <w:pStyle w:val="TableContents"/>
              <w:bidi w:val="0"/>
              <w:spacing w:before="0" w:after="283"/>
              <w:jc w:val="left"/>
              <w:rPr>
                <w:color w:val="000000"/>
              </w:rPr>
            </w:pPr>
            <w:r>
              <w:rPr>
                <w:color w:val="000000"/>
              </w:rPr>
              <w:t> </w:t>
            </w:r>
          </w:p>
        </w:tc>
        <w:tc>
          <w:tcPr>
            <w:tcW w:w="84" w:type="dxa"/>
            <w:tcBorders/>
            <w:vAlign w:val="center"/>
          </w:tcPr>
          <w:p>
            <w:pPr>
              <w:pStyle w:val="TableContents"/>
              <w:bidi w:val="0"/>
              <w:spacing w:before="0" w:after="283"/>
              <w:jc w:val="left"/>
              <w:rPr>
                <w:color w:val="000000"/>
              </w:rPr>
            </w:pPr>
            <w:r>
              <w:rPr>
                <w:color w:val="000000"/>
              </w:rPr>
              <w:t> </w:t>
            </w:r>
          </w:p>
        </w:tc>
      </w:tr>
      <w:tr>
        <w:trPr/>
        <w:tc>
          <w:tcPr>
            <w:tcW w:w="2329"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54"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September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w:t>
            </w:r>
          </w:p>
        </w:tc>
        <w:tc>
          <w:tcPr>
            <w:tcW w:w="84" w:type="dxa"/>
            <w:tcBorders/>
            <w:vAlign w:val="center"/>
          </w:tcPr>
          <w:p>
            <w:pPr>
              <w:pStyle w:val="TableContents"/>
              <w:bidi w:val="0"/>
              <w:spacing w:before="0" w:after="283"/>
              <w:jc w:val="left"/>
              <w:rPr>
                <w:color w:val="000000"/>
              </w:rPr>
            </w:pPr>
            <w:r>
              <w:rPr>
                <w:color w:val="000000"/>
              </w:rPr>
              <w:t> </w:t>
            </w:r>
          </w:p>
        </w:tc>
      </w:tr>
      <w:tr>
        <w:trPr/>
        <w:tc>
          <w:tcPr>
            <w:tcW w:w="2329"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75" w:type="dxa"/>
            <w:tcBorders/>
            <w:vAlign w:val="center"/>
          </w:tcPr>
          <w:p>
            <w:pPr>
              <w:pStyle w:val="TableContents"/>
              <w:bidi w:val="0"/>
              <w:spacing w:before="0" w:after="283"/>
              <w:jc w:val="left"/>
              <w:rPr>
                <w:color w:val="000000"/>
              </w:rPr>
            </w:pPr>
            <w:r>
              <w:rPr>
                <w:color w:val="000000"/>
              </w:rPr>
              <w:t> </w:t>
            </w:r>
          </w:p>
        </w:tc>
        <w:tc>
          <w:tcPr>
            <w:tcW w:w="75" w:type="dxa"/>
            <w:tcBorders/>
            <w:vAlign w:val="center"/>
          </w:tcPr>
          <w:p>
            <w:pPr>
              <w:pStyle w:val="TableContents"/>
              <w:bidi w:val="0"/>
              <w:spacing w:before="0" w:after="283"/>
              <w:jc w:val="left"/>
              <w:rPr>
                <w:color w:val="000000"/>
              </w:rPr>
            </w:pPr>
            <w:r>
              <w:rPr>
                <w:color w:val="000000"/>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9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68" w:type="dxa"/>
            <w:tcBorders/>
            <w:vAlign w:val="center"/>
          </w:tcPr>
          <w:p>
            <w:pPr>
              <w:pStyle w:val="TableContents"/>
              <w:bidi w:val="0"/>
              <w:spacing w:before="0" w:after="283"/>
              <w:jc w:val="left"/>
              <w:rPr>
                <w:color w:val="000000"/>
              </w:rPr>
            </w:pPr>
            <w:r>
              <w:rPr>
                <w:color w:val="000000"/>
              </w:rPr>
              <w:t> </w:t>
            </w:r>
          </w:p>
        </w:tc>
        <w:tc>
          <w:tcPr>
            <w:tcW w:w="68" w:type="dxa"/>
            <w:tcBorders/>
            <w:vAlign w:val="center"/>
          </w:tcPr>
          <w:p>
            <w:pPr>
              <w:pStyle w:val="TableContents"/>
              <w:bidi w:val="0"/>
              <w:spacing w:before="0" w:after="283"/>
              <w:jc w:val="left"/>
              <w:rPr>
                <w:color w:val="000000"/>
              </w:rPr>
            </w:pPr>
            <w:r>
              <w:rPr>
                <w:color w:val="000000"/>
              </w:rPr>
              <w:t> </w:t>
            </w:r>
          </w:p>
        </w:tc>
        <w:tc>
          <w:tcPr>
            <w:tcW w:w="1291"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Variance</w:t>
            </w:r>
          </w:p>
        </w:tc>
        <w:tc>
          <w:tcPr>
            <w:tcW w:w="84" w:type="dxa"/>
            <w:tcBorders/>
            <w:vAlign w:val="center"/>
          </w:tcPr>
          <w:p>
            <w:pPr>
              <w:pStyle w:val="TableContents"/>
              <w:bidi w:val="0"/>
              <w:spacing w:before="0" w:after="283"/>
              <w:jc w:val="left"/>
              <w:rPr>
                <w:color w:val="000000"/>
              </w:rPr>
            </w:pPr>
            <w:r>
              <w:rPr>
                <w:color w:val="000000"/>
              </w:rPr>
              <w:t> </w:t>
            </w:r>
          </w:p>
        </w:tc>
      </w:tr>
      <w:tr>
        <w:trPr/>
        <w:tc>
          <w:tcPr>
            <w:tcW w:w="2329" w:type="dxa"/>
            <w:tcBorders/>
            <w:shd w:fill="CCEEFF" w:val="clear"/>
            <w:vAlign w:val="center"/>
          </w:tcPr>
          <w:p>
            <w:pPr>
              <w:pStyle w:val="TableContents"/>
              <w:bidi w:val="0"/>
              <w:spacing w:before="0" w:after="283"/>
              <w:jc w:val="left"/>
              <w:rPr>
                <w:b/>
                <w:color w:val="000000"/>
              </w:rPr>
            </w:pPr>
            <w:r>
              <w:rPr>
                <w:b/>
                <w:color w:val="000000"/>
              </w:rPr>
              <w:t>Research and development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24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1,421,000</w:t>
            </w:r>
          </w:p>
        </w:tc>
        <w:tc>
          <w:tcPr>
            <w:tcW w:w="75" w:type="dxa"/>
            <w:tcBorders/>
            <w:shd w:fill="CCEEFF" w:val="clear"/>
            <w:vAlign w:val="center"/>
          </w:tcPr>
          <w:p>
            <w:pPr>
              <w:pStyle w:val="TableContents"/>
              <w:bidi w:val="0"/>
              <w:spacing w:before="0" w:after="283"/>
              <w:jc w:val="lef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775,000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646,000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3,316,000</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68" w:type="dxa"/>
            <w:tcBorders/>
            <w:shd w:fill="CCEEFF" w:val="clear"/>
            <w:vAlign w:val="center"/>
          </w:tcPr>
          <w:p>
            <w:pPr>
              <w:pStyle w:val="TableContents"/>
              <w:bidi w:val="0"/>
              <w:spacing w:before="0" w:after="283"/>
              <w:jc w:val="left"/>
              <w:rPr>
                <w:color w:val="000000"/>
              </w:rPr>
            </w:pPr>
            <w:r>
              <w:rPr>
                <w:color w:val="000000"/>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2,347,000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969,000</w:t>
            </w:r>
          </w:p>
        </w:tc>
        <w:tc>
          <w:tcPr>
            <w:tcW w:w="84"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increase in R&amp;D expenses between periods was primarily attributable to increased activity related to product acquisitions, product launches, clinical and medical support.</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xml:space="preserve">Interest Expense, Net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expense, net was $5,749,000 and $16,200,000 for the three and nine months ended September 30, 2023, respectively, compared to $1,800,000 and $5,386,000 for the same periods in 2022, respectively. The increase during the periods ended September 30, 2023 compared to the same periods in 2022 was primarily due to an increase in the outstanding principal amount of our debt obligations and amortization of debt issuance costs.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Equity in Losses of Unconsolidated Entities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nine months ended September 30, 2023, we recorded a loss of $0, related to our share of losses in Melt, compared to $3,504,000 and $9,036,000 for the same periods in 2022, respectively, as the Company reduced the carrying value of its investment in Melt to $0 at the end of 2022.</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Investment Gain (Loss) from Eton</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nine months ended September 30, 2023, we recorded a gain of $1,348,000 and $2,676,000, respectively, related to the change in fair market value of Eton’s common stock compared to losses of $(1,031,000) and $(4,341,000) for the same periods in 2022, respectively.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Loss on Extinguishment of Debt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nine months ended September 30, 2023, we recorded a loss on extinguishment of debt of $5,465,000, related to the payoff of the BR Loan.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Other Expense, Net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nine months ended September 30, 2023, we recorded other expense, net of $195,000 and $344,000, respectively, related primarily to transition services and write-off of inventories associated with the divestment of our non-ophthalmology business.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Expense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2023, we recorded income tax expense of $1,539,000 and $1,236,000, respectively, and $35,000 and $75,000, during the same periods in 2022, respectively.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Liquidity and Capital Resources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Liquidity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cash and cash equivalents on hand at September 30, 2023 was $65,610,000, compared to $96,270,000 at December 31, 2022.</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the date of this Quarterly Report, we believe that cash and cash equivalents of $65,610,000 at September 30, 2023 will be sufficient to sustain our planned level of operations and capital expenditures for at least the next 12 months. In addition, we may consider the sale of certain assets including, but not limited to, part of, or all of, our investments in Eton, Surface, and Melt. However, we may pursue acquisitions of revenue generating products, or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Net Cash Flow</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provides detailed information about our net cash flows for the nine months ended September 30, 2023 and 2022:</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9582" w:type="dxa"/>
        <w:jc w:val="left"/>
        <w:tblInd w:w="0" w:type="dxa"/>
        <w:tblLayout w:type="fixed"/>
        <w:tblCellMar>
          <w:top w:w="0" w:type="dxa"/>
          <w:left w:w="0" w:type="dxa"/>
          <w:bottom w:w="0" w:type="dxa"/>
          <w:right w:w="0" w:type="dxa"/>
        </w:tblCellMar>
      </w:tblPr>
      <w:tblGrid>
        <w:gridCol w:w="5015"/>
        <w:gridCol w:w="60"/>
        <w:gridCol w:w="217"/>
        <w:gridCol w:w="2013"/>
        <w:gridCol w:w="147"/>
        <w:gridCol w:w="93"/>
        <w:gridCol w:w="217"/>
        <w:gridCol w:w="1710"/>
        <w:gridCol w:w="110"/>
      </w:tblGrid>
      <w:tr>
        <w:trPr/>
        <w:tc>
          <w:tcPr>
            <w:tcW w:w="50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4397" w:type="dxa"/>
            <w:gridSpan w:val="6"/>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For the Nine Months Ended September 30,</w:t>
            </w:r>
          </w:p>
        </w:tc>
        <w:tc>
          <w:tcPr>
            <w:tcW w:w="110" w:type="dxa"/>
            <w:tcBorders/>
            <w:vAlign w:val="center"/>
          </w:tcPr>
          <w:p>
            <w:pPr>
              <w:pStyle w:val="TableContents"/>
              <w:bidi w:val="0"/>
              <w:spacing w:before="0" w:after="283"/>
              <w:jc w:val="left"/>
              <w:rPr>
                <w:color w:val="000000"/>
              </w:rPr>
            </w:pPr>
            <w:r>
              <w:rPr>
                <w:color w:val="000000"/>
              </w:rPr>
              <w:t> </w:t>
            </w:r>
          </w:p>
        </w:tc>
      </w:tr>
      <w:tr>
        <w:trPr/>
        <w:tc>
          <w:tcPr>
            <w:tcW w:w="50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30"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2023</w:t>
            </w:r>
          </w:p>
        </w:tc>
        <w:tc>
          <w:tcPr>
            <w:tcW w:w="147" w:type="dxa"/>
            <w:tcBorders/>
            <w:vAlign w:val="center"/>
          </w:tcPr>
          <w:p>
            <w:pPr>
              <w:pStyle w:val="TableContents"/>
              <w:bidi w:val="0"/>
              <w:spacing w:before="0" w:after="283"/>
              <w:jc w:val="left"/>
              <w:rPr>
                <w:color w:val="000000"/>
              </w:rPr>
            </w:pPr>
            <w:r>
              <w:rPr>
                <w:color w:val="000000"/>
              </w:rPr>
              <w:t> </w:t>
            </w:r>
          </w:p>
        </w:tc>
        <w:tc>
          <w:tcPr>
            <w:tcW w:w="93" w:type="dxa"/>
            <w:tcBorders/>
            <w:vAlign w:val="center"/>
          </w:tcPr>
          <w:p>
            <w:pPr>
              <w:pStyle w:val="TableContents"/>
              <w:bidi w:val="0"/>
              <w:spacing w:before="0" w:after="283"/>
              <w:jc w:val="left"/>
              <w:rPr>
                <w:color w:val="000000"/>
              </w:rPr>
            </w:pPr>
            <w:r>
              <w:rPr>
                <w:color w:val="000000"/>
              </w:rPr>
              <w:t> </w:t>
            </w:r>
          </w:p>
        </w:tc>
        <w:tc>
          <w:tcPr>
            <w:tcW w:w="1927" w:type="dxa"/>
            <w:gridSpan w:val="2"/>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5015" w:type="dxa"/>
            <w:tcBorders/>
            <w:shd w:fill="CCEEFF" w:val="clear"/>
            <w:vAlign w:val="center"/>
          </w:tcPr>
          <w:p>
            <w:pPr>
              <w:pStyle w:val="TableContents"/>
              <w:bidi w:val="0"/>
              <w:spacing w:before="0" w:after="283"/>
              <w:jc w:val="left"/>
              <w:rPr>
                <w:color w:val="000000"/>
              </w:rPr>
            </w:pPr>
            <w:r>
              <w:rPr>
                <w:color w:val="000000"/>
              </w:rPr>
              <w:t>Net cash (used in) provided by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7" w:type="dxa"/>
            <w:tcBorders/>
            <w:shd w:fill="CCEEFF" w:val="clear"/>
            <w:vAlign w:val="center"/>
          </w:tcPr>
          <w:p>
            <w:pPr>
              <w:pStyle w:val="TableContents"/>
              <w:bidi w:val="0"/>
              <w:spacing w:before="0" w:after="283"/>
              <w:jc w:val="left"/>
              <w:rPr>
                <w:color w:val="000000"/>
              </w:rPr>
            </w:pPr>
            <w:r>
              <w:rPr>
                <w:color w:val="000000"/>
              </w:rPr>
              <w:t>$</w:t>
            </w:r>
          </w:p>
        </w:tc>
        <w:tc>
          <w:tcPr>
            <w:tcW w:w="2013" w:type="dxa"/>
            <w:tcBorders/>
            <w:shd w:fill="CCEEFF" w:val="clear"/>
            <w:vAlign w:val="center"/>
          </w:tcPr>
          <w:p>
            <w:pPr>
              <w:pStyle w:val="TableContents"/>
              <w:bidi w:val="0"/>
              <w:spacing w:before="0" w:after="283"/>
              <w:jc w:val="right"/>
              <w:rPr>
                <w:color w:val="000000"/>
              </w:rPr>
            </w:pPr>
            <w:r>
              <w:rPr>
                <w:color w:val="000000"/>
              </w:rPr>
              <w:t>(4,856,000</w:t>
            </w:r>
          </w:p>
        </w:tc>
        <w:tc>
          <w:tcPr>
            <w:tcW w:w="147" w:type="dxa"/>
            <w:tcBorders/>
            <w:shd w:fill="CCEEFF" w:val="clear"/>
            <w:vAlign w:val="center"/>
          </w:tcPr>
          <w:p>
            <w:pPr>
              <w:pStyle w:val="TableContents"/>
              <w:bidi w:val="0"/>
              <w:spacing w:before="0" w:after="283"/>
              <w:jc w:val="left"/>
              <w:rPr>
                <w:color w:val="000000"/>
              </w:rPr>
            </w:pPr>
            <w:r>
              <w:rPr>
                <w:color w:val="000000"/>
              </w:rPr>
              <w:t>)</w:t>
            </w:r>
          </w:p>
        </w:tc>
        <w:tc>
          <w:tcPr>
            <w:tcW w:w="93" w:type="dxa"/>
            <w:tcBorders/>
            <w:shd w:fill="CCEEFF" w:val="clear"/>
            <w:vAlign w:val="center"/>
          </w:tcPr>
          <w:p>
            <w:pPr>
              <w:pStyle w:val="TableContents"/>
              <w:bidi w:val="0"/>
              <w:spacing w:before="0" w:after="283"/>
              <w:jc w:val="left"/>
              <w:rPr>
                <w:color w:val="000000"/>
              </w:rPr>
            </w:pPr>
            <w:r>
              <w:rPr>
                <w:color w:val="000000"/>
              </w:rPr>
              <w:t> </w:t>
            </w:r>
          </w:p>
        </w:tc>
        <w:tc>
          <w:tcPr>
            <w:tcW w:w="217" w:type="dxa"/>
            <w:tcBorders/>
            <w:shd w:fill="CCEEFF" w:val="clear"/>
            <w:vAlign w:val="center"/>
          </w:tcPr>
          <w:p>
            <w:pPr>
              <w:pStyle w:val="TableContents"/>
              <w:bidi w:val="0"/>
              <w:spacing w:before="0" w:after="283"/>
              <w:jc w:val="left"/>
              <w:rPr>
                <w:color w:val="000000"/>
              </w:rPr>
            </w:pPr>
            <w:r>
              <w:rPr>
                <w:color w:val="000000"/>
              </w:rPr>
              <w:t>$</w:t>
            </w:r>
          </w:p>
        </w:tc>
        <w:tc>
          <w:tcPr>
            <w:tcW w:w="1710" w:type="dxa"/>
            <w:tcBorders/>
            <w:shd w:fill="CCEEFF" w:val="clear"/>
            <w:vAlign w:val="center"/>
          </w:tcPr>
          <w:p>
            <w:pPr>
              <w:pStyle w:val="TableContents"/>
              <w:bidi w:val="0"/>
              <w:spacing w:before="0" w:after="283"/>
              <w:jc w:val="right"/>
              <w:rPr>
                <w:color w:val="000000"/>
              </w:rPr>
            </w:pPr>
            <w:r>
              <w:rPr>
                <w:color w:val="000000"/>
              </w:rPr>
              <w:t>5,417,000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15" w:type="dxa"/>
            <w:tcBorders/>
            <w:shd w:fill="FFFFFF" w:val="clear"/>
            <w:vAlign w:val="center"/>
          </w:tcPr>
          <w:p>
            <w:pPr>
              <w:pStyle w:val="TableContents"/>
              <w:bidi w:val="0"/>
              <w:spacing w:before="0" w:after="283"/>
              <w:jc w:val="left"/>
              <w:rPr>
                <w:color w:val="000000"/>
              </w:rPr>
            </w:pPr>
            <w:r>
              <w:rPr>
                <w:color w:val="000000"/>
              </w:rPr>
              <w:t>Net cash used in investing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7" w:type="dxa"/>
            <w:tcBorders/>
            <w:shd w:fill="FFFFFF" w:val="clear"/>
            <w:vAlign w:val="center"/>
          </w:tcPr>
          <w:p>
            <w:pPr>
              <w:pStyle w:val="TableContents"/>
              <w:bidi w:val="0"/>
              <w:spacing w:before="0" w:after="283"/>
              <w:jc w:val="left"/>
              <w:rPr>
                <w:color w:val="000000"/>
              </w:rPr>
            </w:pPr>
            <w:r>
              <w:rPr>
                <w:color w:val="000000"/>
              </w:rPr>
              <w:t> </w:t>
            </w:r>
          </w:p>
        </w:tc>
        <w:tc>
          <w:tcPr>
            <w:tcW w:w="2013" w:type="dxa"/>
            <w:tcBorders/>
            <w:shd w:fill="FFFFFF" w:val="clear"/>
            <w:vAlign w:val="center"/>
          </w:tcPr>
          <w:p>
            <w:pPr>
              <w:pStyle w:val="TableContents"/>
              <w:bidi w:val="0"/>
              <w:spacing w:before="0" w:after="283"/>
              <w:jc w:val="right"/>
              <w:rPr>
                <w:color w:val="000000"/>
              </w:rPr>
            </w:pPr>
            <w:r>
              <w:rPr>
                <w:color w:val="000000"/>
              </w:rPr>
              <w:t>(152,350,000</w:t>
            </w:r>
          </w:p>
        </w:tc>
        <w:tc>
          <w:tcPr>
            <w:tcW w:w="147" w:type="dxa"/>
            <w:tcBorders/>
            <w:shd w:fill="FFFFFF" w:val="clear"/>
            <w:vAlign w:val="center"/>
          </w:tcPr>
          <w:p>
            <w:pPr>
              <w:pStyle w:val="TableContents"/>
              <w:bidi w:val="0"/>
              <w:spacing w:before="0" w:after="283"/>
              <w:jc w:val="left"/>
              <w:rPr>
                <w:color w:val="000000"/>
              </w:rPr>
            </w:pPr>
            <w:r>
              <w:rPr>
                <w:color w:val="000000"/>
              </w:rPr>
              <w:t>)</w:t>
            </w:r>
          </w:p>
        </w:tc>
        <w:tc>
          <w:tcPr>
            <w:tcW w:w="93" w:type="dxa"/>
            <w:tcBorders/>
            <w:shd w:fill="FFFFFF" w:val="clear"/>
            <w:vAlign w:val="center"/>
          </w:tcPr>
          <w:p>
            <w:pPr>
              <w:pStyle w:val="TableContents"/>
              <w:bidi w:val="0"/>
              <w:spacing w:before="0" w:after="283"/>
              <w:jc w:val="left"/>
              <w:rPr>
                <w:color w:val="000000"/>
              </w:rPr>
            </w:pPr>
            <w:r>
              <w:rPr>
                <w:color w:val="000000"/>
              </w:rPr>
              <w:t> </w:t>
            </w:r>
          </w:p>
        </w:tc>
        <w:tc>
          <w:tcPr>
            <w:tcW w:w="217" w:type="dxa"/>
            <w:tcBorders/>
            <w:shd w:fill="FFFFFF" w:val="clear"/>
            <w:vAlign w:val="center"/>
          </w:tcPr>
          <w:p>
            <w:pPr>
              <w:pStyle w:val="TableContents"/>
              <w:bidi w:val="0"/>
              <w:spacing w:before="0" w:after="283"/>
              <w:jc w:val="left"/>
              <w:rPr>
                <w:color w:val="000000"/>
              </w:rPr>
            </w:pPr>
            <w:r>
              <w:rPr>
                <w:color w:val="000000"/>
              </w:rPr>
              <w:t> </w:t>
            </w:r>
          </w:p>
        </w:tc>
        <w:tc>
          <w:tcPr>
            <w:tcW w:w="1710" w:type="dxa"/>
            <w:tcBorders/>
            <w:shd w:fill="FFFFFF" w:val="clear"/>
            <w:vAlign w:val="center"/>
          </w:tcPr>
          <w:p>
            <w:pPr>
              <w:pStyle w:val="TableContents"/>
              <w:bidi w:val="0"/>
              <w:spacing w:before="0" w:after="283"/>
              <w:jc w:val="right"/>
              <w:rPr>
                <w:color w:val="000000"/>
              </w:rPr>
            </w:pPr>
            <w:r>
              <w:rPr>
                <w:color w:val="000000"/>
              </w:rPr>
              <w:t>(1,738,000</w:t>
            </w:r>
          </w:p>
        </w:tc>
        <w:tc>
          <w:tcPr>
            <w:tcW w:w="110" w:type="dxa"/>
            <w:tcBorders/>
            <w:shd w:fill="FFFFFF" w:val="clear"/>
            <w:vAlign w:val="center"/>
          </w:tcPr>
          <w:p>
            <w:pPr>
              <w:pStyle w:val="TableContents"/>
              <w:bidi w:val="0"/>
              <w:spacing w:before="0" w:after="283"/>
              <w:jc w:val="left"/>
              <w:rPr>
                <w:color w:val="000000"/>
              </w:rPr>
            </w:pPr>
            <w:r>
              <w:rPr>
                <w:color w:val="000000"/>
              </w:rPr>
              <w:t>)</w:t>
            </w:r>
          </w:p>
        </w:tc>
      </w:tr>
      <w:tr>
        <w:trPr/>
        <w:tc>
          <w:tcPr>
            <w:tcW w:w="5015" w:type="dxa"/>
            <w:tcBorders/>
            <w:shd w:fill="CCEEFF" w:val="clear"/>
            <w:vAlign w:val="center"/>
          </w:tcPr>
          <w:p>
            <w:pPr>
              <w:pStyle w:val="TableContents"/>
              <w:bidi w:val="0"/>
              <w:spacing w:before="0" w:after="283"/>
              <w:jc w:val="left"/>
              <w:rPr>
                <w:color w:val="000000"/>
              </w:rPr>
            </w:pPr>
            <w:r>
              <w:rPr>
                <w:color w:val="000000"/>
              </w:rPr>
              <w:t>Net cash provided by (used in)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2013"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126,546,000</w:t>
            </w:r>
          </w:p>
        </w:tc>
        <w:tc>
          <w:tcPr>
            <w:tcW w:w="147"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shd w:fill="CCEEFF" w:val="clear"/>
            <w:vAlign w:val="center"/>
          </w:tcPr>
          <w:p>
            <w:pPr>
              <w:pStyle w:val="TableContents"/>
              <w:bidi w:val="0"/>
              <w:spacing w:before="0" w:after="283"/>
              <w:jc w:val="left"/>
              <w:rPr>
                <w:color w:val="000000"/>
              </w:rPr>
            </w:pPr>
            <w:r>
              <w:rPr>
                <w:color w:val="000000"/>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(887,000</w:t>
            </w:r>
          </w:p>
        </w:tc>
        <w:tc>
          <w:tcPr>
            <w:tcW w:w="110" w:type="dxa"/>
            <w:tcBorders/>
            <w:shd w:fill="CCEEFF" w:val="clear"/>
            <w:vAlign w:val="center"/>
          </w:tcPr>
          <w:p>
            <w:pPr>
              <w:pStyle w:val="TableContents"/>
              <w:bidi w:val="0"/>
              <w:spacing w:before="0" w:after="283"/>
              <w:jc w:val="left"/>
              <w:rPr>
                <w:color w:val="000000"/>
              </w:rPr>
            </w:pPr>
            <w:r>
              <w:rPr>
                <w:color w:val="000000"/>
              </w:rPr>
              <w:t>)</w:t>
            </w:r>
          </w:p>
        </w:tc>
      </w:tr>
      <w:tr>
        <w:trPr/>
        <w:tc>
          <w:tcPr>
            <w:tcW w:w="5015" w:type="dxa"/>
            <w:tcBorders/>
            <w:shd w:fill="FFFFFF" w:val="clear"/>
            <w:vAlign w:val="center"/>
          </w:tcPr>
          <w:p>
            <w:pPr>
              <w:pStyle w:val="TableContents"/>
              <w:bidi w:val="0"/>
              <w:spacing w:before="0" w:after="283"/>
              <w:jc w:val="left"/>
              <w:rPr>
                <w:color w:val="000000"/>
              </w:rPr>
            </w:pPr>
            <w:r>
              <w:rPr>
                <w:color w:val="000000"/>
              </w:rPr>
              <w:t>Net (decrease) increase in cash and cash equivalents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7" w:type="dxa"/>
            <w:tcBorders/>
            <w:shd w:fill="FFFFFF" w:val="clear"/>
            <w:vAlign w:val="center"/>
          </w:tcPr>
          <w:p>
            <w:pPr>
              <w:pStyle w:val="TableContents"/>
              <w:bidi w:val="0"/>
              <w:spacing w:before="0" w:after="283"/>
              <w:jc w:val="left"/>
              <w:rPr>
                <w:color w:val="000000"/>
              </w:rPr>
            </w:pPr>
            <w:r>
              <w:rPr>
                <w:color w:val="000000"/>
              </w:rPr>
              <w:t> </w:t>
            </w:r>
          </w:p>
        </w:tc>
        <w:tc>
          <w:tcPr>
            <w:tcW w:w="2013" w:type="dxa"/>
            <w:tcBorders/>
            <w:shd w:fill="FFFFFF" w:val="clear"/>
            <w:vAlign w:val="center"/>
          </w:tcPr>
          <w:p>
            <w:pPr>
              <w:pStyle w:val="TableContents"/>
              <w:bidi w:val="0"/>
              <w:spacing w:before="0" w:after="283"/>
              <w:jc w:val="right"/>
              <w:rPr>
                <w:color w:val="000000"/>
              </w:rPr>
            </w:pPr>
            <w:r>
              <w:rPr>
                <w:color w:val="000000"/>
              </w:rPr>
              <w:t>(30,660,000</w:t>
            </w:r>
          </w:p>
        </w:tc>
        <w:tc>
          <w:tcPr>
            <w:tcW w:w="147" w:type="dxa"/>
            <w:tcBorders/>
            <w:shd w:fill="FFFFFF" w:val="clear"/>
            <w:vAlign w:val="center"/>
          </w:tcPr>
          <w:p>
            <w:pPr>
              <w:pStyle w:val="TableContents"/>
              <w:bidi w:val="0"/>
              <w:spacing w:before="0" w:after="283"/>
              <w:jc w:val="left"/>
              <w:rPr>
                <w:color w:val="000000"/>
              </w:rPr>
            </w:pPr>
            <w:r>
              <w:rPr>
                <w:color w:val="000000"/>
              </w:rPr>
              <w:t>)</w:t>
            </w:r>
          </w:p>
        </w:tc>
        <w:tc>
          <w:tcPr>
            <w:tcW w:w="93" w:type="dxa"/>
            <w:tcBorders/>
            <w:shd w:fill="FFFFFF" w:val="clear"/>
            <w:vAlign w:val="center"/>
          </w:tcPr>
          <w:p>
            <w:pPr>
              <w:pStyle w:val="TableContents"/>
              <w:bidi w:val="0"/>
              <w:spacing w:before="0" w:after="283"/>
              <w:jc w:val="left"/>
              <w:rPr>
                <w:color w:val="000000"/>
              </w:rPr>
            </w:pPr>
            <w:r>
              <w:rPr>
                <w:color w:val="000000"/>
              </w:rPr>
              <w:t> </w:t>
            </w:r>
          </w:p>
        </w:tc>
        <w:tc>
          <w:tcPr>
            <w:tcW w:w="217" w:type="dxa"/>
            <w:tcBorders/>
            <w:shd w:fill="FFFFFF" w:val="clear"/>
            <w:vAlign w:val="center"/>
          </w:tcPr>
          <w:p>
            <w:pPr>
              <w:pStyle w:val="TableContents"/>
              <w:bidi w:val="0"/>
              <w:spacing w:before="0" w:after="283"/>
              <w:jc w:val="left"/>
              <w:rPr>
                <w:color w:val="000000"/>
              </w:rPr>
            </w:pPr>
            <w:r>
              <w:rPr>
                <w:color w:val="000000"/>
              </w:rPr>
              <w:t> </w:t>
            </w:r>
          </w:p>
        </w:tc>
        <w:tc>
          <w:tcPr>
            <w:tcW w:w="1710" w:type="dxa"/>
            <w:tcBorders/>
            <w:shd w:fill="FFFFFF" w:val="clear"/>
            <w:vAlign w:val="center"/>
          </w:tcPr>
          <w:p>
            <w:pPr>
              <w:pStyle w:val="TableContents"/>
              <w:bidi w:val="0"/>
              <w:spacing w:before="0" w:after="283"/>
              <w:jc w:val="right"/>
              <w:rPr>
                <w:color w:val="000000"/>
              </w:rPr>
            </w:pPr>
            <w:r>
              <w:rPr>
                <w:color w:val="000000"/>
              </w:rPr>
              <w:t>2,792,000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15" w:type="dxa"/>
            <w:tcBorders/>
            <w:shd w:fill="CCEEFF" w:val="clear"/>
            <w:vAlign w:val="center"/>
          </w:tcPr>
          <w:p>
            <w:pPr>
              <w:pStyle w:val="TableContents"/>
              <w:bidi w:val="0"/>
              <w:spacing w:before="0" w:after="283"/>
              <w:jc w:val="left"/>
              <w:rPr>
                <w:color w:val="000000"/>
              </w:rPr>
            </w:pPr>
            <w:r>
              <w:rPr>
                <w:color w:val="000000"/>
              </w:rPr>
              <w:t>Cash and cash equivalents at beginning of the period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2013"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96,270,000</w:t>
            </w:r>
          </w:p>
        </w:tc>
        <w:tc>
          <w:tcPr>
            <w:tcW w:w="147" w:type="dxa"/>
            <w:tcBorders/>
            <w:shd w:fill="CCEEFF" w:val="clear"/>
            <w:vAlign w:val="center"/>
          </w:tcPr>
          <w:p>
            <w:pPr>
              <w:pStyle w:val="TableContents"/>
              <w:bidi w:val="0"/>
              <w:spacing w:before="0" w:after="283"/>
              <w:jc w:val="left"/>
              <w:rPr>
                <w:color w:val="000000"/>
              </w:rPr>
            </w:pPr>
            <w:r>
              <w:rPr>
                <w:color w:val="000000"/>
              </w:rPr>
              <w:t> </w:t>
            </w:r>
          </w:p>
        </w:tc>
        <w:tc>
          <w:tcPr>
            <w:tcW w:w="93" w:type="dxa"/>
            <w:tcBorders/>
            <w:shd w:fill="CCEEFF" w:val="clear"/>
            <w:vAlign w:val="center"/>
          </w:tcPr>
          <w:p>
            <w:pPr>
              <w:pStyle w:val="TableContents"/>
              <w:bidi w:val="0"/>
              <w:spacing w:before="0" w:after="283"/>
              <w:jc w:val="left"/>
              <w:rPr>
                <w:color w:val="000000"/>
              </w:rPr>
            </w:pPr>
            <w:r>
              <w:rPr>
                <w:color w:val="000000"/>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42,167,000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15" w:type="dxa"/>
            <w:tcBorders/>
            <w:shd w:fill="FFFFFF" w:val="clear"/>
            <w:vAlign w:val="center"/>
          </w:tcPr>
          <w:p>
            <w:pPr>
              <w:pStyle w:val="TableContents"/>
              <w:bidi w:val="0"/>
              <w:spacing w:before="0" w:after="283"/>
              <w:jc w:val="left"/>
              <w:rPr>
                <w:color w:val="000000"/>
              </w:rPr>
            </w:pPr>
            <w:r>
              <w:rPr>
                <w:color w:val="000000"/>
              </w:rPr>
              <w:t>Cash and cash equivalents at end of the period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2013"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65,610,000</w:t>
            </w:r>
          </w:p>
        </w:tc>
        <w:tc>
          <w:tcPr>
            <w:tcW w:w="147" w:type="dxa"/>
            <w:tcBorders/>
            <w:shd w:fill="FFFFFF" w:val="clear"/>
            <w:vAlign w:val="center"/>
          </w:tcPr>
          <w:p>
            <w:pPr>
              <w:pStyle w:val="TableContents"/>
              <w:bidi w:val="0"/>
              <w:spacing w:before="0" w:after="283"/>
              <w:jc w:val="left"/>
              <w:rPr>
                <w:color w:val="000000"/>
              </w:rPr>
            </w:pPr>
            <w:r>
              <w:rPr>
                <w:color w:val="000000"/>
              </w:rPr>
              <w:t> </w:t>
            </w:r>
          </w:p>
        </w:tc>
        <w:tc>
          <w:tcPr>
            <w:tcW w:w="93" w:type="dxa"/>
            <w:tcBorders/>
            <w:shd w:fill="FFFFFF" w:val="clear"/>
            <w:vAlign w:val="center"/>
          </w:tcPr>
          <w:p>
            <w:pPr>
              <w:pStyle w:val="TableContents"/>
              <w:bidi w:val="0"/>
              <w:spacing w:before="0" w:after="283"/>
              <w:jc w:val="left"/>
              <w:rPr>
                <w:color w:val="000000"/>
              </w:rPr>
            </w:pPr>
            <w:r>
              <w:rPr>
                <w:color w:val="000000"/>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color w:val="000000"/>
              </w:rPr>
            </w:pPr>
            <w:r>
              <w:rPr>
                <w:color w:val="000000"/>
              </w:rPr>
              <w:t>44,959,000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Operating Activities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Net cash (used in) provided by operating activities during the nine months ended September 30, 2023 was $(4,856,000) compared to cash provided by operating activities of $5,417,000 during the same period in the prior year. The increase in net cash used in operating activities between the periods was mainly attributed to an increase of $12,287,000 in accounts receivable related to payment terms for our branded product sales during the nine months ended September 30, 2023 compared to an increase of $2,309,000 during the same period in 2022. The increase in net cash used in operating activities was also attributed to an increase in inventory levels, coupled with operating expenses associated with the commercial launch of IHEEZO, product acquisitions and integrations and increased costs of goods sold.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Investing Activities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Net cash used in investing activities during the nine months ended September 30, 2023 was $(152,350,000) compared to $(1,738,000) during the same period in the prior year. Cash used in investing activities in 2023 was primarily associated with the Fab 5 Acquisition, Santen Products Acquisition and VEVYE Acquisition. Cash used in investing activities in 2022 was primarily associated with equipment and software purchases.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Financing Activities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Net cash provided by (used in) financing activities during the nine months ended September 30, 2023 and 2022 was $126,546,000 and $(887,000), respectively. Cash provided by financing activities during the nine months ended September 30, 2023 was primarily related to proceeds received from the sale of the 2027 Notes, the Oaktree Loan and Oaktree Amendment, and the Offering, offset by payment of payroll taxes upon vesting of PSUs in exchange for shares withheld from employees. Cash used in financing activities during the nine months ended September 30, 2022 was primarily related to payment of payroll taxes upon vesting of RSUs in exchange for shares withheld from the employee.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Sources of Capital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principal sources of cash consist of cash provided by operating activities, and in 2022 and 2023, proceeds from the sale of the 2027 Notes, the Offering and the Oaktree Loan and Oaktree Amendment. We may also sell some or all of our ownership interests in Surface, Melt or our other subsidiaries, along with some or all of the remaining portion of our Eton common stock.</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Recently Issued and Adopted Accounting Pronouncements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Note 2 to our unaudited condensed consolidated financial statements included in this Quarterly Report.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78" w:name="a_004"/>
      <w:bookmarkEnd w:id="1078"/>
      <w:r>
        <w:rPr>
          <w:rFonts w:ascii="Times New Roman;Times;Serif" w:hAnsi="Times New Roman;Times;Serif"/>
          <w:b/>
          <w:i w:val="false"/>
          <w:caps w:val="false"/>
          <w:smallCaps w:val="false"/>
          <w:color w:val="000000"/>
          <w:sz w:val="20"/>
        </w:rPr>
        <w:t>Item 3. Quantitative and Qualitative Disclosures About Market Risk</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applicable.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79" w:name="a_005"/>
      <w:bookmarkEnd w:id="1079"/>
      <w:r>
        <w:rPr>
          <w:rFonts w:ascii="Times New Roman;Times;Serif" w:hAnsi="Times New Roman;Times;Serif"/>
          <w:b/>
          <w:i w:val="false"/>
          <w:caps w:val="false"/>
          <w:smallCaps w:val="false"/>
          <w:color w:val="000000"/>
          <w:sz w:val="20"/>
        </w:rPr>
        <w:t>Item 4. Controls and Procedures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 xml:space="preserve">Evaluation of Disclosure Controls and Procedures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2023. Based on this evaluation, our principal executive officer and principal financial officer have concluded that our disclosure controls and procedures were effective to achieve their stated purpose as of September 30, 2023, the end of the period covered by this Quarterly Report.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 xml:space="preserve">Changes in Internal Control over Financial Reporting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has been no change in our internal control over financial reporting (as defined in Rule 13a-15(f) under the Exchange Act) during the quarter ended September 30, 2023, that has materially affected, or is reasonably likely to materially affect, our internal control over financial reporting.</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1080" w:name="a_006"/>
      <w:bookmarkEnd w:id="1080"/>
      <w:r>
        <w:rPr>
          <w:rFonts w:ascii="Times New Roman;Times;Serif" w:hAnsi="Times New Roman;Times;Serif"/>
          <w:b/>
          <w:i w:val="false"/>
          <w:caps w:val="false"/>
          <w:smallCaps w:val="false"/>
          <w:color w:val="000000"/>
          <w:sz w:val="20"/>
        </w:rPr>
        <w:t>PART II</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1" w:name="a_007"/>
      <w:bookmarkEnd w:id="1081"/>
      <w:r>
        <w:rPr>
          <w:rFonts w:ascii="Times New Roman;Times;Serif" w:hAnsi="Times New Roman;Times;Serif"/>
          <w:b/>
          <w:i w:val="false"/>
          <w:caps w:val="false"/>
          <w:smallCaps w:val="false"/>
          <w:color w:val="000000"/>
          <w:sz w:val="20"/>
        </w:rPr>
        <w:t xml:space="preserve">Item 1. Legal Proceedings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Note 16 to our unaudited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2" w:name="a_008"/>
      <w:bookmarkEnd w:id="1082"/>
      <w:r>
        <w:rPr>
          <w:rFonts w:ascii="Times New Roman;Times;Serif" w:hAnsi="Times New Roman;Times;Serif"/>
          <w:b/>
          <w:i w:val="false"/>
          <w:caps w:val="false"/>
          <w:smallCaps w:val="false"/>
          <w:color w:val="000000"/>
          <w:sz w:val="20"/>
        </w:rPr>
        <w:t>Item 1A. Risk Factors</w:t>
      </w:r>
    </w:p>
    <w:p>
      <w:pPr>
        <w:pStyle w:val="TextBody"/>
        <w:bidi w:val="0"/>
        <w:spacing w:before="0" w:after="0"/>
        <w:ind w:left="0" w:right="0" w:hanging="99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 addition to the other information contained in this Quarterly Report you should consider the risk factors and the other information in our Annual Report on Form 10-K for the year ended December 31, 2022,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Our sales depend on coverage and reimbursement from government and commercial third-party payers, and pricing and reimbursement pressures have affected, and are likely to continue to affect, our profitability.</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Sales of our branded products depend on the availability and extent of coverage and reimbursement from third-party payers, including government healthcare programs and private insurance plans. Governments and private payors continue to pursue initiatives to manage drug utilization and contain costs. Further, pressures on healthcare budgets from the pandemic, the economic downturn and inflation continue and are likely to increase across the markets we serve. Payors are increasingly focused on costs, which have resulted, and are expected to continue to result, in lower reimbursement rates for our branded products or narrower populations for which payors will reimburse. Continued intense public scrutiny of the price of drugs and other healthcare costs, together with payor dynamics, have limited, and are likely to continue to limit, our ability to set or adjust the price of our products based on their value, which can have a material adverse effect on our business. In the United States, particularly over the past few years, several legislative and regulatory proposals have been introduced and/or signed into law that attempt to lower drug prices. These include legislation promulgated by the IRA that enables the U.S. government to set prices for certain drugs in Medicare, redesigns Medicare Part D benefits to shift a greater portion of the costs to manufacturers, and enables the U.S. government to impose penalties if drug prices are increased at a rate faster than inflation in addition to rebates imposed on manufacturers associated with drug waste (which could potentially impact sales of TRIESENCE). Additional proposals focused on drug pricing continue to be debated, and additional executive orders focused on drug pricing and competition are likely to be adopted and implemented in some form. Government actions or ballot initiatives at the state level also represent a highly active area of policymaking and experimentation, including pursuing proposals that limit drug reimbursement under state-run Medicaid programs based on reference prices or permitting importation of drugs from Canada. Such state policies may also eventually be adopted at the federal level. Relatedly, despite IHEEZO being issued a J-Code for physician-office billing, CMS has an existing policy on anesthesia billing which has historically not allowed for the separate billing of anesthesia services in the physician’s office, which could be viewed in conflict with IHEEZO’s reimbursement status for in-office applications. Because our application for a J-Code for IHEEZO specifically disclosed the likely significant utilization of IHEEZO in the physician’s office setting of care, along with additional communications to this effect, we intend to request that CMS clarify that J-Code 2403, IHEEZO’s permanent J-Code is appropriate to be billed for the anesthesia itself (i.e., IHEEZO in our case) in the physician’s office setting. If CMS disagrees with our position, it is possible the separate reimbursement of IHEEZO would be limited to the surgical setting only (e.g., ASCs).</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cannot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pStyle w:val="TextBody"/>
        <w:shd w:fill="FFFFFF" w:val="clear"/>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3" w:name="a_009"/>
      <w:bookmarkEnd w:id="1083"/>
      <w:r>
        <w:rPr>
          <w:rFonts w:ascii="Times New Roman;Times;Serif" w:hAnsi="Times New Roman;Times;Serif"/>
          <w:b/>
          <w:i w:val="false"/>
          <w:caps w:val="false"/>
          <w:smallCaps w:val="false"/>
          <w:color w:val="000000"/>
          <w:sz w:val="20"/>
        </w:rPr>
        <w:t>Item 2. Unregistered Sales of Equity Securities and Use of Proceeds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None.</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4" w:name="a_010"/>
      <w:bookmarkEnd w:id="1084"/>
      <w:r>
        <w:rPr>
          <w:rFonts w:ascii="Times New Roman;Times;Serif" w:hAnsi="Times New Roman;Times;Serif"/>
          <w:b/>
          <w:i w:val="false"/>
          <w:caps w:val="false"/>
          <w:smallCaps w:val="false"/>
          <w:color w:val="000000"/>
          <w:sz w:val="20"/>
        </w:rPr>
        <w:t>Item 3. Defaults Upon Senior Securities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applicable.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5" w:name="a_011"/>
      <w:bookmarkEnd w:id="1085"/>
      <w:r>
        <w:rPr>
          <w:rFonts w:ascii="Times New Roman;Times;Serif" w:hAnsi="Times New Roman;Times;Serif"/>
          <w:b/>
          <w:i w:val="false"/>
          <w:caps w:val="false"/>
          <w:smallCaps w:val="false"/>
          <w:color w:val="000000"/>
          <w:sz w:val="20"/>
        </w:rPr>
        <w:t>Item 4. Mine Safety Disclosures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applicable.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6" w:name="a_012"/>
      <w:bookmarkEnd w:id="1086"/>
      <w:r>
        <w:rPr>
          <w:rFonts w:ascii="Times New Roman;Times;Serif" w:hAnsi="Times New Roman;Times;Serif"/>
          <w:b/>
          <w:i w:val="false"/>
          <w:caps w:val="false"/>
          <w:smallCaps w:val="false"/>
          <w:color w:val="000000"/>
          <w:sz w:val="20"/>
        </w:rPr>
        <w:t>Item 5. Other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bookmarkStart w:id="1087" w:name="a_013"/>
      <w:bookmarkEnd w:id="1087"/>
      <w:r>
        <w:rPr>
          <w:rFonts w:ascii="Times New Roman;Times;Serif" w:hAnsi="Times New Roman;Times;Serif"/>
          <w:b/>
          <w:i w:val="false"/>
          <w:caps w:val="false"/>
          <w:smallCaps w:val="false"/>
          <w:color w:val="000000"/>
          <w:sz w:val="20"/>
        </w:rPr>
        <w:t>Item 6. Exhibits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28" w:type="dxa"/>
          <w:right w:w="0" w:type="dxa"/>
        </w:tblCellMar>
      </w:tblPr>
      <w:tblGrid>
        <w:gridCol w:w="782"/>
        <w:gridCol w:w="60"/>
        <w:gridCol w:w="9363"/>
      </w:tblGrid>
      <w:tr>
        <w:trPr/>
        <w:tc>
          <w:tcPr>
            <w:tcW w:w="782"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bottom w:val="single" w:sz="12" w:space="0" w:color="000000"/>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(incorporated herein by reference to Exhibit 3.1 to the Current Report on Form 8-K of the Company filed with the Securities and Exchange Commission on September 29, 2023).</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herein by reference to Exhibit 3.2 to the Current Report on Form 8-K of the Company filed with the Securities and Exchange Commission on September 29, 2023).</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First Amendment to Credit Agreement and Guaranty and Consent, dated July 18, 2023, between the Company and Oaktree Fund Administration, LLC (incorporated herein by reference to Exhibit 10.1 to the Quarterly Report on Form 10-Q of the Company filed with the Securities and Exchange Commission on August 9, 2023).</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Second Amendment to License and Supply Agreement, dated August 4, 2023, between Harrow IP, LLC and Sintetica S.A.</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 xml:space="preserve">Certification of Mark L. Baum, principal executive officer, pursuant to Rule 13a-14(a) or 15d-14(a) of the Securities and Exchange Act of 1934, as adopted pursuant to Section 302 of the Sarbanes- Oxley Act of 2002. </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 Oxley Act of 2002.</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September 30, 2023, has been formatted in Inline XBRL.</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Furnished herewith.</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bookmarkStart w:id="1088" w:name="a_014"/>
      <w:bookmarkEnd w:id="1088"/>
      <w:r>
        <w:rPr>
          <w:rFonts w:ascii="Times New Roman;Times;Serif" w:hAnsi="Times New Roman;Times;Serif"/>
          <w:b/>
          <w:i w:val="false"/>
          <w:caps w:val="false"/>
          <w:smallCaps w:val="false"/>
          <w:color w:val="000000"/>
          <w:sz w:val="20"/>
        </w:rPr>
        <w:t>SIGNATURES</w:t>
      </w:r>
    </w:p>
    <w:p>
      <w:pPr>
        <w:pStyle w:val="TextBody"/>
        <w:bidi w:val="0"/>
        <w:spacing w:before="0" w:after="0"/>
        <w:ind w:left="0" w:right="0" w:firstLine="720"/>
        <w:jc w:val="center"/>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8100" w:type="dxa"/>
        <w:jc w:val="left"/>
        <w:tblInd w:w="0" w:type="dxa"/>
        <w:tblLayout w:type="fixed"/>
        <w:tblCellMar>
          <w:top w:w="0" w:type="dxa"/>
          <w:left w:w="0" w:type="dxa"/>
          <w:bottom w:w="0" w:type="dxa"/>
          <w:right w:w="0" w:type="dxa"/>
        </w:tblCellMar>
      </w:tblPr>
      <w:tblGrid>
        <w:gridCol w:w="2225"/>
        <w:gridCol w:w="320"/>
        <w:gridCol w:w="5555"/>
      </w:tblGrid>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Harrow, Inc.</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 November 13,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 Mark L. Baum</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Mark L. Baum</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Executive Officer and Director</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(Principal Executive Officer)</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 Andrew R. Boll</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Andrew R. Boll</w:t>
            </w:r>
          </w:p>
        </w:tc>
      </w:tr>
      <w:tr>
        <w:trPr/>
        <w:tc>
          <w:tcPr>
            <w:tcW w:w="222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Financial Officer (Principal Financial and Accounting Officer)</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caps w:val="false"/>
          <w:smallCaps w:val="false"/>
        </w:rPr>
      </w:pPr>
      <w:bookmarkStart w:id="1089" w:name="ex10-2.htm"/>
      <w:bookmarkStart w:id="1090" w:name="ksex102"/>
      <w:bookmarkEnd w:id="1089"/>
      <w:bookmarkEnd w:id="109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AMENDMENT TO LICENSE AND SUPPLY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(the “</w:t>
      </w:r>
      <w:r>
        <w:rPr>
          <w:rFonts w:ascii="Times New Roman;Times;Serif" w:hAnsi="Times New Roman;Times;Serif"/>
          <w:b w:val="false"/>
          <w:i w:val="false"/>
          <w:caps w:val="false"/>
          <w:smallCaps w:val="false"/>
          <w:sz w:val="20"/>
          <w:u w:val="single"/>
        </w:rPr>
        <w:t>Second Amendment</w:t>
      </w:r>
      <w:r>
        <w:rPr>
          <w:rFonts w:ascii="Times New Roman;Times;Serif" w:hAnsi="Times New Roman;Times;Serif"/>
          <w:b w:val="false"/>
          <w:i w:val="false"/>
          <w:caps w:val="false"/>
          <w:smallCaps w:val="false"/>
          <w:sz w:val="20"/>
        </w:rPr>
        <w:t>”) is made and entered into as of the _4_th day of August, 2023 (the “</w:t>
      </w:r>
      <w:r>
        <w:rPr>
          <w:rFonts w:ascii="Times New Roman;Times;Serif" w:hAnsi="Times New Roman;Times;Serif"/>
          <w:b w:val="false"/>
          <w:i w:val="false"/>
          <w:caps w:val="false"/>
          <w:smallCaps w:val="false"/>
          <w:sz w:val="20"/>
          <w:u w:val="single"/>
        </w:rPr>
        <w:t>Second Amendment Effective Date</w:t>
      </w:r>
      <w:r>
        <w:rPr>
          <w:rFonts w:ascii="Times New Roman;Times;Serif" w:hAnsi="Times New Roman;Times;Serif"/>
          <w:b w:val="false"/>
          <w:i w:val="false"/>
          <w:caps w:val="false"/>
          <w:smallCaps w:val="false"/>
          <w:sz w:val="20"/>
        </w:rPr>
        <w:t>”) by and between Sintetica S.A., a Swiss corporation having its principal place of business at Via Penate 5, 6850 Mendrisio, Switzerland, (“</w:t>
      </w:r>
      <w:r>
        <w:rPr>
          <w:rFonts w:ascii="Times New Roman;Times;Serif" w:hAnsi="Times New Roman;Times;Serif"/>
          <w:b w:val="false"/>
          <w:i w:val="false"/>
          <w:caps w:val="false"/>
          <w:smallCaps w:val="false"/>
          <w:sz w:val="20"/>
          <w:u w:val="single"/>
        </w:rPr>
        <w:t>Sintetica</w:t>
      </w:r>
      <w:r>
        <w:rPr>
          <w:rFonts w:ascii="Times New Roman;Times;Serif" w:hAnsi="Times New Roman;Times;Serif"/>
          <w:b w:val="false"/>
          <w:i w:val="false"/>
          <w:caps w:val="false"/>
          <w:smallCaps w:val="false"/>
          <w:sz w:val="20"/>
        </w:rPr>
        <w:t>”), and Harrow IP LLC, a Delaware limited liability company having its principal place of business at 102 Woodmont Blvd., Suite 610, Nashville, TN 37205 USA, (“</w:t>
      </w:r>
      <w:r>
        <w:rPr>
          <w:rFonts w:ascii="Times New Roman;Times;Serif" w:hAnsi="Times New Roman;Times;Serif"/>
          <w:b w:val="false"/>
          <w:i w:val="false"/>
          <w:caps w:val="false"/>
          <w:smallCaps w:val="false"/>
          <w:sz w:val="20"/>
          <w:u w:val="single"/>
        </w:rPr>
        <w:t>Harrow</w:t>
      </w:r>
      <w:r>
        <w:rPr>
          <w:rFonts w:ascii="Times New Roman;Times;Serif" w:hAnsi="Times New Roman;Times;Serif"/>
          <w:b w:val="false"/>
          <w:i w:val="false"/>
          <w:caps w:val="false"/>
          <w:smallCaps w:val="false"/>
          <w:sz w:val="20"/>
        </w:rPr>
        <w:t>”). Sintetica and Harrow are sometimes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Sintetica and Harrow previously entered into a License and Supply Agreement with a Signing Date of July 25, 2021, as amended on November 15, 2022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Harrow wishes to pay Sintetica and Sintetica wishes to receive from Harrow the milestone payments for Milestone Numbers 7.2(a)(ii)(b) and 7.2(a)(ii)(c) in advance and at a discounted amount;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Sintetica and Harrow desire to amend the Agreement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and with the specific intent to be bound hereby, the parties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used in this Second Amendment but not defined shall have the meanings ascribed to them under the terms of the Agreement.</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Section 7.2(d) in its entirety with the following:</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Second Amendment Effective Date, Harrow has paid to Sintetica and Sintetica has received from Harrow the milestone payments for Milestone Numbers 7.2(a)(i) and 7.2(a)(ii)(a), and the conditions for payment of Milestone Numbers 7.2(a)(ii)(b) and 7.2(a)(ii)(c) are deemed to have been met. On or before August 7, 2023, Harrow shall pay to Sintetica an amount equal to four million four hundred fifty thousand dollars ($4,450,000.00) for full satisfaction of the milestone payments for Milestone Numbers 7.2(a)(ii)(b) and 7.2(a)(ii)(c) (“</w:t>
            </w:r>
            <w:r>
              <w:rPr>
                <w:rFonts w:ascii="Times New Roman;Times;Serif" w:hAnsi="Times New Roman;Times;Serif"/>
                <w:b w:val="false"/>
                <w:i w:val="false"/>
                <w:caps w:val="false"/>
                <w:smallCaps w:val="false"/>
                <w:sz w:val="20"/>
                <w:u w:val="single"/>
              </w:rPr>
              <w:t>Final Milestone Payment</w:t>
            </w:r>
            <w:r>
              <w:rPr>
                <w:rFonts w:ascii="Times New Roman;Times;Serif" w:hAnsi="Times New Roman;Times;Serif"/>
                <w:b w:val="false"/>
                <w:i w:val="false"/>
                <w:caps w:val="false"/>
                <w:smallCaps w:val="false"/>
                <w:sz w:val="20"/>
              </w:rPr>
              <w:t xml:space="preserve">”). Once Sintetica receives the Final Milestone Payment, no additional amounts shall be due from Harrow to Sintetica pursuant to Section 7.2. </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Section 11.7(v) in its entirety with the following:</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11.7(iii), for any and all terminations by Sintetica under Section 11.2, or Section 11.3, Section 11.6(a), Section 11.6(d) or Section 11.6(e), all amounts due in accordance with Section 7.2(a)(ii)(b) and Section 7.2(a)(ii)(c), if not already paid, shall become immediately due and payable, as shall the first regulatory milestone, if not already paid, set forth in Section 7.2 if Sintetica has already made the PDUFA filing fee payment pursuant to Section 4.2.</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Section 11.7(vi) in its entirety with the following:</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Harrow shall have the right to sell or otherwise dispose of any inventory of the Product on hand at the time of such termination, subject to Harrow making any payments to Sintetica in accordance with Section 7.2(a)(ii)(b) and Section 7.2(a)(ii)(c) or Section 7.4, if not already paid.</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all other respects, the terms and conditions of the Agreement will remain in full force and effect as written; provided, however, that the terms and conditions of this Second Amendment will control over the terms and conditions of the Agreement to the extent there are any inconsistencies between this Second Amendment and the Agreement. </w:t>
            </w:r>
          </w:p>
        </w:tc>
      </w:tr>
    </w:tbl>
    <w:p>
      <w:pPr>
        <w:pStyle w:val="TextBody"/>
        <w:bidi w:val="0"/>
        <w:spacing w:before="0" w:after="0"/>
        <w:ind w:left="0" w:right="0" w:hanging="0"/>
        <w:jc w:val="both"/>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950"/>
      </w:tblGrid>
      <w:tr>
        <w:trPr/>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Second Amendment as of the Second Amendment Effective Date.</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5"/>
        <w:gridCol w:w="1730"/>
        <w:gridCol w:w="75"/>
      </w:tblGrid>
      <w:tr>
        <w:trPr/>
        <w:tc>
          <w:tcPr>
            <w:tcW w:w="2335"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Sintetica S.A.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Nicola Caronzolo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 Caronzolo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CEO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5"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Sintetica S.A.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73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Luca Casella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Luca Casella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CFO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35"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Harrow IP LLC</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73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Boll</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Amdrew Boll</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950"/>
      </w:tblGrid>
      <w:tr>
        <w:trPr/>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2</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1091" w:name="ex31-1.htm"/>
      <w:bookmarkStart w:id="1092" w:name="ksex311"/>
      <w:bookmarkEnd w:id="1091"/>
      <w:bookmarkEnd w:id="109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EXECUTIVE OFFICER UNDER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 L. Baum,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51"/>
        <w:gridCol w:w="9919"/>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120"/>
        <w:gridCol w:w="2240"/>
      </w:tblGrid>
      <w:tr>
        <w:trPr/>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2023</w:t>
            </w:r>
          </w:p>
        </w:tc>
        <w:tc>
          <w:tcPr>
            <w:tcW w:w="224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1093" w:name="ex31-2.htm"/>
      <w:bookmarkStart w:id="1094" w:name="ksex312"/>
      <w:bookmarkEnd w:id="1093"/>
      <w:bookmarkEnd w:id="109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FINANCIAL OFFICER UNDER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Andrew R. Boll,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205"/>
        <w:gridCol w:w="9865"/>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43"/>
        <w:gridCol w:w="9927"/>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51"/>
        <w:gridCol w:w="9919"/>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2120"/>
        <w:gridCol w:w="3695"/>
      </w:tblGrid>
      <w:tr>
        <w:trPr/>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2023</w:t>
            </w:r>
          </w:p>
        </w:tc>
        <w:tc>
          <w:tcPr>
            <w:tcW w:w="369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20" w:type="dxa"/>
            <w:tcBorders/>
            <w:vAlign w:val="center"/>
          </w:tcPr>
          <w:p>
            <w:pPr>
              <w:pStyle w:val="TableContents"/>
              <w:bidi w:val="0"/>
              <w:spacing w:before="0" w:after="283"/>
              <w:jc w:val="both"/>
              <w:rPr>
                <w:caps w:val="false"/>
                <w:smallCaps w:val="false"/>
              </w:rPr>
            </w:pPr>
            <w:r>
              <w:rPr>
                <w:caps w:val="false"/>
                <w:smallCaps w:val="false"/>
              </w:rPr>
              <w:t> </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pPr>
      <w:bookmarkStart w:id="1095" w:name="ex32-1.htm"/>
      <w:bookmarkStart w:id="1096" w:name="ksex321"/>
      <w:bookmarkEnd w:id="1095"/>
      <w:bookmarkEnd w:id="109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CERTIFICATION REQUIRED BY</w:t>
        <w:br/>
        <w:t xml:space="preserve">SECTION 1350 OF TITLE 18 OF THE UNITED STATES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September 30, 2023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hanging="0"/>
        <w:jc w:val="both"/>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155"/>
        <w:gridCol w:w="135"/>
      </w:tblGrid>
      <w:tr>
        <w:trPr/>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2023</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L. Baum </w:t>
            </w:r>
            <w:r>
              <w:rPr>
                <w:rFonts w:ascii="Times New Roman;Times;Serif" w:hAnsi="Times New Roman;Times;Serif"/>
                <w:b w:val="false"/>
                <w:i/>
                <w:caps w:val="false"/>
                <w:smallCaps w:val="false"/>
                <w:sz w:val="20"/>
              </w:rPr>
              <w:t>Chief Executive Officer</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755"/>
        <w:gridCol w:w="135"/>
      </w:tblGrid>
      <w:tr>
        <w:trPr/>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2023</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Andrew R. Boll </w:t>
            </w:r>
            <w:r>
              <w:rPr>
                <w:rFonts w:ascii="Times New Roman;Times;Serif" w:hAnsi="Times New Roman;Times;Serif"/>
                <w:b w:val="false"/>
                <w:i/>
                <w:caps w:val="false"/>
                <w:smallCaps w:val="false"/>
                <w:sz w:val="20"/>
              </w:rPr>
              <w:t>Chief Financial Officer</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0214/000149315223034832/ex3-1.htm" TargetMode="External"/><Relationship Id="rId3" Type="http://schemas.openxmlformats.org/officeDocument/2006/relationships/hyperlink" Target="https://www.sec.gov/Archives/edgar/data/1360214/000149315223034832/ex3-2.htm" TargetMode="External"/><Relationship Id="rId4" Type="http://schemas.openxmlformats.org/officeDocument/2006/relationships/hyperlink" Target="https://www.sec.gov/Archives/edgar/data/1360214/000149315223027361/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27148</Words>
  <Characters>150619</Characters>
  <CharactersWithSpaces>179481</CharactersWithSpaces>
  <Paragraphs>7032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