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29772L108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9780" w:hanging="8"/>
        <w:spacing w:after="0" w:line="530" w:lineRule="auto"/>
        <w:tabs>
          <w:tab w:leader="none" w:pos="490" w:val="left"/>
        </w:tabs>
        <w:numPr>
          <w:ilvl w:val="1"/>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480" w:hanging="148"/>
        <w:spacing w:after="0"/>
        <w:tabs>
          <w:tab w:leader="none" w:pos="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25"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5460" w:val="left"/>
          <w:tab w:leader="none" w:pos="888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5574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Opaleye Management Inc.</w:t>
      </w:r>
    </w:p>
    <w:p>
      <w:pPr>
        <w:spacing w:after="0" w:line="211" w:lineRule="exact"/>
        <w:rPr>
          <w:sz w:val="20"/>
          <w:szCs w:val="20"/>
          <w:color w:val="auto"/>
        </w:rPr>
      </w:pPr>
    </w:p>
    <w:p>
      <w:pPr>
        <w:ind w:left="740" w:hanging="453"/>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3"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20-5648796</w:t>
      </w:r>
    </w:p>
    <w:p>
      <w:pPr>
        <w:spacing w:after="0" w:line="21"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225" w:lineRule="exact"/>
        <w:rPr>
          <w:sz w:val="20"/>
          <w:szCs w:val="20"/>
          <w:color w:val="auto"/>
        </w:rPr>
      </w:pPr>
    </w:p>
    <w:p>
      <w:pPr>
        <w:jc w:val="right"/>
        <w:ind w:left="280" w:right="10200" w:firstLine="468"/>
        <w:spacing w:after="0" w:line="266" w:lineRule="auto"/>
        <w:tabs>
          <w:tab w:leader="none" w:pos="98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 xml:space="preserve">2    </w:t>
      </w:r>
      <w:r>
        <w:rPr>
          <w:rFonts w:ascii="Arial" w:cs="Arial" w:eastAsia="Arial" w:hAnsi="Arial"/>
          <w:sz w:val="18"/>
          <w:szCs w:val="18"/>
          <w:color w:val="auto"/>
        </w:rPr>
        <w:t>(b) [ ]</w:t>
      </w:r>
    </w:p>
    <w:p>
      <w:pPr>
        <w:ind w:left="74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40" w:hanging="453"/>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Massachusetts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w:t>
            </w:r>
          </w:p>
        </w:tc>
        <w:tc>
          <w:tcPr>
            <w:tcW w:w="9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8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2,340,000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580" w:type="dxa"/>
            <w:vAlign w:val="bottom"/>
            <w:tcBorders>
              <w:bottom w:val="single" w:sz="8" w:color="auto"/>
            </w:tcBorders>
            <w:vMerge w:val="continue"/>
          </w:tcPr>
          <w:p>
            <w:pPr>
              <w:spacing w:after="0"/>
              <w:rPr>
                <w:sz w:val="10"/>
                <w:szCs w:val="10"/>
                <w:color w:val="auto"/>
              </w:rPr>
            </w:pPr>
          </w:p>
        </w:tc>
        <w:tc>
          <w:tcPr>
            <w:tcW w:w="95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580" w:type="dxa"/>
            <w:vAlign w:val="bottom"/>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580" w:type="dxa"/>
            <w:vAlign w:val="bottom"/>
            <w:tcBorders>
              <w:bottom w:val="single" w:sz="8" w:color="auto"/>
            </w:tcBorders>
            <w:vMerge w:val="continue"/>
          </w:tcPr>
          <w:p>
            <w:pPr>
              <w:spacing w:after="0"/>
              <w:rPr>
                <w:sz w:val="12"/>
                <w:szCs w:val="12"/>
                <w:color w:val="auto"/>
              </w:rPr>
            </w:pPr>
          </w:p>
        </w:tc>
        <w:tc>
          <w:tcPr>
            <w:tcW w:w="95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80" w:hanging="469"/>
        <w:spacing w:after="0"/>
        <w:tabs>
          <w:tab w:leader="none" w:pos="2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2,340,000</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40" w:hanging="453"/>
        <w:spacing w:after="0"/>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2,340,000</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740" w:hanging="498"/>
        <w:spacing w:after="0"/>
        <w:tabs>
          <w:tab w:leader="none" w:pos="74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740" w:hanging="493"/>
        <w:spacing w:after="0"/>
        <w:tabs>
          <w:tab w:leader="none" w:pos="74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9.30%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40" w:hanging="498"/>
        <w:spacing w:after="0"/>
        <w:tabs>
          <w:tab w:leader="none" w:pos="74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52" w:lineRule="exact"/>
        <w:rPr>
          <w:rFonts w:ascii="Arial" w:cs="Arial" w:eastAsia="Arial" w:hAnsi="Arial"/>
          <w:sz w:val="18"/>
          <w:szCs w:val="18"/>
          <w:b w:val="1"/>
          <w:bCs w:val="1"/>
          <w:color w:val="auto"/>
        </w:rPr>
      </w:pPr>
    </w:p>
    <w:p>
      <w:pPr>
        <w:jc w:val="both"/>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Based upon 25,172,931 shares of common stock issued and outstanding as of November 12, 2019 reported by the Issuer on its Form 10-Q filed with the Securities and Exchange Commission on November 13, 2019.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 w:name="page3"/>
    <w:bookmarkEnd w:id="2"/>
    <w:p>
      <w:pPr>
        <w:spacing w:after="0"/>
        <w:tabs>
          <w:tab w:leader="none" w:pos="5460" w:val="left"/>
          <w:tab w:leader="none" w:pos="888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5445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I.R.S. IDENTIFICATION NOS. OF ABOVE PERSONS (ENTITIES ONLY)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Opaleye, L.P.</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39" w:lineRule="exact"/>
        <w:rPr>
          <w:sz w:val="20"/>
          <w:szCs w:val="20"/>
          <w:color w:val="auto"/>
        </w:rPr>
      </w:pPr>
    </w:p>
    <w:p>
      <w:pPr>
        <w:jc w:val="right"/>
        <w:ind w:left="280" w:right="10200" w:firstLine="468"/>
        <w:spacing w:after="0" w:line="266" w:lineRule="auto"/>
        <w:tabs>
          <w:tab w:leader="none" w:pos="986"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 xml:space="preserve">2    </w:t>
      </w:r>
      <w:r>
        <w:rPr>
          <w:rFonts w:ascii="Arial" w:cs="Arial" w:eastAsia="Arial" w:hAnsi="Arial"/>
          <w:sz w:val="18"/>
          <w:szCs w:val="18"/>
          <w:color w:val="auto"/>
        </w:rPr>
        <w:t>(b) [ ]</w:t>
      </w:r>
    </w:p>
    <w:p>
      <w:pPr>
        <w:ind w:left="74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40" w:hanging="453"/>
        <w:spacing w:after="0"/>
        <w:tabs>
          <w:tab w:leader="none" w:pos="7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w:t>
            </w:r>
          </w:p>
        </w:tc>
        <w:tc>
          <w:tcPr>
            <w:tcW w:w="9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8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2,340,000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580" w:type="dxa"/>
            <w:vAlign w:val="bottom"/>
            <w:tcBorders>
              <w:bottom w:val="single" w:sz="8" w:color="auto"/>
            </w:tcBorders>
            <w:vMerge w:val="continue"/>
          </w:tcPr>
          <w:p>
            <w:pPr>
              <w:spacing w:after="0"/>
              <w:rPr>
                <w:sz w:val="10"/>
                <w:szCs w:val="10"/>
                <w:color w:val="auto"/>
              </w:rPr>
            </w:pPr>
          </w:p>
        </w:tc>
        <w:tc>
          <w:tcPr>
            <w:tcW w:w="95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580" w:type="dxa"/>
            <w:vAlign w:val="bottom"/>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580" w:type="dxa"/>
            <w:vAlign w:val="bottom"/>
            <w:tcBorders>
              <w:bottom w:val="single" w:sz="8" w:color="auto"/>
            </w:tcBorders>
            <w:vMerge w:val="continue"/>
          </w:tcPr>
          <w:p>
            <w:pPr>
              <w:spacing w:after="0"/>
              <w:rPr>
                <w:sz w:val="12"/>
                <w:szCs w:val="12"/>
                <w:color w:val="auto"/>
              </w:rPr>
            </w:pPr>
          </w:p>
        </w:tc>
        <w:tc>
          <w:tcPr>
            <w:tcW w:w="95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80" w:hanging="469"/>
        <w:spacing w:after="0"/>
        <w:tabs>
          <w:tab w:leader="none" w:pos="2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2,340,000</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40" w:hanging="453"/>
        <w:spacing w:after="0"/>
        <w:tabs>
          <w:tab w:leader="none" w:pos="7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2,340,000</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740" w:hanging="498"/>
        <w:spacing w:after="0"/>
        <w:tabs>
          <w:tab w:leader="none" w:pos="74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740" w:hanging="493"/>
        <w:spacing w:after="0"/>
        <w:tabs>
          <w:tab w:leader="none" w:pos="74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9.30%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40" w:hanging="498"/>
        <w:spacing w:after="0"/>
        <w:tabs>
          <w:tab w:leader="none" w:pos="74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52" w:lineRule="exact"/>
        <w:rPr>
          <w:rFonts w:ascii="Arial" w:cs="Arial" w:eastAsia="Arial" w:hAnsi="Arial"/>
          <w:sz w:val="18"/>
          <w:szCs w:val="18"/>
          <w:b w:val="1"/>
          <w:bCs w:val="1"/>
          <w:color w:val="auto"/>
        </w:rPr>
      </w:pPr>
    </w:p>
    <w:p>
      <w:pPr>
        <w:jc w:val="both"/>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Based upon 25,172,931 shares of common stock issued and outstanding as of November 12, 2019 reported by the Issuer on its Form 10-Q filed with the Securities and Exchange Commission on November 13, 2019.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tabs>
          <w:tab w:leader="none" w:pos="5460" w:val="left"/>
          <w:tab w:leader="none" w:pos="888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5445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pacing w:after="0" w:line="2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I.R.S. IDENTIFICATION NOS. OF ABOVE PERSONS (ENTITIES ONLY)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James Silverman</w:t>
      </w:r>
    </w:p>
    <w:p>
      <w:pPr>
        <w:spacing w:after="0" w:line="2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239" w:lineRule="exact"/>
        <w:rPr>
          <w:sz w:val="20"/>
          <w:szCs w:val="20"/>
          <w:color w:val="auto"/>
        </w:rPr>
      </w:pPr>
    </w:p>
    <w:p>
      <w:pPr>
        <w:jc w:val="right"/>
        <w:ind w:left="280" w:right="10200" w:firstLine="468"/>
        <w:spacing w:after="0" w:line="266" w:lineRule="auto"/>
        <w:tabs>
          <w:tab w:leader="none" w:pos="9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 xml:space="preserve">2    </w:t>
      </w:r>
      <w:r>
        <w:rPr>
          <w:rFonts w:ascii="Arial" w:cs="Arial" w:eastAsia="Arial" w:hAnsi="Arial"/>
          <w:sz w:val="18"/>
          <w:szCs w:val="18"/>
          <w:color w:val="auto"/>
        </w:rPr>
        <w:t>(b) [ ]</w:t>
      </w:r>
    </w:p>
    <w:p>
      <w:pPr>
        <w:ind w:left="740"/>
        <w:spacing w:after="0"/>
        <w:rPr>
          <w:rFonts w:ascii="Arial" w:cs="Arial" w:eastAsia="Arial" w:hAnsi="Arial"/>
          <w:sz w:val="18"/>
          <w:szCs w:val="18"/>
          <w:color w:val="auto"/>
        </w:rPr>
      </w:pPr>
      <w:r>
        <w:rPr>
          <w:rFonts w:ascii="Arial" w:cs="Arial" w:eastAsia="Arial" w:hAnsi="Arial"/>
          <w:sz w:val="18"/>
          <w:szCs w:val="18"/>
          <w:color w:val="auto"/>
        </w:rPr>
        <w:t>SEC USE ONLY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3</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740" w:hanging="453"/>
        <w:spacing w:after="0"/>
        <w:tabs>
          <w:tab w:leader="none" w:pos="7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9"/>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w:t>
            </w:r>
          </w:p>
        </w:tc>
        <w:tc>
          <w:tcPr>
            <w:tcW w:w="9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2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3"/>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58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2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9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2,340,000</w:t>
            </w:r>
          </w:p>
        </w:tc>
        <w:tc>
          <w:tcPr>
            <w:tcW w:w="0" w:type="dxa"/>
            <w:vAlign w:val="bottom"/>
          </w:tcPr>
          <w:p>
            <w:pPr>
              <w:spacing w:after="0"/>
              <w:rPr>
                <w:sz w:val="1"/>
                <w:szCs w:val="1"/>
                <w:color w:val="auto"/>
              </w:rPr>
            </w:pPr>
          </w:p>
        </w:tc>
      </w:tr>
      <w:tr>
        <w:trPr>
          <w:trHeight w:val="121"/>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OWNED</w:t>
            </w:r>
          </w:p>
        </w:tc>
        <w:tc>
          <w:tcPr>
            <w:tcW w:w="580" w:type="dxa"/>
            <w:vAlign w:val="bottom"/>
            <w:tcBorders>
              <w:bottom w:val="single" w:sz="8" w:color="auto"/>
            </w:tcBorders>
            <w:vMerge w:val="continue"/>
          </w:tcPr>
          <w:p>
            <w:pPr>
              <w:spacing w:after="0"/>
              <w:rPr>
                <w:sz w:val="10"/>
                <w:szCs w:val="10"/>
                <w:color w:val="auto"/>
              </w:rPr>
            </w:pPr>
          </w:p>
        </w:tc>
        <w:tc>
          <w:tcPr>
            <w:tcW w:w="95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2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8"/>
              </w:rPr>
              <w:t>BY EACH</w:t>
            </w:r>
          </w:p>
        </w:tc>
        <w:tc>
          <w:tcPr>
            <w:tcW w:w="580" w:type="dxa"/>
            <w:vAlign w:val="bottom"/>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580" w:type="dxa"/>
            <w:vAlign w:val="bottom"/>
            <w:tcBorders>
              <w:bottom w:val="single" w:sz="8" w:color="auto"/>
            </w:tcBorders>
            <w:vMerge w:val="continue"/>
          </w:tcPr>
          <w:p>
            <w:pPr>
              <w:spacing w:after="0"/>
              <w:rPr>
                <w:sz w:val="12"/>
                <w:szCs w:val="12"/>
                <w:color w:val="auto"/>
              </w:rPr>
            </w:pPr>
          </w:p>
        </w:tc>
        <w:tc>
          <w:tcPr>
            <w:tcW w:w="95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954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63"/>
        </w:trPr>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80" w:hanging="469"/>
        <w:spacing w:after="0"/>
        <w:tabs>
          <w:tab w:leader="none" w:pos="20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2,340,000</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740" w:hanging="453"/>
        <w:spacing w:after="0"/>
        <w:tabs>
          <w:tab w:leader="none" w:pos="7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2,340,000</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w:t>
      </w:r>
    </w:p>
    <w:p>
      <w:pPr>
        <w:spacing w:after="0" w:line="225" w:lineRule="exact"/>
        <w:rPr>
          <w:sz w:val="20"/>
          <w:szCs w:val="20"/>
          <w:color w:val="auto"/>
        </w:rPr>
      </w:pPr>
    </w:p>
    <w:p>
      <w:pPr>
        <w:ind w:left="740" w:hanging="498"/>
        <w:spacing w:after="0"/>
        <w:tabs>
          <w:tab w:leader="none" w:pos="74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b w:val="1"/>
          <w:bCs w:val="1"/>
          <w:color w:val="auto"/>
        </w:rPr>
      </w:pPr>
    </w:p>
    <w:p>
      <w:pPr>
        <w:ind w:left="740" w:hanging="493"/>
        <w:spacing w:after="0"/>
        <w:tabs>
          <w:tab w:leader="none" w:pos="74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9.30% *</w:t>
      </w:r>
    </w:p>
    <w:p>
      <w:pPr>
        <w:spacing w:after="0" w:line="36"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740" w:hanging="498"/>
        <w:spacing w:after="0"/>
        <w:tabs>
          <w:tab w:leader="none" w:pos="740"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52" w:lineRule="exact"/>
        <w:rPr>
          <w:rFonts w:ascii="Arial" w:cs="Arial" w:eastAsia="Arial" w:hAnsi="Arial"/>
          <w:sz w:val="18"/>
          <w:szCs w:val="18"/>
          <w:b w:val="1"/>
          <w:bCs w:val="1"/>
          <w:color w:val="auto"/>
        </w:rPr>
      </w:pPr>
    </w:p>
    <w:p>
      <w:pPr>
        <w:jc w:val="both"/>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Based upon 25,172,931 shares of common stock issued and outstanding as of November 12, 2019 reported by the Issuer on its Form 10-Q filed with the Securities and Exchange Commission on November 13, 2019.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5120" w:type="dxa"/>
            <w:vAlign w:val="bottom"/>
            <w:gridSpan w:val="11"/>
          </w:tcPr>
          <w:p>
            <w:pPr>
              <w:spacing w:after="0"/>
              <w:rPr>
                <w:sz w:val="20"/>
                <w:szCs w:val="20"/>
                <w:color w:val="auto"/>
              </w:rPr>
            </w:pPr>
            <w:r>
              <w:rPr>
                <w:rFonts w:ascii="Arial" w:cs="Arial" w:eastAsia="Arial" w:hAnsi="Arial"/>
                <w:sz w:val="18"/>
                <w:szCs w:val="18"/>
                <w:color w:val="auto"/>
              </w:rPr>
              <w:t>CUSIP No. 29772L108</w:t>
            </w:r>
          </w:p>
        </w:tc>
        <w:tc>
          <w:tcPr>
            <w:tcW w:w="180" w:type="dxa"/>
            <w:vAlign w:val="bottom"/>
          </w:tcPr>
          <w:p>
            <w:pPr>
              <w:spacing w:after="0"/>
              <w:rPr>
                <w:sz w:val="20"/>
                <w:szCs w:val="20"/>
                <w:color w:val="auto"/>
              </w:rPr>
            </w:pPr>
          </w:p>
        </w:tc>
        <w:tc>
          <w:tcPr>
            <w:tcW w:w="3500" w:type="dxa"/>
            <w:vAlign w:val="bottom"/>
            <w:gridSpan w:val="2"/>
          </w:tcPr>
          <w:p>
            <w:pPr>
              <w:ind w:left="180"/>
              <w:spacing w:after="0"/>
              <w:rPr>
                <w:sz w:val="20"/>
                <w:szCs w:val="20"/>
                <w:color w:val="auto"/>
              </w:rPr>
            </w:pPr>
            <w:r>
              <w:rPr>
                <w:rFonts w:ascii="Arial" w:cs="Arial" w:eastAsia="Arial" w:hAnsi="Arial"/>
                <w:sz w:val="18"/>
                <w:szCs w:val="18"/>
                <w:color w:val="auto"/>
              </w:rPr>
              <w:t>13G/A</w:t>
            </w:r>
          </w:p>
        </w:tc>
        <w:tc>
          <w:tcPr>
            <w:tcW w:w="2620" w:type="dxa"/>
            <w:vAlign w:val="bottom"/>
            <w:gridSpan w:val="3"/>
          </w:tcPr>
          <w:p>
            <w:pPr>
              <w:ind w:left="100"/>
              <w:spacing w:after="0"/>
              <w:rPr>
                <w:sz w:val="20"/>
                <w:szCs w:val="20"/>
                <w:color w:val="auto"/>
              </w:rPr>
            </w:pPr>
            <w:r>
              <w:rPr>
                <w:rFonts w:ascii="Arial" w:cs="Arial" w:eastAsia="Arial" w:hAnsi="Arial"/>
                <w:sz w:val="18"/>
                <w:szCs w:val="18"/>
                <w:color w:val="auto"/>
              </w:rPr>
              <w:t>Page 5 of 8 Pages</w:t>
            </w:r>
          </w:p>
        </w:tc>
      </w:tr>
      <w:tr>
        <w:trPr>
          <w:trHeight w:val="432"/>
        </w:trPr>
        <w:tc>
          <w:tcPr>
            <w:tcW w:w="13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3740" w:type="dxa"/>
            <w:vAlign w:val="bottom"/>
            <w:gridSpan w:val="10"/>
          </w:tcPr>
          <w:p>
            <w:pPr>
              <w:spacing w:after="0"/>
              <w:rPr>
                <w:sz w:val="20"/>
                <w:szCs w:val="20"/>
                <w:color w:val="auto"/>
              </w:rPr>
            </w:pPr>
            <w:r>
              <w:rPr>
                <w:rFonts w:ascii="Arial" w:cs="Arial" w:eastAsia="Arial" w:hAnsi="Arial"/>
                <w:sz w:val="18"/>
                <w:szCs w:val="18"/>
                <w:b w:val="1"/>
                <w:bCs w:val="1"/>
                <w:color w:val="auto"/>
              </w:rPr>
              <w:t>Name of Issuer:</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7420" w:type="dxa"/>
            <w:vAlign w:val="bottom"/>
            <w:gridSpan w:val="13"/>
          </w:tcPr>
          <w:p>
            <w:pPr>
              <w:spacing w:after="0"/>
              <w:rPr>
                <w:sz w:val="20"/>
                <w:szCs w:val="20"/>
                <w:color w:val="auto"/>
              </w:rPr>
            </w:pPr>
            <w:r>
              <w:rPr>
                <w:rFonts w:ascii="Arial" w:cs="Arial" w:eastAsia="Arial" w:hAnsi="Arial"/>
                <w:sz w:val="18"/>
                <w:szCs w:val="18"/>
                <w:color w:val="auto"/>
              </w:rPr>
              <w:t>The name of the issuer is Harrow Health, Inc. (the “Company”).</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3"/>
        </w:trPr>
        <w:tc>
          <w:tcPr>
            <w:tcW w:w="138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3740" w:type="dxa"/>
            <w:vAlign w:val="bottom"/>
            <w:gridSpan w:val="10"/>
          </w:tcPr>
          <w:p>
            <w:pPr>
              <w:spacing w:after="0"/>
              <w:rPr>
                <w:sz w:val="20"/>
                <w:szCs w:val="20"/>
                <w:color w:val="auto"/>
              </w:rPr>
            </w:pPr>
            <w:r>
              <w:rPr>
                <w:rFonts w:ascii="Arial" w:cs="Arial" w:eastAsia="Arial" w:hAnsi="Arial"/>
                <w:sz w:val="18"/>
                <w:szCs w:val="18"/>
                <w:b w:val="1"/>
                <w:bCs w:val="1"/>
                <w:color w:val="auto"/>
                <w:w w:val="90"/>
              </w:rPr>
              <w:t>Address of Issuer’s Principal Executive Offices:</w:t>
            </w: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1380" w:type="dxa"/>
            <w:vAlign w:val="bottom"/>
          </w:tcPr>
          <w:p>
            <w:pPr>
              <w:spacing w:after="0"/>
              <w:rPr>
                <w:sz w:val="24"/>
                <w:szCs w:val="24"/>
                <w:color w:val="auto"/>
              </w:rPr>
            </w:pPr>
          </w:p>
        </w:tc>
        <w:tc>
          <w:tcPr>
            <w:tcW w:w="10040" w:type="dxa"/>
            <w:vAlign w:val="bottom"/>
            <w:gridSpan w:val="16"/>
          </w:tcPr>
          <w:p>
            <w:pPr>
              <w:spacing w:after="0"/>
              <w:rPr>
                <w:sz w:val="20"/>
                <w:szCs w:val="20"/>
                <w:color w:val="auto"/>
              </w:rPr>
            </w:pPr>
            <w:r>
              <w:rPr>
                <w:rFonts w:ascii="Arial" w:cs="Arial" w:eastAsia="Arial" w:hAnsi="Arial"/>
                <w:sz w:val="18"/>
                <w:szCs w:val="18"/>
                <w:color w:val="auto"/>
              </w:rPr>
              <w:t>The Company’s principal executive offices are located at 12264 El Camino Real, Suite 350, San Diego, CA 92130.</w:t>
            </w:r>
          </w:p>
        </w:tc>
      </w:tr>
      <w:tr>
        <w:trPr>
          <w:trHeight w:val="432"/>
        </w:trPr>
        <w:tc>
          <w:tcPr>
            <w:tcW w:w="138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3740" w:type="dxa"/>
            <w:vAlign w:val="bottom"/>
            <w:gridSpan w:val="10"/>
          </w:tcPr>
          <w:p>
            <w:pPr>
              <w:spacing w:after="0"/>
              <w:rPr>
                <w:sz w:val="20"/>
                <w:szCs w:val="20"/>
                <w:color w:val="auto"/>
              </w:rPr>
            </w:pPr>
            <w:r>
              <w:rPr>
                <w:rFonts w:ascii="Arial" w:cs="Arial" w:eastAsia="Arial" w:hAnsi="Arial"/>
                <w:sz w:val="18"/>
                <w:szCs w:val="18"/>
                <w:b w:val="1"/>
                <w:bCs w:val="1"/>
                <w:color w:val="auto"/>
              </w:rPr>
              <w:t>Name of Person Filing.</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10040" w:type="dxa"/>
            <w:vAlign w:val="bottom"/>
            <w:gridSpan w:val="16"/>
          </w:tcPr>
          <w:p>
            <w:pPr>
              <w:spacing w:after="0"/>
              <w:rPr>
                <w:sz w:val="20"/>
                <w:szCs w:val="20"/>
                <w:color w:val="auto"/>
              </w:rPr>
            </w:pPr>
            <w:r>
              <w:rPr>
                <w:rFonts w:ascii="Arial" w:cs="Arial" w:eastAsia="Arial" w:hAnsi="Arial"/>
                <w:sz w:val="18"/>
                <w:szCs w:val="18"/>
                <w:color w:val="auto"/>
                <w:w w:val="91"/>
              </w:rPr>
              <w:t>This statement is filed by the entities and persons listed below, who are collectively referred to herein as “Reporting Persons” with respect</w:t>
            </w:r>
          </w:p>
        </w:tc>
      </w:tr>
      <w:tr>
        <w:trPr>
          <w:trHeight w:val="237"/>
        </w:trPr>
        <w:tc>
          <w:tcPr>
            <w:tcW w:w="1380" w:type="dxa"/>
            <w:vAlign w:val="bottom"/>
          </w:tcPr>
          <w:p>
            <w:pPr>
              <w:spacing w:after="0"/>
              <w:rPr>
                <w:sz w:val="20"/>
                <w:szCs w:val="20"/>
                <w:color w:val="auto"/>
              </w:rPr>
            </w:pPr>
          </w:p>
        </w:tc>
        <w:tc>
          <w:tcPr>
            <w:tcW w:w="3740" w:type="dxa"/>
            <w:vAlign w:val="bottom"/>
            <w:gridSpan w:val="10"/>
          </w:tcPr>
          <w:p>
            <w:pPr>
              <w:spacing w:after="0"/>
              <w:rPr>
                <w:sz w:val="20"/>
                <w:szCs w:val="20"/>
                <w:color w:val="auto"/>
              </w:rPr>
            </w:pPr>
            <w:r>
              <w:rPr>
                <w:rFonts w:ascii="Arial" w:cs="Arial" w:eastAsia="Arial" w:hAnsi="Arial"/>
                <w:sz w:val="18"/>
                <w:szCs w:val="18"/>
                <w:color w:val="auto"/>
                <w:w w:val="97"/>
              </w:rPr>
              <w:t>to the shares of common stock of the Company:</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r>
      <w:tr>
        <w:trPr>
          <w:trHeight w:val="392"/>
        </w:trPr>
        <w:tc>
          <w:tcPr>
            <w:tcW w:w="1380" w:type="dxa"/>
            <w:vAlign w:val="bottom"/>
          </w:tcPr>
          <w:p>
            <w:pPr>
              <w:spacing w:after="0"/>
              <w:rPr>
                <w:sz w:val="24"/>
                <w:szCs w:val="24"/>
                <w:color w:val="auto"/>
              </w:rPr>
            </w:pPr>
          </w:p>
        </w:tc>
        <w:tc>
          <w:tcPr>
            <w:tcW w:w="3740" w:type="dxa"/>
            <w:vAlign w:val="bottom"/>
            <w:gridSpan w:val="10"/>
          </w:tcPr>
          <w:p>
            <w:pPr>
              <w:spacing w:after="0"/>
              <w:rPr>
                <w:sz w:val="20"/>
                <w:szCs w:val="20"/>
                <w:color w:val="auto"/>
              </w:rPr>
            </w:pPr>
            <w:r>
              <w:rPr>
                <w:rFonts w:ascii="Arial" w:cs="Arial" w:eastAsia="Arial" w:hAnsi="Arial"/>
                <w:sz w:val="18"/>
                <w:szCs w:val="18"/>
                <w:color w:val="auto"/>
              </w:rPr>
              <w:t>Opaleye Fund</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spacing w:after="0"/>
              <w:rPr>
                <w:sz w:val="24"/>
                <w:szCs w:val="24"/>
                <w:color w:val="auto"/>
              </w:rPr>
            </w:pPr>
          </w:p>
        </w:tc>
        <w:tc>
          <w:tcPr>
            <w:tcW w:w="7420" w:type="dxa"/>
            <w:vAlign w:val="bottom"/>
            <w:gridSpan w:val="13"/>
          </w:tcPr>
          <w:p>
            <w:pPr>
              <w:spacing w:after="0"/>
              <w:rPr>
                <w:sz w:val="20"/>
                <w:szCs w:val="20"/>
                <w:color w:val="auto"/>
              </w:rPr>
            </w:pPr>
            <w:r>
              <w:rPr>
                <w:rFonts w:ascii="Arial" w:cs="Arial" w:eastAsia="Arial" w:hAnsi="Arial"/>
                <w:sz w:val="18"/>
                <w:szCs w:val="18"/>
                <w:color w:val="auto"/>
              </w:rPr>
              <w:t>Opaleye, L.P. (the “Opaleye Fund”), a private fund formed in the state of Delaware.</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spacing w:after="0"/>
              <w:rPr>
                <w:sz w:val="24"/>
                <w:szCs w:val="24"/>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Investment Manager</w:t>
            </w:r>
          </w:p>
        </w:tc>
        <w:tc>
          <w:tcPr>
            <w:tcW w:w="224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1380" w:type="dxa"/>
            <w:vAlign w:val="bottom"/>
          </w:tcPr>
          <w:p>
            <w:pPr>
              <w:spacing w:after="0"/>
              <w:rPr>
                <w:sz w:val="24"/>
                <w:szCs w:val="24"/>
                <w:color w:val="auto"/>
              </w:rPr>
            </w:pPr>
          </w:p>
        </w:tc>
        <w:tc>
          <w:tcPr>
            <w:tcW w:w="10040" w:type="dxa"/>
            <w:vAlign w:val="bottom"/>
            <w:gridSpan w:val="16"/>
          </w:tcPr>
          <w:p>
            <w:pPr>
              <w:spacing w:after="0"/>
              <w:rPr>
                <w:sz w:val="20"/>
                <w:szCs w:val="20"/>
                <w:color w:val="auto"/>
              </w:rPr>
            </w:pPr>
            <w:r>
              <w:rPr>
                <w:rFonts w:ascii="Arial" w:cs="Arial" w:eastAsia="Arial" w:hAnsi="Arial"/>
                <w:sz w:val="18"/>
                <w:szCs w:val="18"/>
                <w:color w:val="auto"/>
                <w:w w:val="93"/>
              </w:rPr>
              <w:t>Opaleye Management Inc. (the “Investment Manager”), with respect to the common shares held by the Opaleye Fund, a private fund to</w:t>
            </w:r>
          </w:p>
        </w:tc>
      </w:tr>
      <w:tr>
        <w:trPr>
          <w:trHeight w:val="20"/>
        </w:trPr>
        <w:tc>
          <w:tcPr>
            <w:tcW w:w="13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r>
      <w:tr>
        <w:trPr>
          <w:trHeight w:val="222"/>
        </w:trPr>
        <w:tc>
          <w:tcPr>
            <w:tcW w:w="1380" w:type="dxa"/>
            <w:vAlign w:val="bottom"/>
          </w:tcPr>
          <w:p>
            <w:pPr>
              <w:spacing w:after="0"/>
              <w:rPr>
                <w:sz w:val="19"/>
                <w:szCs w:val="19"/>
                <w:color w:val="auto"/>
              </w:rPr>
            </w:pPr>
          </w:p>
        </w:tc>
        <w:tc>
          <w:tcPr>
            <w:tcW w:w="10040" w:type="dxa"/>
            <w:vAlign w:val="bottom"/>
            <w:gridSpan w:val="16"/>
          </w:tcPr>
          <w:p>
            <w:pPr>
              <w:spacing w:after="0"/>
              <w:rPr>
                <w:sz w:val="20"/>
                <w:szCs w:val="20"/>
                <w:color w:val="auto"/>
              </w:rPr>
            </w:pPr>
            <w:r>
              <w:rPr>
                <w:rFonts w:ascii="Arial" w:cs="Arial" w:eastAsia="Arial" w:hAnsi="Arial"/>
                <w:sz w:val="18"/>
                <w:szCs w:val="18"/>
                <w:color w:val="auto"/>
                <w:w w:val="90"/>
              </w:rPr>
              <w:t>which the Investment Manager serves as investment manager. The Investment Manager also serves as a portfolio manager for a separate</w:t>
            </w:r>
          </w:p>
        </w:tc>
      </w:tr>
      <w:tr>
        <w:trPr>
          <w:trHeight w:val="190"/>
        </w:trPr>
        <w:tc>
          <w:tcPr>
            <w:tcW w:w="1380" w:type="dxa"/>
            <w:vAlign w:val="bottom"/>
          </w:tcPr>
          <w:p>
            <w:pPr>
              <w:spacing w:after="0"/>
              <w:rPr>
                <w:sz w:val="16"/>
                <w:szCs w:val="16"/>
                <w:color w:val="auto"/>
              </w:rPr>
            </w:pPr>
          </w:p>
        </w:tc>
        <w:tc>
          <w:tcPr>
            <w:tcW w:w="10040" w:type="dxa"/>
            <w:vAlign w:val="bottom"/>
            <w:gridSpan w:val="16"/>
          </w:tcPr>
          <w:p>
            <w:pPr>
              <w:spacing w:after="0" w:line="190" w:lineRule="exact"/>
              <w:rPr>
                <w:sz w:val="20"/>
                <w:szCs w:val="20"/>
                <w:color w:val="auto"/>
              </w:rPr>
            </w:pPr>
            <w:r>
              <w:rPr>
                <w:rFonts w:ascii="Arial" w:cs="Arial" w:eastAsia="Arial" w:hAnsi="Arial"/>
                <w:sz w:val="18"/>
                <w:szCs w:val="18"/>
                <w:color w:val="auto"/>
                <w:w w:val="91"/>
              </w:rPr>
              <w:t>managed account (the “Managed Account”) and may be deemed to indirectly beneficially own securities owned by the Managed Account.</w:t>
            </w:r>
          </w:p>
        </w:tc>
      </w:tr>
      <w:tr>
        <w:trPr>
          <w:trHeight w:val="20"/>
        </w:trPr>
        <w:tc>
          <w:tcPr>
            <w:tcW w:w="13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p>
        </w:tc>
        <w:tc>
          <w:tcPr>
            <w:tcW w:w="7420" w:type="dxa"/>
            <w:vAlign w:val="bottom"/>
            <w:gridSpan w:val="13"/>
          </w:tcPr>
          <w:p>
            <w:pPr>
              <w:spacing w:after="0"/>
              <w:rPr>
                <w:sz w:val="20"/>
                <w:szCs w:val="20"/>
                <w:color w:val="auto"/>
              </w:rPr>
            </w:pPr>
            <w:r>
              <w:rPr>
                <w:rFonts w:ascii="Arial" w:cs="Arial" w:eastAsia="Arial" w:hAnsi="Arial"/>
                <w:sz w:val="18"/>
                <w:szCs w:val="18"/>
                <w:color w:val="auto"/>
                <w:w w:val="91"/>
              </w:rPr>
              <w:t>The Investment Manager disclaims beneficial ownership of the shares held by the Managed Account.</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2"/>
        </w:trPr>
        <w:tc>
          <w:tcPr>
            <w:tcW w:w="1380" w:type="dxa"/>
            <w:vAlign w:val="bottom"/>
          </w:tcPr>
          <w:p>
            <w:pPr>
              <w:spacing w:after="0"/>
              <w:rPr>
                <w:sz w:val="24"/>
                <w:szCs w:val="24"/>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4"/>
              </w:rPr>
              <w:t>Reporting Individual</w:t>
            </w:r>
          </w:p>
        </w:tc>
        <w:tc>
          <w:tcPr>
            <w:tcW w:w="222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1380" w:type="dxa"/>
            <w:vAlign w:val="bottom"/>
          </w:tcPr>
          <w:p>
            <w:pPr>
              <w:spacing w:after="0"/>
              <w:rPr>
                <w:sz w:val="24"/>
                <w:szCs w:val="24"/>
                <w:color w:val="auto"/>
              </w:rPr>
            </w:pPr>
          </w:p>
        </w:tc>
        <w:tc>
          <w:tcPr>
            <w:tcW w:w="10040" w:type="dxa"/>
            <w:vAlign w:val="bottom"/>
            <w:gridSpan w:val="16"/>
          </w:tcPr>
          <w:p>
            <w:pPr>
              <w:spacing w:after="0"/>
              <w:rPr>
                <w:sz w:val="20"/>
                <w:szCs w:val="20"/>
                <w:color w:val="auto"/>
              </w:rPr>
            </w:pPr>
            <w:r>
              <w:rPr>
                <w:rFonts w:ascii="Arial" w:cs="Arial" w:eastAsia="Arial" w:hAnsi="Arial"/>
                <w:sz w:val="18"/>
                <w:szCs w:val="18"/>
                <w:color w:val="auto"/>
                <w:w w:val="91"/>
              </w:rPr>
              <w:t>Mr. James Silverman (the “Reporting Individual”), with respect to the shares of common stock held by the Opaleye Fund. Mr. Silverman is</w:t>
            </w:r>
          </w:p>
        </w:tc>
      </w:tr>
      <w:tr>
        <w:trPr>
          <w:trHeight w:val="20"/>
        </w:trPr>
        <w:tc>
          <w:tcPr>
            <w:tcW w:w="1380" w:type="dxa"/>
            <w:vAlign w:val="bottom"/>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p>
        </w:tc>
        <w:tc>
          <w:tcPr>
            <w:tcW w:w="3740" w:type="dxa"/>
            <w:vAlign w:val="bottom"/>
            <w:gridSpan w:val="10"/>
          </w:tcPr>
          <w:p>
            <w:pPr>
              <w:spacing w:after="0"/>
              <w:rPr>
                <w:sz w:val="20"/>
                <w:szCs w:val="20"/>
                <w:color w:val="auto"/>
              </w:rPr>
            </w:pPr>
            <w:r>
              <w:rPr>
                <w:rFonts w:ascii="Arial" w:cs="Arial" w:eastAsia="Arial" w:hAnsi="Arial"/>
                <w:sz w:val="18"/>
                <w:szCs w:val="18"/>
                <w:color w:val="auto"/>
              </w:rPr>
              <w:t>the President of the Investment Manager.</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7420" w:type="dxa"/>
            <w:vAlign w:val="bottom"/>
            <w:gridSpan w:val="13"/>
          </w:tcPr>
          <w:p>
            <w:pPr>
              <w:spacing w:after="0"/>
              <w:rPr>
                <w:sz w:val="20"/>
                <w:szCs w:val="20"/>
                <w:color w:val="auto"/>
              </w:rPr>
            </w:pPr>
            <w:r>
              <w:rPr>
                <w:rFonts w:ascii="Arial" w:cs="Arial" w:eastAsia="Arial" w:hAnsi="Arial"/>
                <w:sz w:val="18"/>
                <w:szCs w:val="18"/>
                <w:b w:val="1"/>
                <w:bCs w:val="1"/>
                <w:color w:val="auto"/>
              </w:rPr>
              <w:t>Address of Principal Business Office or, if None, Residence.</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380" w:type="dxa"/>
            <w:vAlign w:val="bottom"/>
          </w:tcPr>
          <w:p>
            <w:pPr>
              <w:spacing w:after="0"/>
              <w:rPr>
                <w:sz w:val="24"/>
                <w:szCs w:val="24"/>
                <w:color w:val="auto"/>
              </w:rPr>
            </w:pPr>
          </w:p>
        </w:tc>
        <w:tc>
          <w:tcPr>
            <w:tcW w:w="3740" w:type="dxa"/>
            <w:vAlign w:val="bottom"/>
            <w:gridSpan w:val="10"/>
          </w:tcPr>
          <w:p>
            <w:pPr>
              <w:spacing w:after="0"/>
              <w:rPr>
                <w:sz w:val="20"/>
                <w:szCs w:val="20"/>
                <w:color w:val="auto"/>
              </w:rPr>
            </w:pPr>
            <w:r>
              <w:rPr>
                <w:rFonts w:ascii="Arial" w:cs="Arial" w:eastAsia="Arial" w:hAnsi="Arial"/>
                <w:sz w:val="18"/>
                <w:szCs w:val="18"/>
                <w:color w:val="auto"/>
              </w:rPr>
              <w:t>One Boston Place,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1380" w:type="dxa"/>
            <w:vAlign w:val="bottom"/>
          </w:tcPr>
          <w:p>
            <w:pPr>
              <w:spacing w:after="0"/>
              <w:rPr>
                <w:sz w:val="20"/>
                <w:szCs w:val="20"/>
                <w:color w:val="auto"/>
              </w:rPr>
            </w:pPr>
          </w:p>
        </w:tc>
        <w:tc>
          <w:tcPr>
            <w:tcW w:w="3740" w:type="dxa"/>
            <w:vAlign w:val="bottom"/>
            <w:gridSpan w:val="10"/>
          </w:tcPr>
          <w:p>
            <w:pPr>
              <w:spacing w:after="0"/>
              <w:rPr>
                <w:sz w:val="20"/>
                <w:szCs w:val="20"/>
                <w:color w:val="auto"/>
              </w:rPr>
            </w:pPr>
            <w:r>
              <w:rPr>
                <w:rFonts w:ascii="Arial" w:cs="Arial" w:eastAsia="Arial" w:hAnsi="Arial"/>
                <w:sz w:val="18"/>
                <w:szCs w:val="18"/>
                <w:color w:val="auto"/>
              </w:rPr>
              <w:t>Boston, Massachusetts 02108</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3740" w:type="dxa"/>
            <w:vAlign w:val="bottom"/>
            <w:gridSpan w:val="10"/>
          </w:tcPr>
          <w:p>
            <w:pPr>
              <w:spacing w:after="0"/>
              <w:rPr>
                <w:sz w:val="20"/>
                <w:szCs w:val="20"/>
                <w:color w:val="auto"/>
              </w:rPr>
            </w:pPr>
            <w:r>
              <w:rPr>
                <w:rFonts w:ascii="Arial" w:cs="Arial" w:eastAsia="Arial" w:hAnsi="Arial"/>
                <w:sz w:val="18"/>
                <w:szCs w:val="18"/>
                <w:b w:val="1"/>
                <w:bCs w:val="1"/>
                <w:color w:val="auto"/>
              </w:rPr>
              <w:t>Citizenship.</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1380" w:type="dxa"/>
            <w:vAlign w:val="bottom"/>
          </w:tcPr>
          <w:p>
            <w:pPr>
              <w:spacing w:after="0"/>
              <w:rPr>
                <w:sz w:val="24"/>
                <w:szCs w:val="24"/>
                <w:color w:val="auto"/>
              </w:rPr>
            </w:pPr>
          </w:p>
        </w:tc>
        <w:tc>
          <w:tcPr>
            <w:tcW w:w="10040" w:type="dxa"/>
            <w:vAlign w:val="bottom"/>
            <w:gridSpan w:val="16"/>
          </w:tcPr>
          <w:p>
            <w:pPr>
              <w:spacing w:after="0"/>
              <w:rPr>
                <w:sz w:val="20"/>
                <w:szCs w:val="20"/>
                <w:color w:val="auto"/>
              </w:rPr>
            </w:pPr>
            <w:r>
              <w:rPr>
                <w:rFonts w:ascii="Arial" w:cs="Arial" w:eastAsia="Arial" w:hAnsi="Arial"/>
                <w:sz w:val="18"/>
                <w:szCs w:val="18"/>
                <w:color w:val="auto"/>
                <w:w w:val="96"/>
              </w:rPr>
              <w:t>Citizenship is set forth in Row 4 of the cover page for each Reporting Person and is incorporated herein by reference for each such</w:t>
            </w:r>
          </w:p>
        </w:tc>
      </w:tr>
      <w:tr>
        <w:trPr>
          <w:trHeight w:val="230"/>
        </w:trPr>
        <w:tc>
          <w:tcPr>
            <w:tcW w:w="1380" w:type="dxa"/>
            <w:vAlign w:val="bottom"/>
          </w:tcPr>
          <w:p>
            <w:pPr>
              <w:spacing w:after="0"/>
              <w:rPr>
                <w:sz w:val="20"/>
                <w:szCs w:val="20"/>
                <w:color w:val="auto"/>
              </w:rPr>
            </w:pPr>
          </w:p>
        </w:tc>
        <w:tc>
          <w:tcPr>
            <w:tcW w:w="3740" w:type="dxa"/>
            <w:vAlign w:val="bottom"/>
            <w:gridSpan w:val="10"/>
          </w:tcPr>
          <w:p>
            <w:pPr>
              <w:spacing w:after="0"/>
              <w:rPr>
                <w:sz w:val="20"/>
                <w:szCs w:val="20"/>
                <w:color w:val="auto"/>
              </w:rPr>
            </w:pPr>
            <w:r>
              <w:rPr>
                <w:rFonts w:ascii="Arial" w:cs="Arial" w:eastAsia="Arial" w:hAnsi="Arial"/>
                <w:sz w:val="18"/>
                <w:szCs w:val="18"/>
                <w:color w:val="auto"/>
              </w:rPr>
              <w:t>Reporting Person.</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3740" w:type="dxa"/>
            <w:vAlign w:val="bottom"/>
            <w:gridSpan w:val="10"/>
          </w:tcPr>
          <w:p>
            <w:pPr>
              <w:spacing w:after="0"/>
              <w:rPr>
                <w:sz w:val="20"/>
                <w:szCs w:val="20"/>
                <w:color w:val="auto"/>
              </w:rPr>
            </w:pPr>
            <w:r>
              <w:rPr>
                <w:rFonts w:ascii="Arial" w:cs="Arial" w:eastAsia="Arial" w:hAnsi="Arial"/>
                <w:sz w:val="18"/>
                <w:szCs w:val="18"/>
                <w:b w:val="1"/>
                <w:bCs w:val="1"/>
                <w:color w:val="auto"/>
              </w:rPr>
              <w:t>Title of Class of Securities.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1380" w:type="dxa"/>
            <w:vAlign w:val="bottom"/>
          </w:tcPr>
          <w:p>
            <w:pPr>
              <w:spacing w:after="0"/>
              <w:rPr>
                <w:sz w:val="24"/>
                <w:szCs w:val="24"/>
                <w:color w:val="auto"/>
              </w:rPr>
            </w:pPr>
          </w:p>
        </w:tc>
        <w:tc>
          <w:tcPr>
            <w:tcW w:w="3740" w:type="dxa"/>
            <w:vAlign w:val="bottom"/>
            <w:gridSpan w:val="10"/>
          </w:tcPr>
          <w:p>
            <w:pPr>
              <w:spacing w:after="0"/>
              <w:rPr>
                <w:sz w:val="20"/>
                <w:szCs w:val="20"/>
                <w:color w:val="auto"/>
              </w:rPr>
            </w:pPr>
            <w:r>
              <w:rPr>
                <w:rFonts w:ascii="Arial" w:cs="Arial" w:eastAsia="Arial" w:hAnsi="Arial"/>
                <w:sz w:val="18"/>
                <w:szCs w:val="18"/>
                <w:color w:val="auto"/>
              </w:rPr>
              <w:t>Common Stock, $0.001 par value per share</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3740" w:type="dxa"/>
            <w:vAlign w:val="bottom"/>
            <w:gridSpan w:val="10"/>
          </w:tcPr>
          <w:p>
            <w:pPr>
              <w:spacing w:after="0"/>
              <w:rPr>
                <w:sz w:val="20"/>
                <w:szCs w:val="20"/>
                <w:color w:val="auto"/>
              </w:rPr>
            </w:pPr>
            <w:r>
              <w:rPr>
                <w:rFonts w:ascii="Arial" w:cs="Arial" w:eastAsia="Arial" w:hAnsi="Arial"/>
                <w:sz w:val="18"/>
                <w:szCs w:val="18"/>
                <w:b w:val="1"/>
                <w:bCs w:val="1"/>
                <w:color w:val="auto"/>
              </w:rPr>
              <w:t>CUSIP Number.</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1380" w:type="dxa"/>
            <w:vAlign w:val="bottom"/>
          </w:tcPr>
          <w:p>
            <w:pPr>
              <w:spacing w:after="0"/>
              <w:rPr>
                <w:sz w:val="24"/>
                <w:szCs w:val="24"/>
                <w:color w:val="auto"/>
              </w:rPr>
            </w:pPr>
          </w:p>
        </w:tc>
        <w:tc>
          <w:tcPr>
            <w:tcW w:w="3740" w:type="dxa"/>
            <w:vAlign w:val="bottom"/>
            <w:gridSpan w:val="10"/>
          </w:tcPr>
          <w:p>
            <w:pPr>
              <w:spacing w:after="0"/>
              <w:rPr>
                <w:sz w:val="20"/>
                <w:szCs w:val="20"/>
                <w:color w:val="auto"/>
              </w:rPr>
            </w:pPr>
            <w:r>
              <w:rPr>
                <w:rFonts w:ascii="Arial" w:cs="Arial" w:eastAsia="Arial" w:hAnsi="Arial"/>
                <w:sz w:val="18"/>
                <w:szCs w:val="18"/>
                <w:color w:val="auto"/>
              </w:rPr>
              <w:t>29772L108</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9"/>
        </w:trPr>
        <w:tc>
          <w:tcPr>
            <w:tcW w:w="1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spacing w:after="0"/>
        <w:tabs>
          <w:tab w:leader="none" w:pos="5460" w:val="left"/>
          <w:tab w:leader="none" w:pos="888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6 of 8 Pages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If This Statement is Filed Pursuant to Rule 13d-1(b), or 13d-2(b) or (c), Check Whether the Person Filing is a:</w:t>
      </w:r>
    </w:p>
    <w:p>
      <w:pPr>
        <w:spacing w:after="0" w:line="229" w:lineRule="exact"/>
        <w:rPr>
          <w:sz w:val="20"/>
          <w:szCs w:val="20"/>
          <w:color w:val="auto"/>
        </w:rPr>
      </w:pPr>
    </w:p>
    <w:p>
      <w:pPr>
        <w:ind w:left="1600" w:hanging="1196"/>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1600" w:hanging="1196"/>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1600" w:hanging="1196"/>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Exchange Act.</w:t>
      </w:r>
    </w:p>
    <w:p>
      <w:pPr>
        <w:spacing w:after="0" w:line="225" w:lineRule="exact"/>
        <w:rPr>
          <w:rFonts w:ascii="Arial" w:cs="Arial" w:eastAsia="Arial" w:hAnsi="Arial"/>
          <w:sz w:val="18"/>
          <w:szCs w:val="18"/>
          <w:color w:val="auto"/>
        </w:rPr>
      </w:pPr>
    </w:p>
    <w:p>
      <w:pPr>
        <w:ind w:left="1600" w:hanging="1196"/>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1600" w:hanging="1196"/>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An investment adviser in accordance with Rule 13d-1(b)(1)(ii)(E);</w:t>
      </w:r>
    </w:p>
    <w:p>
      <w:pPr>
        <w:spacing w:after="0" w:line="225" w:lineRule="exact"/>
        <w:rPr>
          <w:rFonts w:ascii="Arial" w:cs="Arial" w:eastAsia="Arial" w:hAnsi="Arial"/>
          <w:sz w:val="18"/>
          <w:szCs w:val="18"/>
          <w:color w:val="auto"/>
        </w:rPr>
      </w:pPr>
    </w:p>
    <w:p>
      <w:pPr>
        <w:ind w:left="1600" w:hanging="1196"/>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Rule 13d-1(b)(1)(ii)(F);</w:t>
      </w:r>
    </w:p>
    <w:p>
      <w:pPr>
        <w:spacing w:after="0" w:line="225" w:lineRule="exact"/>
        <w:rPr>
          <w:rFonts w:ascii="Arial" w:cs="Arial" w:eastAsia="Arial" w:hAnsi="Arial"/>
          <w:sz w:val="18"/>
          <w:szCs w:val="18"/>
          <w:color w:val="auto"/>
        </w:rPr>
      </w:pPr>
    </w:p>
    <w:p>
      <w:pPr>
        <w:ind w:left="1600" w:hanging="1196"/>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Rule 13d-1(b)(1)(ii)(G);</w:t>
      </w:r>
    </w:p>
    <w:p>
      <w:pPr>
        <w:spacing w:after="0" w:line="225" w:lineRule="exact"/>
        <w:rPr>
          <w:rFonts w:ascii="Arial" w:cs="Arial" w:eastAsia="Arial" w:hAnsi="Arial"/>
          <w:sz w:val="18"/>
          <w:szCs w:val="18"/>
          <w:color w:val="auto"/>
        </w:rPr>
      </w:pPr>
    </w:p>
    <w:p>
      <w:pPr>
        <w:ind w:left="1600" w:hanging="1196"/>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225" w:lineRule="exact"/>
        <w:rPr>
          <w:rFonts w:ascii="Arial" w:cs="Arial" w:eastAsia="Arial" w:hAnsi="Arial"/>
          <w:sz w:val="18"/>
          <w:szCs w:val="18"/>
          <w:color w:val="auto"/>
        </w:rPr>
      </w:pPr>
    </w:p>
    <w:p>
      <w:pPr>
        <w:ind w:left="2020" w:right="120" w:hanging="1616"/>
        <w:spacing w:after="0" w:line="277" w:lineRule="auto"/>
        <w:tabs>
          <w:tab w:leader="none" w:pos="15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600" w:hanging="1196"/>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A non-U.S. institution in accordance with Rule 13d-1(b)(1)(ii)(J);</w:t>
      </w:r>
    </w:p>
    <w:p>
      <w:pPr>
        <w:spacing w:after="0" w:line="225" w:lineRule="exact"/>
        <w:rPr>
          <w:rFonts w:ascii="Arial" w:cs="Arial" w:eastAsia="Arial" w:hAnsi="Arial"/>
          <w:sz w:val="18"/>
          <w:szCs w:val="18"/>
          <w:color w:val="auto"/>
        </w:rPr>
      </w:pPr>
    </w:p>
    <w:p>
      <w:pPr>
        <w:ind w:left="1600" w:hanging="1196"/>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660" w:right="5980"/>
        <w:spacing w:after="0" w:line="274" w:lineRule="auto"/>
        <w:rPr>
          <w:rFonts w:ascii="Arial" w:cs="Arial" w:eastAsia="Arial" w:hAnsi="Arial"/>
          <w:sz w:val="18"/>
          <w:szCs w:val="18"/>
          <w:color w:val="auto"/>
        </w:rPr>
      </w:pPr>
      <w:r>
        <w:rPr>
          <w:rFonts w:ascii="Arial" w:cs="Arial" w:eastAsia="Arial" w:hAnsi="Arial"/>
          <w:sz w:val="17"/>
          <w:szCs w:val="17"/>
          <w:color w:val="auto"/>
        </w:rPr>
        <w:t>Opaleye Management Inc. — 2,340,000 shares of common stock* Opaleye, L.P. — 2,340,000 shares of common stock*</w:t>
      </w:r>
    </w:p>
    <w:p>
      <w:pPr>
        <w:ind w:left="660"/>
        <w:spacing w:after="0"/>
        <w:rPr>
          <w:rFonts w:ascii="Arial" w:cs="Arial" w:eastAsia="Arial" w:hAnsi="Arial"/>
          <w:sz w:val="18"/>
          <w:szCs w:val="18"/>
          <w:color w:val="auto"/>
        </w:rPr>
      </w:pPr>
      <w:r>
        <w:rPr>
          <w:rFonts w:ascii="Arial" w:cs="Arial" w:eastAsia="Arial" w:hAnsi="Arial"/>
          <w:sz w:val="18"/>
          <w:szCs w:val="18"/>
          <w:color w:val="auto"/>
        </w:rPr>
        <w:t>James Silverman — 2,340,000 shares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Includes 80,000 common shares held by the Managed Account</w:t>
      </w:r>
    </w:p>
    <w:p>
      <w:pPr>
        <w:spacing w:after="0" w:line="22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60" w:right="794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9.30%** Opaleye, L.P. — 9.30%**</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James Silverman — 9.30%**</w:t>
      </w:r>
    </w:p>
    <w:p>
      <w:pPr>
        <w:spacing w:after="0" w:line="211" w:lineRule="exact"/>
        <w:rPr>
          <w:sz w:val="20"/>
          <w:szCs w:val="20"/>
          <w:color w:val="auto"/>
        </w:rPr>
      </w:pPr>
    </w:p>
    <w:p>
      <w:pPr>
        <w:jc w:val="both"/>
        <w:ind w:firstLine="8"/>
        <w:spacing w:after="0" w:line="264" w:lineRule="auto"/>
        <w:tabs>
          <w:tab w:leader="none" w:pos="1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upon 25,172,931 shares of common stock issued and outstanding as of November 12, 2019 reported by the Issuer on its Form 10-Q filed with the Securities and Exchange Commission on November 13, 2019. This calculation does not include the exercise or conversion of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spacing w:after="0"/>
        <w:tabs>
          <w:tab w:leader="none" w:pos="5460" w:val="left"/>
          <w:tab w:leader="none" w:pos="888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7 of 8 Pages</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300" w:right="736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Opaleye Management Inc. — 2,340,000 shares of common stock*</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Opaleye, L.P. — 2,340,000 shares of common stock*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James Silverman — 2,340,000 shares of common stock*</w:t>
      </w:r>
    </w:p>
    <w:p>
      <w:pPr>
        <w:spacing w:after="0" w:line="211"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80,000 common shares held by the Managed Account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1300" w:right="7360"/>
        <w:spacing w:after="0" w:line="258" w:lineRule="auto"/>
        <w:rPr>
          <w:rFonts w:ascii="Arial" w:cs="Arial" w:eastAsia="Arial" w:hAnsi="Arial"/>
          <w:sz w:val="18"/>
          <w:szCs w:val="18"/>
          <w:color w:val="auto"/>
        </w:rPr>
      </w:pPr>
      <w:r>
        <w:rPr>
          <w:rFonts w:ascii="Arial" w:cs="Arial" w:eastAsia="Arial" w:hAnsi="Arial"/>
          <w:sz w:val="18"/>
          <w:szCs w:val="18"/>
          <w:color w:val="auto"/>
        </w:rPr>
        <w:t>Opaleye Management Inc. — 0 shares Opaleye, L.P. — 0 shares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0 shares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300" w:right="5340"/>
        <w:spacing w:after="0" w:line="274" w:lineRule="auto"/>
        <w:rPr>
          <w:rFonts w:ascii="Arial" w:cs="Arial" w:eastAsia="Arial" w:hAnsi="Arial"/>
          <w:sz w:val="18"/>
          <w:szCs w:val="18"/>
          <w:color w:val="auto"/>
        </w:rPr>
      </w:pPr>
      <w:r>
        <w:rPr>
          <w:rFonts w:ascii="Arial" w:cs="Arial" w:eastAsia="Arial" w:hAnsi="Arial"/>
          <w:sz w:val="17"/>
          <w:szCs w:val="17"/>
          <w:color w:val="auto"/>
        </w:rPr>
        <w:t>Opaleye Management Inc. — 2,340,000 shares of common stock* Opaleye, L.P. — 2,340,000 shares of common stock*</w:t>
      </w:r>
    </w:p>
    <w:p>
      <w:pPr>
        <w:ind w:left="1300"/>
        <w:spacing w:after="0"/>
        <w:rPr>
          <w:rFonts w:ascii="Arial" w:cs="Arial" w:eastAsia="Arial" w:hAnsi="Arial"/>
          <w:sz w:val="18"/>
          <w:szCs w:val="18"/>
          <w:color w:val="auto"/>
        </w:rPr>
      </w:pPr>
      <w:r>
        <w:rPr>
          <w:rFonts w:ascii="Arial" w:cs="Arial" w:eastAsia="Arial" w:hAnsi="Arial"/>
          <w:sz w:val="18"/>
          <w:szCs w:val="18"/>
          <w:color w:val="auto"/>
        </w:rPr>
        <w:t>James Silverman — 2,340,000 shares of common stock*</w:t>
      </w:r>
    </w:p>
    <w:p>
      <w:pPr>
        <w:spacing w:after="0" w:line="210" w:lineRule="exact"/>
        <w:rPr>
          <w:rFonts w:ascii="Arial" w:cs="Arial" w:eastAsia="Arial" w:hAnsi="Arial"/>
          <w:sz w:val="18"/>
          <w:szCs w:val="18"/>
          <w:color w:val="auto"/>
        </w:rPr>
      </w:pPr>
    </w:p>
    <w:p>
      <w:pPr>
        <w:ind w:left="140" w:hanging="132"/>
        <w:spacing w:after="0"/>
        <w:tabs>
          <w:tab w:leader="none" w:pos="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80,000 common shares held by the Managed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tabs>
          <w:tab w:leader="none" w:pos="5460" w:val="left"/>
          <w:tab w:leader="none" w:pos="8880" w:val="left"/>
        </w:tabs>
        <w:rPr>
          <w:sz w:val="20"/>
          <w:szCs w:val="20"/>
          <w:color w:val="auto"/>
        </w:rPr>
      </w:pPr>
      <w:r>
        <w:rPr>
          <w:rFonts w:ascii="Arial" w:cs="Arial" w:eastAsia="Arial" w:hAnsi="Arial"/>
          <w:sz w:val="18"/>
          <w:szCs w:val="18"/>
          <w:color w:val="auto"/>
        </w:rPr>
        <w:t>CUSIP No. 29772L108</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8 of 8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740" w:type="dxa"/>
            <w:vAlign w:val="bottom"/>
          </w:tcPr>
          <w:p>
            <w:pPr>
              <w:spacing w:after="0"/>
              <w:rPr>
                <w:sz w:val="20"/>
                <w:szCs w:val="20"/>
                <w:color w:val="auto"/>
              </w:rPr>
            </w:pPr>
            <w:r>
              <w:rPr>
                <w:rFonts w:ascii="Arial" w:cs="Arial" w:eastAsia="Arial" w:hAnsi="Arial"/>
                <w:sz w:val="18"/>
                <w:szCs w:val="18"/>
                <w:color w:val="auto"/>
              </w:rPr>
              <w:t>Date: February 14, 2020</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30"/>
        </w:trPr>
        <w:tc>
          <w:tcPr>
            <w:tcW w:w="3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James Silverman</w:t>
            </w:r>
          </w:p>
        </w:tc>
      </w:tr>
      <w:tr>
        <w:trPr>
          <w:trHeight w:val="418"/>
        </w:trPr>
        <w:tc>
          <w:tcPr>
            <w:tcW w:w="3740" w:type="dxa"/>
            <w:vAlign w:val="bottom"/>
          </w:tcPr>
          <w:p>
            <w:pPr>
              <w:spacing w:after="0"/>
              <w:rPr>
                <w:sz w:val="24"/>
                <w:szCs w:val="24"/>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Opaleye, L.P.</w:t>
            </w:r>
          </w:p>
        </w:tc>
      </w:tr>
      <w:tr>
        <w:trPr>
          <w:trHeight w:val="453"/>
        </w:trPr>
        <w:tc>
          <w:tcPr>
            <w:tcW w:w="3740" w:type="dxa"/>
            <w:vAlign w:val="bottom"/>
          </w:tcPr>
          <w:p>
            <w:pPr>
              <w:spacing w:after="0"/>
              <w:rPr>
                <w:sz w:val="20"/>
                <w:szCs w:val="20"/>
                <w:color w:val="auto"/>
              </w:rPr>
            </w:pPr>
            <w:r>
              <w:rPr>
                <w:rFonts w:ascii="Arial" w:cs="Arial" w:eastAsia="Arial" w:hAnsi="Arial"/>
                <w:sz w:val="18"/>
                <w:szCs w:val="18"/>
                <w:color w:val="auto"/>
              </w:rPr>
              <w:t>Date: February 14, 2020</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740" w:type="dxa"/>
            <w:vAlign w:val="bottom"/>
          </w:tcPr>
          <w:p>
            <w:pPr>
              <w:spacing w:after="0"/>
              <w:rPr>
                <w:sz w:val="17"/>
                <w:szCs w:val="17"/>
                <w:color w:val="auto"/>
              </w:rPr>
            </w:pPr>
          </w:p>
        </w:tc>
        <w:tc>
          <w:tcPr>
            <w:tcW w:w="2540" w:type="dxa"/>
            <w:vAlign w:val="bottom"/>
          </w:tcPr>
          <w:p>
            <w:pPr>
              <w:ind w:left="198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16"/>
        </w:trPr>
        <w:tc>
          <w:tcPr>
            <w:tcW w:w="3740" w:type="dxa"/>
            <w:vAlign w:val="bottom"/>
          </w:tcPr>
          <w:p>
            <w:pPr>
              <w:spacing w:after="0"/>
              <w:rPr>
                <w:sz w:val="18"/>
                <w:szCs w:val="18"/>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Managing Member of Opaleye</w:t>
            </w:r>
          </w:p>
        </w:tc>
      </w:tr>
      <w:tr>
        <w:trPr>
          <w:trHeight w:val="216"/>
        </w:trPr>
        <w:tc>
          <w:tcPr>
            <w:tcW w:w="37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GP LLC, the General Partner of</w:t>
            </w:r>
          </w:p>
        </w:tc>
      </w:tr>
      <w:tr>
        <w:trPr>
          <w:trHeight w:val="230"/>
        </w:trPr>
        <w:tc>
          <w:tcPr>
            <w:tcW w:w="37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Opaleye, L.P.</w:t>
            </w:r>
          </w:p>
        </w:tc>
      </w:tr>
      <w:tr>
        <w:trPr>
          <w:trHeight w:val="432"/>
        </w:trPr>
        <w:tc>
          <w:tcPr>
            <w:tcW w:w="3740" w:type="dxa"/>
            <w:vAlign w:val="bottom"/>
          </w:tcPr>
          <w:p>
            <w:pPr>
              <w:spacing w:after="0"/>
              <w:rPr>
                <w:sz w:val="24"/>
                <w:szCs w:val="24"/>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Opaleye Management Inc.</w:t>
            </w:r>
          </w:p>
        </w:tc>
      </w:tr>
      <w:tr>
        <w:trPr>
          <w:trHeight w:val="453"/>
        </w:trPr>
        <w:tc>
          <w:tcPr>
            <w:tcW w:w="3740" w:type="dxa"/>
            <w:vAlign w:val="bottom"/>
          </w:tcPr>
          <w:p>
            <w:pPr>
              <w:spacing w:after="0"/>
              <w:rPr>
                <w:sz w:val="20"/>
                <w:szCs w:val="20"/>
                <w:color w:val="auto"/>
              </w:rPr>
            </w:pPr>
            <w:r>
              <w:rPr>
                <w:rFonts w:ascii="Arial" w:cs="Arial" w:eastAsia="Arial" w:hAnsi="Arial"/>
                <w:sz w:val="18"/>
                <w:szCs w:val="18"/>
                <w:color w:val="auto"/>
              </w:rPr>
              <w:t>Date: February 14, 2020</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James Silverman</w:t>
            </w:r>
          </w:p>
        </w:tc>
      </w:tr>
      <w:tr>
        <w:trPr>
          <w:trHeight w:val="202"/>
        </w:trPr>
        <w:tc>
          <w:tcPr>
            <w:tcW w:w="3740" w:type="dxa"/>
            <w:vAlign w:val="bottom"/>
          </w:tcPr>
          <w:p>
            <w:pPr>
              <w:spacing w:after="0"/>
              <w:rPr>
                <w:sz w:val="17"/>
                <w:szCs w:val="17"/>
                <w:color w:val="auto"/>
              </w:rPr>
            </w:pPr>
          </w:p>
        </w:tc>
        <w:tc>
          <w:tcPr>
            <w:tcW w:w="2540" w:type="dxa"/>
            <w:vAlign w:val="bottom"/>
          </w:tcPr>
          <w:p>
            <w:pPr>
              <w:ind w:left="198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James Silverman</w:t>
            </w:r>
          </w:p>
        </w:tc>
      </w:tr>
      <w:tr>
        <w:trPr>
          <w:trHeight w:val="230"/>
        </w:trPr>
        <w:tc>
          <w:tcPr>
            <w:tcW w:w="374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9"/>
        </w:trPr>
        <w:tc>
          <w:tcPr>
            <w:tcW w:w="37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Joint Filing Agreement, dated February 14, 2020, is entered into by and among Opaleye Management Inc., a Massachusetts corporation, Opaleye, L.P., a Delaware limited partnership and James Silverman, an individual (collectively referred to herein as (the “Filers”). Each of the Filers may be required to file with the U.S. Securities and Exchange Commission a statement on Schedule 13G with respect to shares of common stock, $0.001 par value per share, of Harrow Health, Inc. beneficially owned by them from time to time. 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2020</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James Silverman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Opaleye, L.P.</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 of</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Opaleye GP LLC, the General Partner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 Opaleye, L.P.</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Opaleye Management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James Silverman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4"/>
      <w:numFmt w:val="bullet"/>
      <w:start w:val="1"/>
    </w:lvl>
  </w:abstractNum>
  <w:abstractNum w:abstractNumId="4">
    <w:nsid w:val="DED7263"/>
    <w:multiLevelType w:val="hybridMultilevel"/>
    <w:lvl w:ilvl="0">
      <w:lvlJc w:val="left"/>
      <w:lvlText w:val="8"/>
      <w:numFmt w:val="bullet"/>
      <w:start w:val="1"/>
    </w:lvl>
  </w:abstractNum>
  <w:abstractNum w:abstractNumId="5">
    <w:nsid w:val="7FDCC233"/>
    <w:multiLevelType w:val="hybridMultilevel"/>
    <w:lvl w:ilvl="0">
      <w:lvlJc w:val="left"/>
      <w:lvlText w:val="9"/>
      <w:numFmt w:val="bullet"/>
      <w:start w:val="1"/>
    </w:lvl>
  </w:abstractNum>
  <w:abstractNum w:abstractNumId="6">
    <w:nsid w:val="1BEFD79F"/>
    <w:multiLevelType w:val="hybridMultilevel"/>
    <w:lvl w:ilvl="0">
      <w:lvlJc w:val="left"/>
      <w:lvlText w:val="*"/>
      <w:numFmt w:val="bullet"/>
      <w:start w:val="1"/>
    </w:lvl>
    <w:lvl w:ilvl="1">
      <w:lvlJc w:val="left"/>
      <w:lvlText w:val="%2"/>
      <w:numFmt w:val="decimal"/>
      <w:start w:val="10"/>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4"/>
      <w:numFmt w:val="bullet"/>
      <w:start w:val="1"/>
    </w:lvl>
  </w:abstractNum>
  <w:abstractNum w:abstractNumId="9">
    <w:nsid w:val="4E6AFB66"/>
    <w:multiLevelType w:val="hybridMultilevel"/>
    <w:lvl w:ilvl="0">
      <w:lvlJc w:val="left"/>
      <w:lvlText w:val="8"/>
      <w:numFmt w:val="bullet"/>
      <w:start w:val="1"/>
    </w:lvl>
  </w:abstractNum>
  <w:abstractNum w:abstractNumId="10">
    <w:nsid w:val="25E45D32"/>
    <w:multiLevelType w:val="hybridMultilevel"/>
    <w:lvl w:ilvl="0">
      <w:lvlJc w:val="left"/>
      <w:lvlText w:val="9"/>
      <w:numFmt w:val="bullet"/>
      <w:start w:val="1"/>
    </w:lvl>
  </w:abstractNum>
  <w:abstractNum w:abstractNumId="11">
    <w:nsid w:val="519B500D"/>
    <w:multiLevelType w:val="hybridMultilevel"/>
    <w:lvl w:ilvl="0">
      <w:lvlJc w:val="left"/>
      <w:lvlText w:val="*"/>
      <w:numFmt w:val="bullet"/>
      <w:start w:val="1"/>
    </w:lvl>
    <w:lvl w:ilvl="1">
      <w:lvlJc w:val="left"/>
      <w:lvlText w:val="%2"/>
      <w:numFmt w:val="decimal"/>
      <w:start w:val="10"/>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4"/>
      <w:numFmt w:val="bullet"/>
      <w:start w:val="1"/>
    </w:lvl>
  </w:abstractNum>
  <w:abstractNum w:abstractNumId="14">
    <w:nsid w:val="7C83E458"/>
    <w:multiLevelType w:val="hybridMultilevel"/>
    <w:lvl w:ilvl="0">
      <w:lvlJc w:val="left"/>
      <w:lvlText w:val="8"/>
      <w:numFmt w:val="bullet"/>
      <w:start w:val="1"/>
    </w:lvl>
  </w:abstractNum>
  <w:abstractNum w:abstractNumId="15">
    <w:nsid w:val="257130A3"/>
    <w:multiLevelType w:val="hybridMultilevel"/>
    <w:lvl w:ilvl="0">
      <w:lvlJc w:val="left"/>
      <w:lvlText w:val="9"/>
      <w:numFmt w:val="bullet"/>
      <w:start w:val="1"/>
    </w:lvl>
  </w:abstractNum>
  <w:abstractNum w:abstractNumId="16">
    <w:nsid w:val="62BBD95A"/>
    <w:multiLevelType w:val="hybridMultilevel"/>
    <w:lvl w:ilvl="0">
      <w:lvlJc w:val="left"/>
      <w:lvlText w:val="*"/>
      <w:numFmt w:val="bullet"/>
      <w:start w:val="1"/>
    </w:lvl>
    <w:lvl w:ilvl="1">
      <w:lvlJc w:val="left"/>
      <w:lvlText w:val="%2"/>
      <w:numFmt w:val="decimal"/>
      <w:start w:val="10"/>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2"/>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lowerLetter"/>
      <w:start w:val="3"/>
    </w:lvl>
    <w:lvl w:ilvl="1">
      <w:lvlJc w:val="left"/>
      <w:lvlText w:val="(%2)"/>
      <w:numFmt w:val="lowerRoman"/>
      <w:start w:val="1"/>
    </w:lvl>
  </w:abstractNum>
  <w:abstractNum w:abstractNumId="22">
    <w:nsid w:val="2D1D5AE9"/>
    <w:multiLevelType w:val="hybridMultilevel"/>
    <w:lvl w:ilvl="0">
      <w:lvlJc w:val="left"/>
      <w:lvlText w:val="*"/>
      <w:numFmt w:val="bullet"/>
      <w:start w:val="1"/>
    </w:lvl>
    <w:lvl w:ilvl="1">
      <w:lvlJc w:val="left"/>
      <w:lvlText w:val="(%2)"/>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2020-02-14T16:23:26Z</dcterms:created>
  <dcterms:modified xsi:type="dcterms:W3CDTF">2020-02-14T16:23:26Z</dcterms:modified>
</cp:coreProperties>
</file>