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24,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24, 2026, Harrow, Inc. (the “Company”) issued a press release announcing the pricing of its offering of $50.0 million aggregate principal amount of additional 8.625% Senior Notes due 2030 (the “New Notes”) in a private offering (the “Offering”) to persons reasonably believed to be “qualified institutional buyers” in the United States, as defined in Rule 144A under the Securities Act of 1933, as amended (the “Securities Act”), and to certain non-U.S. persons outside the United States in offshore transactions pursuant to Regulation S under the Securities Act. The New Notes will be issued as additional notes under the same indenture governing the $250,000,000 aggregate principal amount of 8.625% Senior Notes due 2030 that were issued by the Company on September 12, 2025 (the “Existing Notes”), will be treated as a single series with the Existing Notes and will have the same terms as the Existing Notes other than with respect to the date of issuance and the issue price.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 copy of the press release with respect to the pricing of the Offering is attached to this Current Report on Form 8-K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and is incorporated by reference herein.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a solicitation of an offer to buy or an offer to purchase or sell any securities. No offer, solicitation, purchase or sale will be made in any jurisdiction in which such offer, solicitation or sale would be unlawful. Any offer or solicitation will be made only by means of a confidential offering memorandum.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Harrow, Inc., dated as of March 24, 2026, announcing pricing of the Offering</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24,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156845</wp:posOffset>
            </wp:positionV>
            <wp:extent cx="1543050" cy="814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05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Harrow Announces Pricing of $50.0 Million Offering of Senior Unsecured Notes Due 2030</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NASHVILLE, Tenn., March 24, 2026 </w:t>
      </w:r>
      <w:r>
        <w:rPr>
          <w:rFonts w:ascii="Times New Roman" w:cs="Times New Roman" w:eastAsia="Times New Roman" w:hAnsi="Times New Roman"/>
          <w:sz w:val="18"/>
          <w:szCs w:val="18"/>
          <w:color w:val="auto"/>
        </w:rPr>
        <w:t>– Harrow (Nasdaq: HROW), a leading provider of ophthalmic disease management solutions in North America,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the pricing of its private offering (the “Offering”) of $50.0 million aggregate principal amount of 8.625% senior unsecured notes due 2030 (the “2030 Notes”). The 2030 Notes will be guaranteed on a senior unsecured basis by the Company’s existing and future wholly-owned domestic restricted subsidiaries and any of its other restricted subsidiaries that guarantees or co-issues any of its indebtedness or any indebtedness of any of its subsidiaries that guarantees the 2030 Notes, subject to certain exceptions. The Offering is expected to close on March 27, 2026, subject to customary closing conditions.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$50.0 million aggregate principal amount of 2030 Notes will be issued as additional notes under the same indenture governing the $250,000,000 aggregate principal amount of 2030 Notes that were issued on September 12, 2025 (the “Existing Notes”) and will be treated as a single series with the Existing Notes and will have the same terms as the Existing Notes, other than with respect to the date of issuance and the issue price. The 2030 Notes bear interest at a rate of 8.625% per annum and will mature on September 15, 2030. Interest on the 2030 Notes will be payable semi-annually in cash in arrears on March 15 and September 15 of each year. Interest on the 2030 Notes will be deemed to have accrued from March 15, 2026, which was the last interest payment date for the Existing Notes, and will be payable beginning on September 15, 2026. The $50.0 million aggregate principal amount of 2030 Notes will be issued at an offering price of 100.25% of the principal amount thereof plus accrued interest from March 15, 2026.</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Harrow intends to use the net proceeds from this incremental issuance for general corporate purposes, which may include initiatives to accelerate growth (e.g., new product launches), funding upcoming product development activities, future strategic business development opportunities, and related investments.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2030 Notes and the related guarantees have not been registered under the Securities Act of 1933, as amended (the “Securities Act”), any state securities laws or the securities laws of any other jurisdiction, and may not be offered or sold in the United States, or for the benefit of U.S. persons, except pursuant to an applicable exemption from, or in a transaction not subject to, the registration requirements of the Securities Act and applicable state securities or blue sky laws. Accordingly, the 2030 Notes and the related guarantees are being offered only to persons reasonably believed to be “qualified institutional buyers,” as that term is defined under Rule 144A of the Securities Act, or outside the United States to non-”U.S. persons” in accordance with Regulation S under the Securities Act.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confidential offering memorandum for the Offering, dated as of today, is being made available to such eligible persons. The Offering is being conducted in accordance with the terms and subject to the conditions set forth in such confidential offering memorandum.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a solicitation to buy or an offer to purchase or sell any securities. No offer, solicitation, purchase or sale will be made in any jurisdiction in which such offer, solicitation or sale would be unlawful. Any offer, or solicitation to buy, if at all, will be made only by means of a confidential offering memorandum.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HROW Announces Pricing of $50.0 Million Offering of Senior Unsecured Notes Due 2030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Harrow, Inc. (Nasdaq: HROW) is a leading provider of ophthalmic disease management solutions in North America, offering a comprehensive portfolio of products that address conditions affecting both the front and back of the eye, such as dry eye disease, wet (or neovascular) age-related macular degeneration, cataracts, refractive errors, glaucoma and a range of other ocular surface conditions and retina diseases. Harrow was founded with a commitment to deliver safe, effective, accessible, and affordable medications that enhance patient compliance and improve clinical outcomes.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including, without limitation, statements regarding the Offering and the expected use of proceeds of the Offering. These statements are based on currently available operating, financial, economic and other information, and are subject to a number of significant risks and uncertainties. A variety of factors, many of which are beyond our control, could cause actual future results to differ materially from those projected in the forward-looking statements. Specific factors that might cause such a difference include, but are not limited to: changes in market conditions, negotiation of final transaction documents, changes in operations, business, financial or other conditions relevant to the planned transactions, and other execution risks related to the completion of the transactions described herein, as well as other risks detailed in our most recent annual report on Form 10-K and other filings with the Securities and Exchange Commission. 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we may not be able to complete the potential transactions on terms expected or at all, and our actual results may differ significantly from those expected or implied by our forward-looking statements. These and other risks are detailed in our filings with the Securities and Exchange Commission. We do not undertake any obligation to publicly update or revise these forward-looking statements after the date of this press release to reflect future events or circumstances, except as required by applicable law. We qualify any and all of our forward-looking statements by these cautionary factors.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Biega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Investor Relations and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mbiega@harrowinc.com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617-913-8890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2026-03-24T16:02:43Z</dcterms:created>
  <dcterms:modified xsi:type="dcterms:W3CDTF">2026-03-24T16:02:43Z</dcterms:modified>
</cp:coreProperties>
</file>