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17,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001-35814</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29"/>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12264 El Camino Real, Suite 350</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San Diego, CA</w:t>
            </w:r>
          </w:p>
        </w:tc>
        <w:tc>
          <w:tcPr>
            <w:tcW w:w="236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19, 2017, Imprimis Pharmaceuticals, Inc. (the “Company”) entered into a term loan and security agreement in the principal amount of $16,000,000 (the “Loan Agreement” or “SWK Loan”) with SWK Funding LLC and its partners (the “Lender”), as lender and collateral agent. The Loan Agreement was fully funded at closing with a five year term, however, such term may be reduced to four years if certain revenue requirements are not achieved. Concurrently with the funding, the Company utilized a portion of the SWK Loan funds as full payment to an affiliate of Life Sciences Alternative Funding, LLC (“LSAF”) to terminate all amounts due to LSAF in connection with the existing term loan and security agreements, as amended, originally entered into between the Company and LSAF on May 11, 2015 (the “LSAF Loan”), which loan had a principal balance of $12,120,310 at the time of final payment. The Company intends to use the balance of proceeds from the SWK Loan after final payments to LSAF for working capital and general corporate purposes.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SWK Loan bears interest at a variable rate equal to the three-month London Inter-Bank Offered Rate (subject to a minimum of one and one-half percent (1.50%) and maximum of three percent (3.00%)), plus an applicable margin of ten and one-half percent (10.50%). The Loan Agreement permits the Company to pay interest only on the principal amount loaned thereunder for the first six payments (payments are due on a quarterly basis), which interest-only period may be reduced to four payments if the Company does not meet certain minimum revenue requirements. Following the interest-only period, the Company will be required to pay interest, plus repayments of the principal amount loaned under the Loan Agreement, in quarterly payments, which shall not exceed $750,000 per quarter. All amounts owed under the Loan Agreement, including a final fee equal to five percent (5%) of the aggregate principal amount loaned thereunder, will be due and payable on July 19, 2022, or if certain revenue requirements are not met, July 19, 2021. The Company may elect to prepay all, but not less than all, of the amounts owed under the Loan Agreement prior to the maturity date at any time after July 19, 2019. If certain revenue requirements are not met, the Company may be allowed to prepay the loan from July 19, 2018 to July 19, 2019, provided that a prepayment fee equal to six percent (6%) of the principal amount of the loan will also be due. The Company is also obligated under the Loan Agreement to pay for certain expenses incurred by the Lender through and after the date of the Loan Agreement, including certain fees and expenses relating to the preparation and administration of the Loan Agreement.</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the terms of the Loan Agreement, the Company is bound by certain affirmative covenants setting forth actions that the Company must take during the term of the Loan Agreement, including, among others, certain information delivery requirements, obligations to maintain certain insurance and certain notice requirements. Additionally, the Company is bound by certain negative covenants setting forth actions that the Company may not take during the term of the Loan Agreement without the Lender’s consent, including, among others, disposing of certain Company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Company (or its subsidiaries) assets, subject to certain permitted exceptions. Upon the occurrence of an event of default under the Loan Agreement (subject to cure periods for certain events of default), all amounts owed by the Company thereunder may be declared immediately due and payable by the Lender. Events of default include, among others, the following: the occurrence of certain bankruptcy events; the failure to make payments under the Loan Agreement when due;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any breach by the Company or its subsidiaries of any covenant (subject to cure periods for certain covenants) made in the Loan Agreement; and the failure of any representation or warranty made by the Company or its subsidiaries in connection with the Loan Agreement to be correct in any material respect when made.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obligations under the Loan Agreement are guaranteed on a secured basis by its wholly owned subsidiaries, ImprimisRx NJ, LLC, Imprimis NJOF, LLC and ImprimisRx CA, Inc. Each of the Company and its subsidiaries has granted the Lender a security interest in substantially all of its personal property, rights and assets, including intellectual property rights and equity ownership, to secure the payment of all amounts owed under the Loan Agreement.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issued a press release announcing the Loan Agreement on July 20, 2017, which is filed as Exhibit 99.1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Loan Agreement, does not purport to be a complete description of the rights and obligations of the parties thereunder and is qualified in its entirety by reference to the full text of the document, which is filed as Exhibits 10.1 to this Current Report on Form 8-K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Lender Warrant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Loan Agreement, the Company has issued to the Lender warrants to purchase up to 415,586 shares of the Company’s common stock (the “Lender Warrants”). The Lender Warrants are exercisable immediately, have an exercise price of $3.08 per share and maintain a term of 7 years. The Lender Warrants are subject to a cashless exercise feature, with the exercise price and number of shares issuable upon exercise subject to change in connection with stock splits, dividends, reclassifications and other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Concurrently with the funding, the Company utilized a portion of the SWK Loan funds as full payment to an affiliate of LSAF to terminate all amounts due to LSAF in connection with the existing LSAF Loan and related security agreements, as amended, originally entered into between the Company and LSAF on May 11, 2015, which loan had a principal balance of $12,120,310 at the time of final payment, along with a five percent (5%) exit fee and one percent (1%) prepayment fee and other related expenses. The description regarding the Loan Agreement and termination of the LSAF Loan are set forth under Item 1.01 of this Current Report on Form 8-K is incorporated into this Item 1.02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July 17, 2017, the Company completed the disposition of substantially all its assets associated with its sinus related business, including but not limited to, certain intellectual property rights, trademarks, copyrights, inventories, equipment, customer lists, databases, permits, licenses, and assignment of the Company’s lease obligation for its Pennsylvania based pharmacy (the “Assets”) pursuant to an Asset Purchase Agreement (the “Purchase Agreement), dated June 27, 2017, by and among the Company and its wholly owned subsidiaries ImprimisRx PA, Inc. and ImprimisRx CA, Inc. (collectively the “Sellers”) and Creative Pharmacy Solutions Central, LLC (the “Buyer”), for a total sales price of approximately $450,000.</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closing of the Purchase Agreement (the “Closing”), the Buyer paid to the Company an aggregate initial cash payment of $40,000. In addition, the Buyer is obligated to pay the remaining $410,000 in the form of a sellers note that will bear interest at 6% per annum (the “Sellers Note”). The Buyer will make forty-eight (48) monthly cash payments to the Company of $9,628.86 each over the four years following the Closing, totaling $462,185.28; provided however, that the Buyer will have the option to make a one-time payment of $365,000 any time prior to December 31, 2017, and the Company will waive any remaining amounts due of the Seller Note. The principal amount of the Seller Note may also be reduced by $125,000, if after a period of 60 days following the close, certain revenues associated with the Assets are less than 60% of the revenues associated with the Assets 60 days prior to the close of the transaction.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regarding the Loan Agreement set forth under Item 1.01 of this Current Report on Form 8-K is incorporated into this Item 2.03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description regarding the Lender Warrants set forth under Item 1.01 of this Current Report on Form 8-K is incorporated into this Item 3.02 by reference.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offer, sale and issuance of the Lender Warrants and the shares of the Company’s common stock to be issued upon the exercise thereof (collectively, the “Securities”) have not been registered under the Securities Act of 1933, as amended (the “Securities Act”). The Securities have been and will be sold and issued in reliance upon the exemption from registration afforded by Section 4(a)(2) of the Securities Act based on the following facts: the recipient of the Securities has represented that it is an accredited investor as defined in Rule 501 promulgated under the Securities Act, that it has acquired or will acquire the Securities for investment for its own account and not with a view to the public resale or distribution of the Securities, and that it has the investment experience to evaluate the risks of the investment; the Company used no advertising or general solicitation in connection with the issuance and sale of the Securities; and the Securities have been and will be issued as restricted securities. The Securities may not be offered or sold in the United States absent registration under or exemption from the Securities Act and any applicable state securities laws. This Current Report on Form 8-K is not an offer to sell or the solicitation of an offer to buy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260" w:type="dxa"/>
            <w:vAlign w:val="bottom"/>
          </w:tcPr>
          <w:p>
            <w:pPr>
              <w:spacing w:after="0"/>
              <w:rPr>
                <w:sz w:val="20"/>
                <w:szCs w:val="20"/>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Loan and Security Agreement, dated July 19, 2017, by and between Imprimis Pharmaceuticals, Inc. and SWK Funding LLC.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issued by Imprimis Pharmaceuticals, Inc. on July 20, 2017.</w:t>
            </w:r>
          </w:p>
        </w:tc>
      </w:tr>
      <w:tr>
        <w:trPr>
          <w:trHeight w:val="439"/>
        </w:trPr>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July 20,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688"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Loan and Security Agreement, dated July 19, 2017, by and between Imprimis Pharmaceuticals, Inc. and SWK Funding LLC.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issued by Imprimis Pharmaceuticals, Inc. on July 20, 2017.</w:t>
            </w:r>
          </w:p>
        </w:tc>
      </w:tr>
    </w:tbl>
    <w:p>
      <w:pPr>
        <w:sectPr>
          <w:pgSz w:w="11900" w:h="16838" w:orient="portrait"/>
          <w:cols w:equalWidth="0" w:num="1">
            <w:col w:w="11420"/>
          </w:cols>
          <w:pgMar w:left="240" w:top="688"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THIS LOAN AND SECURITY AGREEMENT </w:t>
      </w:r>
      <w:r>
        <w:rPr>
          <w:rFonts w:ascii="Arial" w:cs="Arial" w:eastAsia="Arial" w:hAnsi="Arial"/>
          <w:sz w:val="16"/>
          <w:szCs w:val="16"/>
          <w:color w:val="auto"/>
        </w:rPr>
        <w:t>(as the same may be amended, restated, modified, or supplemented from time to time, this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dated as of July 19, 2017 (the “</w:t>
      </w:r>
      <w:r>
        <w:rPr>
          <w:rFonts w:ascii="Arial" w:cs="Arial" w:eastAsia="Arial" w:hAnsi="Arial"/>
          <w:sz w:val="16"/>
          <w:szCs w:val="16"/>
          <w:b w:val="1"/>
          <w:bCs w:val="1"/>
          <w:color w:val="auto"/>
        </w:rPr>
        <w:t>Effective Date</w:t>
      </w:r>
      <w:r>
        <w:rPr>
          <w:rFonts w:ascii="Arial" w:cs="Arial" w:eastAsia="Arial" w:hAnsi="Arial"/>
          <w:sz w:val="16"/>
          <w:szCs w:val="16"/>
          <w:color w:val="auto"/>
        </w:rPr>
        <w:t>”) among SWK Funding LLC as collateral agent (in such capacity, together with its successors and assigns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and the Lenders listed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hereof or otherwise a party hereto from time to time including HI Imprimis, LLC, SR-Imprimis, LLC and SWK Funding LLC in its capacity as a Lender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and </w:t>
      </w:r>
      <w:r>
        <w:rPr>
          <w:rFonts w:ascii="Arial" w:cs="Arial" w:eastAsia="Arial" w:hAnsi="Arial"/>
          <w:sz w:val="16"/>
          <w:szCs w:val="16"/>
          <w:b w:val="1"/>
          <w:bCs w:val="1"/>
          <w:color w:val="auto"/>
        </w:rPr>
        <w:t>IMPRIMIS</w:t>
      </w:r>
      <w:r>
        <w:rPr>
          <w:rFonts w:ascii="Arial" w:cs="Arial" w:eastAsia="Arial" w:hAnsi="Arial"/>
          <w:sz w:val="16"/>
          <w:szCs w:val="16"/>
          <w:color w:val="auto"/>
        </w:rPr>
        <w:t xml:space="preserve"> </w:t>
      </w:r>
      <w:r>
        <w:rPr>
          <w:rFonts w:ascii="Arial" w:cs="Arial" w:eastAsia="Arial" w:hAnsi="Arial"/>
          <w:sz w:val="16"/>
          <w:szCs w:val="16"/>
          <w:b w:val="1"/>
          <w:bCs w:val="1"/>
          <w:color w:val="auto"/>
        </w:rPr>
        <w:t>PHARMACEUTICALS,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Imprimis</w:t>
      </w:r>
      <w:r>
        <w:rPr>
          <w:rFonts w:ascii="Arial" w:cs="Arial" w:eastAsia="Arial" w:hAnsi="Arial"/>
          <w:sz w:val="16"/>
          <w:szCs w:val="16"/>
          <w:color w:val="auto"/>
        </w:rPr>
        <w:t>”),</w:t>
      </w:r>
      <w:r>
        <w:rPr>
          <w:rFonts w:ascii="Arial" w:cs="Arial" w:eastAsia="Arial" w:hAnsi="Arial"/>
          <w:sz w:val="16"/>
          <w:szCs w:val="16"/>
          <w:b w:val="1"/>
          <w:bCs w:val="1"/>
          <w:color w:val="auto"/>
        </w:rPr>
        <w:t xml:space="preserve"> IMPRIMIS NJOF, LLC</w:t>
      </w:r>
      <w:r>
        <w:rPr>
          <w:rFonts w:ascii="Arial" w:cs="Arial" w:eastAsia="Arial" w:hAnsi="Arial"/>
          <w:sz w:val="16"/>
          <w:szCs w:val="16"/>
          <w:color w:val="auto"/>
        </w:rPr>
        <w:t>, a New Jersey limited liability company (“</w:t>
      </w:r>
      <w:r>
        <w:rPr>
          <w:rFonts w:ascii="Arial" w:cs="Arial" w:eastAsia="Arial" w:hAnsi="Arial"/>
          <w:sz w:val="16"/>
          <w:szCs w:val="16"/>
          <w:b w:val="1"/>
          <w:bCs w:val="1"/>
          <w:color w:val="auto"/>
        </w:rPr>
        <w:t>NJOF</w:t>
      </w:r>
      <w:r>
        <w:rPr>
          <w:rFonts w:ascii="Arial" w:cs="Arial" w:eastAsia="Arial" w:hAnsi="Arial"/>
          <w:sz w:val="16"/>
          <w:szCs w:val="16"/>
          <w:color w:val="auto"/>
        </w:rPr>
        <w:t>”),</w:t>
      </w:r>
      <w:r>
        <w:rPr>
          <w:rFonts w:ascii="Arial" w:cs="Arial" w:eastAsia="Arial" w:hAnsi="Arial"/>
          <w:sz w:val="16"/>
          <w:szCs w:val="16"/>
          <w:b w:val="1"/>
          <w:bCs w:val="1"/>
          <w:color w:val="auto"/>
        </w:rPr>
        <w:t xml:space="preserve"> IMPRIMISRX CA, INC. </w:t>
      </w:r>
      <w:r>
        <w:rPr>
          <w:rFonts w:ascii="Arial" w:cs="Arial" w:eastAsia="Arial" w:hAnsi="Arial"/>
          <w:sz w:val="16"/>
          <w:szCs w:val="16"/>
          <w:color w:val="auto"/>
        </w:rPr>
        <w:t>(f/k/a South Coast Specialty Compounding, Inc.), a California corporation (“</w:t>
      </w:r>
      <w:r>
        <w:rPr>
          <w:rFonts w:ascii="Arial" w:cs="Arial" w:eastAsia="Arial" w:hAnsi="Arial"/>
          <w:sz w:val="16"/>
          <w:szCs w:val="16"/>
          <w:b w:val="1"/>
          <w:bCs w:val="1"/>
          <w:color w:val="auto"/>
        </w:rPr>
        <w:t>CA</w:t>
      </w:r>
      <w:r>
        <w:rPr>
          <w:rFonts w:ascii="Arial" w:cs="Arial" w:eastAsia="Arial" w:hAnsi="Arial"/>
          <w:sz w:val="16"/>
          <w:szCs w:val="16"/>
          <w:color w:val="auto"/>
        </w:rPr>
        <w:t>”), and</w:t>
      </w:r>
      <w:r>
        <w:rPr>
          <w:rFonts w:ascii="Arial" w:cs="Arial" w:eastAsia="Arial" w:hAnsi="Arial"/>
          <w:sz w:val="16"/>
          <w:szCs w:val="16"/>
          <w:b w:val="1"/>
          <w:bCs w:val="1"/>
          <w:color w:val="auto"/>
        </w:rPr>
        <w:t xml:space="preserve"> IMPRIMISRX NJ, LLC </w:t>
      </w:r>
      <w:r>
        <w:rPr>
          <w:rFonts w:ascii="Arial" w:cs="Arial" w:eastAsia="Arial" w:hAnsi="Arial"/>
          <w:sz w:val="16"/>
          <w:szCs w:val="16"/>
          <w:color w:val="auto"/>
        </w:rPr>
        <w:t>(f/k/a Pharmacy</w:t>
      </w:r>
      <w:r>
        <w:rPr>
          <w:rFonts w:ascii="Arial" w:cs="Arial" w:eastAsia="Arial" w:hAnsi="Arial"/>
          <w:sz w:val="16"/>
          <w:szCs w:val="16"/>
          <w:b w:val="1"/>
          <w:bCs w:val="1"/>
          <w:color w:val="auto"/>
        </w:rPr>
        <w:t xml:space="preserve"> </w:t>
      </w:r>
      <w:r>
        <w:rPr>
          <w:rFonts w:ascii="Arial" w:cs="Arial" w:eastAsia="Arial" w:hAnsi="Arial"/>
          <w:sz w:val="16"/>
          <w:szCs w:val="16"/>
          <w:color w:val="auto"/>
        </w:rPr>
        <w:t>Creations, LLC.), a New Jersey limited liability company (“</w:t>
      </w:r>
      <w:r>
        <w:rPr>
          <w:rFonts w:ascii="Arial" w:cs="Arial" w:eastAsia="Arial" w:hAnsi="Arial"/>
          <w:sz w:val="16"/>
          <w:szCs w:val="16"/>
          <w:b w:val="1"/>
          <w:bCs w:val="1"/>
          <w:color w:val="auto"/>
        </w:rPr>
        <w:t>NJ</w:t>
      </w:r>
      <w:r>
        <w:rPr>
          <w:rFonts w:ascii="Arial" w:cs="Arial" w:eastAsia="Arial" w:hAnsi="Arial"/>
          <w:sz w:val="16"/>
          <w:szCs w:val="16"/>
          <w:color w:val="auto"/>
        </w:rPr>
        <w:t>” and together with Imprimis, NJOF and CA, individually and collectively, jointly and severally, “</w:t>
      </w:r>
      <w:r>
        <w:rPr>
          <w:rFonts w:ascii="Arial" w:cs="Arial" w:eastAsia="Arial" w:hAnsi="Arial"/>
          <w:sz w:val="16"/>
          <w:szCs w:val="16"/>
          <w:b w:val="1"/>
          <w:bCs w:val="1"/>
          <w:color w:val="auto"/>
        </w:rPr>
        <w:t>Borrower</w:t>
      </w:r>
      <w:r>
        <w:rPr>
          <w:rFonts w:ascii="Arial" w:cs="Arial" w:eastAsia="Arial" w:hAnsi="Arial"/>
          <w:sz w:val="16"/>
          <w:szCs w:val="16"/>
          <w:color w:val="auto"/>
        </w:rPr>
        <w:t>”), provides the terms on which the Lenders shall lend to Borrower and Borrower shall repay the Lenders. The parties agree as follows:</w:t>
      </w:r>
    </w:p>
    <w:p>
      <w:pPr>
        <w:spacing w:after="0" w:line="160"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AND OTHER TERMS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 Terms. </w:t>
      </w:r>
      <w:r>
        <w:rPr>
          <w:rFonts w:ascii="Arial" w:cs="Arial" w:eastAsia="Arial" w:hAnsi="Arial"/>
          <w:sz w:val="18"/>
          <w:szCs w:val="18"/>
          <w:color w:val="auto"/>
        </w:rPr>
        <w:t>Capitalized terms used herein shall have the meanings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defined therein. All other capitalized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used 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1.2 Section References. </w:t>
      </w:r>
      <w:r>
        <w:rPr>
          <w:rFonts w:ascii="Arial" w:cs="Arial" w:eastAsia="Arial" w:hAnsi="Arial"/>
          <w:sz w:val="18"/>
          <w:szCs w:val="18"/>
          <w:color w:val="auto"/>
        </w:rPr>
        <w:t>Any section, subsection, schedule or exhibit references are to this Agreement unless otherwise specified.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1.3 Definitions. </w:t>
      </w:r>
      <w:r>
        <w:rPr>
          <w:rFonts w:ascii="Arial" w:cs="Arial" w:eastAsia="Arial" w:hAnsi="Arial"/>
          <w:sz w:val="18"/>
          <w:szCs w:val="18"/>
          <w:color w:val="auto"/>
        </w:rPr>
        <w:t>The following terms are defined in the Sections or subsections referenced opposite such terms: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ind w:left="1300"/>
              <w:spacing w:after="0"/>
              <w:rPr>
                <w:sz w:val="20"/>
                <w:szCs w:val="20"/>
                <w:color w:val="auto"/>
              </w:rPr>
            </w:pPr>
            <w:r>
              <w:rPr>
                <w:rFonts w:ascii="Arial" w:cs="Arial" w:eastAsia="Arial" w:hAnsi="Arial"/>
                <w:sz w:val="18"/>
                <w:szCs w:val="18"/>
                <w:b w:val="1"/>
                <w:bCs w:val="1"/>
                <w:color w:val="auto"/>
              </w:rPr>
              <w:t>“Aggregate Revenue”</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2.6(a)</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Preamble</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b w:val="1"/>
                <w:bCs w:val="1"/>
                <w:color w:val="auto"/>
              </w:rPr>
              <w:t>“Amortization Cap”</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2.2(b)(ii)</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Preamble</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12.2</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Preamble</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 Report”</w:t>
            </w:r>
          </w:p>
        </w:tc>
        <w:tc>
          <w:tcPr>
            <w:tcW w:w="5900" w:type="dxa"/>
            <w:vAlign w:val="bottom"/>
          </w:tcPr>
          <w:p>
            <w:pPr>
              <w:ind w:left="340"/>
              <w:spacing w:after="0"/>
              <w:rPr>
                <w:sz w:val="20"/>
                <w:szCs w:val="20"/>
                <w:color w:val="auto"/>
              </w:rPr>
            </w:pPr>
            <w:r>
              <w:rPr>
                <w:rFonts w:ascii="Arial" w:cs="Arial" w:eastAsia="Arial" w:hAnsi="Arial"/>
                <w:sz w:val="18"/>
                <w:szCs w:val="18"/>
                <w:color w:val="auto"/>
              </w:rPr>
              <w:t>Exhibit B, Section 5</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10</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2.3(b)</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Preamble</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Eton Agreement</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Definition of “Eton License/Disposition”</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8</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12.2</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and “</w:t>
            </w:r>
            <w:r>
              <w:rPr>
                <w:rFonts w:ascii="Arial" w:cs="Arial" w:eastAsia="Arial" w:hAnsi="Arial"/>
                <w:sz w:val="18"/>
                <w:szCs w:val="18"/>
                <w:b w:val="1"/>
                <w:bCs w:val="1"/>
                <w:color w:val="auto"/>
              </w:rPr>
              <w:t>Lenders</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Preamble</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Transfer</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12.1</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Subsidiary</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6.10</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Non-Funding Lender</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Exhibit B, Section 10(c)(ii)</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Lender</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Exhibit B, Section 10(c)(ii)</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Perfection Certificate</w:t>
            </w:r>
            <w:r>
              <w:rPr>
                <w:rFonts w:ascii="Arial" w:cs="Arial" w:eastAsia="Arial" w:hAnsi="Arial"/>
                <w:sz w:val="18"/>
                <w:szCs w:val="18"/>
                <w:color w:val="auto"/>
                <w:w w:val="96"/>
              </w:rPr>
              <w:t>” and “</w:t>
            </w:r>
            <w:r>
              <w:rPr>
                <w:rFonts w:ascii="Arial" w:cs="Arial" w:eastAsia="Arial" w:hAnsi="Arial"/>
                <w:sz w:val="18"/>
                <w:szCs w:val="18"/>
                <w:b w:val="1"/>
                <w:bCs w:val="1"/>
                <w:color w:val="auto"/>
                <w:w w:val="96"/>
              </w:rPr>
              <w:t>Perfection Certificates</w:t>
            </w:r>
            <w:r>
              <w:rPr>
                <w:rFonts w:ascii="Arial" w:cs="Arial" w:eastAsia="Arial" w:hAnsi="Arial"/>
                <w:sz w:val="18"/>
                <w:szCs w:val="18"/>
                <w:color w:val="auto"/>
                <w:w w:val="96"/>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5.1</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b w:val="1"/>
                <w:bCs w:val="1"/>
                <w:color w:val="auto"/>
              </w:rPr>
              <w:t>“Revenue-Based Payment”</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2.6(a)</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2.2(a)</w:t>
            </w:r>
          </w:p>
        </w:tc>
      </w:tr>
      <w:tr>
        <w:trPr>
          <w:trHeight w:val="216"/>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Exhibit B, Section 8</w:t>
            </w:r>
          </w:p>
        </w:tc>
      </w:tr>
      <w:tr>
        <w:trPr>
          <w:trHeight w:val="234"/>
        </w:trPr>
        <w:tc>
          <w:tcPr>
            <w:tcW w:w="552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w:t>
            </w:r>
          </w:p>
        </w:tc>
        <w:tc>
          <w:tcPr>
            <w:tcW w:w="5900" w:type="dxa"/>
            <w:vAlign w:val="bottom"/>
          </w:tcPr>
          <w:p>
            <w:pPr>
              <w:ind w:left="340"/>
              <w:spacing w:after="0"/>
              <w:rPr>
                <w:sz w:val="20"/>
                <w:szCs w:val="20"/>
                <w:color w:val="auto"/>
              </w:rPr>
            </w:pPr>
            <w:r>
              <w:rPr>
                <w:rFonts w:ascii="Arial" w:cs="Arial" w:eastAsia="Arial" w:hAnsi="Arial"/>
                <w:sz w:val="18"/>
                <w:szCs w:val="18"/>
                <w:color w:val="auto"/>
              </w:rPr>
              <w:t>Section 7.1</w:t>
            </w:r>
          </w:p>
        </w:tc>
      </w:tr>
      <w:tr>
        <w:trPr>
          <w:trHeight w:val="439"/>
        </w:trPr>
        <w:tc>
          <w:tcPr>
            <w:tcW w:w="55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341"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In addition to the terms defined elsewhere in this Agreement, the following terms have the following meanings: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is any “account debtor” as defined in the Code with such additions to such term as may hereafter be made under the Code.</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July 15, 2018; provided that if the Interest Only Extension Conditions are satisfied, then February 14, 2019.</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Anti-Terrorism Laws</w:t>
      </w:r>
      <w:r>
        <w:rPr>
          <w:rFonts w:ascii="Arial" w:cs="Arial" w:eastAsia="Arial" w:hAnsi="Arial"/>
          <w:sz w:val="16"/>
          <w:szCs w:val="16"/>
          <w:color w:val="auto"/>
        </w:rPr>
        <w:t>” are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Account</w:t>
      </w:r>
      <w:r>
        <w:rPr>
          <w:rFonts w:ascii="Arial" w:cs="Arial" w:eastAsia="Arial" w:hAnsi="Arial"/>
          <w:sz w:val="16"/>
          <w:szCs w:val="16"/>
          <w:color w:val="auto"/>
        </w:rPr>
        <w:t>” is any “commodity account” as defined in the Code with such additions to such term as may hereafter be made under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substantially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or any of its Subsidiaries maintains a Deposit Account (other than an Excluded Account) or the securities intermediary or commodity intermediary at which Borrower or any of its Subsidiaries maintains a Securities Account or a Commodity Account (other than an Excluded Account), Borrower and such Subsidiary, and Collateral Agent pursuant to which Collateral Agent, for the benefit of the Lenders, obtains “control” (within the meaning of the Code) over such Deposit Account, Securities Account, or Commodity Account.</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Equity Interests</w:t>
      </w:r>
      <w:r>
        <w:rPr>
          <w:rFonts w:ascii="Arial" w:cs="Arial" w:eastAsia="Arial" w:hAnsi="Arial"/>
          <w:sz w:val="18"/>
          <w:szCs w:val="18"/>
          <w:color w:val="auto"/>
        </w:rPr>
        <w:t>” means any Equity Interests requiring any Borrower or its Subsidiaries to, directly or indirectly, pay any dividends or distributions on, or purchase, redeem or retire, such Equity Interests, in each case, prior to the Maturity Date, or make any payment on account of or set apart assets for a sinking or other analogous fund for, the purchase, redemption, defeasance, retirement or other acquisition of such Equity Interests, or make any other distribution in respect thereof, either directly or indirectly, whether in cash or property or in obligations of any Borrower or any of its Subsidiaries, in each case, prior to the Maturity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means the U.S. Department of Justice or any successor thereto or any other comparable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shall mean (a) Net Income, plus (b) Interest Expense, plus (c) to the extent deducted in the calculation of Net Income, depreciation expense, amortization expense and expenses paid in Equity Interests, plus (d) income tax expense.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with respect to any Person, its equity ownership interests, its common stock and any other capital stock or other equity ownership units of such Person authorized from time to time, and any Marketable Security or other shares, options, interests, participations or other equivalents (however designated) of or in such Person, whether voting or nonvoting, including, without limitation, common stock, options, warrants, preferred stock, phantom stock, membership units (common or preferred), stock appreciation rights, membership unit appreciation rights, convertible notes or debentures, stock purchase rights, membership unit purchase rights and all securities convertible, exercisable or exchangeable, in whole or in part, into any one or more of the foregoing.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w:t>
      </w:r>
      <w:r>
        <w:rPr>
          <w:rFonts w:ascii="Arial" w:cs="Arial" w:eastAsia="Arial" w:hAnsi="Arial"/>
          <w:sz w:val="18"/>
          <w:szCs w:val="18"/>
          <w:color w:val="auto"/>
        </w:rPr>
        <w:t>” means accounts of Borrower or any of its Subsidiaries used exclusively for payroll, payroll taxes and other employee wage and benefit payments, as identified to Collateral Agent by Borrower as such in the Perfection Certificate or otherwise by written notice from time to time, collectively not to exceed at any time an amount equal to Borrower’s payroll for the then-next two payroll cycles.</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Exigent Circumstance</w:t>
      </w:r>
      <w:r>
        <w:rPr>
          <w:rFonts w:ascii="Arial" w:cs="Arial" w:eastAsia="Arial" w:hAnsi="Arial"/>
          <w:sz w:val="16"/>
          <w:szCs w:val="16"/>
          <w:color w:val="auto"/>
        </w:rPr>
        <w:t>” means any event or circumstance that, in the reasonable judgment of Collateral Agent, imminently threatens the ability of Collateral Agent to realize upon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Eton License/Disposition</w:t>
      </w:r>
      <w:r>
        <w:rPr>
          <w:rFonts w:ascii="Arial" w:cs="Arial" w:eastAsia="Arial" w:hAnsi="Arial"/>
          <w:sz w:val="18"/>
          <w:szCs w:val="18"/>
          <w:color w:val="auto"/>
        </w:rPr>
        <w:t>” means the sale and license by Imprimis to Eton Pharmaceuticals, Inc. (“</w:t>
      </w:r>
      <w:r>
        <w:rPr>
          <w:rFonts w:ascii="Arial" w:cs="Arial" w:eastAsia="Arial" w:hAnsi="Arial"/>
          <w:sz w:val="18"/>
          <w:szCs w:val="18"/>
          <w:b w:val="1"/>
          <w:bCs w:val="1"/>
          <w:color w:val="auto"/>
        </w:rPr>
        <w:t>Eton</w:t>
      </w:r>
      <w:r>
        <w:rPr>
          <w:rFonts w:ascii="Arial" w:cs="Arial" w:eastAsia="Arial" w:hAnsi="Arial"/>
          <w:sz w:val="18"/>
          <w:szCs w:val="18"/>
          <w:color w:val="auto"/>
        </w:rPr>
        <w:t>”) of (i) Injectable Pentoxifylline and (ii) Synthetic Corticotropin, in each case, as set forth in and subject to the terms of those two certain Asset Purchase and License Agreements between Imprimis and Eton dated as of May 9, 2017 (each, an “</w:t>
      </w:r>
      <w:r>
        <w:rPr>
          <w:rFonts w:ascii="Arial" w:cs="Arial" w:eastAsia="Arial" w:hAnsi="Arial"/>
          <w:sz w:val="18"/>
          <w:szCs w:val="18"/>
          <w:b w:val="1"/>
          <w:bCs w:val="1"/>
          <w:color w:val="auto"/>
        </w:rPr>
        <w:t>Eton Agreement</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 Fee</w:t>
      </w:r>
      <w:r>
        <w:rPr>
          <w:rFonts w:ascii="Arial" w:cs="Arial" w:eastAsia="Arial" w:hAnsi="Arial"/>
          <w:sz w:val="17"/>
          <w:szCs w:val="17"/>
          <w:color w:val="auto"/>
        </w:rPr>
        <w:t>” is a fee due on the Effective Date equal to $160,000 payable to Lenders in accordance with their respective Pro Rata Shares.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thereto or any other comparable Governmental Authority.</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Fee</w:t>
      </w:r>
      <w:r>
        <w:rPr>
          <w:rFonts w:ascii="Arial" w:cs="Arial" w:eastAsia="Arial" w:hAnsi="Arial"/>
          <w:sz w:val="16"/>
          <w:szCs w:val="16"/>
          <w:color w:val="auto"/>
        </w:rPr>
        <w:t>” is a payment (in addition to and not a substitution for the regular monthly payments of principal plus accrued interest or any other fee payable hereunder) due on the earliest to occur of (a) the Maturity Date, or (b) the acceleration of any Term Loan, or (c) the prepayment of a Term Loan in whole pursuant to Section 2.2(c) or (d), in each case equal to $800,000, payable to Lenders in accordance with their respective Pro Rata Shares.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state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Term Loan is made to or on account of Borrower, which shall be a Business Day.</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accounting principles generally accepted in the United States of America as set forth in the opinions and pronouncements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 consistently applied.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(including, without limitation, the FDA and any state board of pharmacy or state pharmacy licensing authority), court, central bank or other entity exercising executive, legislative, judicial, taxing, regulatory or administrative functions of or pertaining to government, any securities exchange and any self-regulatory organization.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 for the benefit of the Lenders.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of its Subsidiaries’ right, title and interest in and to the following:</w:t>
      </w:r>
    </w:p>
    <w:p>
      <w:pPr>
        <w:spacing w:after="0" w:line="229" w:lineRule="exact"/>
        <w:rPr>
          <w:sz w:val="20"/>
          <w:szCs w:val="20"/>
          <w:color w:val="auto"/>
        </w:rPr>
      </w:pPr>
    </w:p>
    <w:p>
      <w:pPr>
        <w:ind w:left="1540" w:hanging="235"/>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211" w:lineRule="exact"/>
        <w:rPr>
          <w:sz w:val="20"/>
          <w:szCs w:val="20"/>
          <w:color w:val="auto"/>
        </w:rPr>
      </w:pPr>
    </w:p>
    <w:p>
      <w:pPr>
        <w:ind w:left="1540" w:hanging="235"/>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firstLine="1305"/>
        <w:spacing w:after="0" w:line="277" w:lineRule="auto"/>
        <w:tabs>
          <w:tab w:leader="none" w:pos="156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 and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licenses, sublicenses or other contracts under which Borrower or any Subsidiary is granted rights by third parties in any Intellectual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 asset.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Expense</w:t>
      </w:r>
      <w:r>
        <w:rPr>
          <w:rFonts w:ascii="Arial" w:cs="Arial" w:eastAsia="Arial" w:hAnsi="Arial"/>
          <w:sz w:val="16"/>
          <w:szCs w:val="16"/>
          <w:color w:val="auto"/>
        </w:rPr>
        <w:t>” shall mean, for any period, interest expense of Borrower for such period, as determined in accordance with GAAP consistently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applied.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Only Extension Conditions</w:t>
      </w:r>
      <w:r>
        <w:rPr>
          <w:rFonts w:ascii="Arial" w:cs="Arial" w:eastAsia="Arial" w:hAnsi="Arial"/>
          <w:sz w:val="18"/>
          <w:szCs w:val="18"/>
          <w:color w:val="auto"/>
        </w:rPr>
        <w:t>” shall mean satisfaction of each of the following events: (a) no default or Event of Default shall have occurred; and (b) achievement of the Revenue Threshold on or before the Threshold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Security Agreement</w:t>
      </w:r>
      <w:r>
        <w:rPr>
          <w:rFonts w:ascii="Arial" w:cs="Arial" w:eastAsia="Arial" w:hAnsi="Arial"/>
          <w:sz w:val="18"/>
          <w:szCs w:val="18"/>
          <w:color w:val="auto"/>
        </w:rPr>
        <w:t>” is that certain Intellectual Property Security Agreement executed and delivered by Borrower to Collateral Agent and dated as of the Effective Date, as may be amended, restated, or otherwise modified or supplemented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Borrower’s (a) Chief Executive Officer, who is Mark L. Baum as of the Effective Date, (b) Chief Financial Officer, who is Andrew Boll as of the Effective Date, (c) Chief Commercial Officer, who is John Saharek as of the Effective Date, (d) Chief Operating Officer, who is Clayton D. Edwards as of the Effective Date, (e) Vice President of Quality, who is Pramod Sharma as of the Effective Date (f) Vice President of Manufacturing, who is Sanjay Samudre as of the Effective Date.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to the “best of” Borrower’s knowledge, or with a similar qualification, knowledge or awareness means the actual knowledge, after reasonable investigation, of the Responsible Officers.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permitted assignee that becomes a party to this Agreement pursuant to 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12.1.</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reasonable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xml:space="preserve"> means a fluctuating rate per annum (but not to exceed 3.00%) equal to the rate which appears on the Bloomberg Page BBAM1 (or on such other substitute Bloomberg page that displays rates at which U.S. Dollar deposits are offered by leading banks in the London interbank deposit market), as the offered rate for loans in Dollars for a three (3) month period, rounded upwards to the nearest 1/8 of 1%. The rate is set by the ICE Benchmark Administration as of 11:00 a.m. (London time) as determined two (2) Business Days prior to each Payment Date, and effective on the Payment Date immediately following such determination date. If Bloomberg Professional Service (or another nationally-recognized rate reporting source acceptable to Collateral Agent) no longer reports the LIBOR Rate or Collateral Agent determines in good faith that the rate so reported no longer accurately reflects the rate available to Collateral Agent in the London Interbank Market or if such index no longer exists or if page USD-LIBOR-BBA (ICE) no longer exists or accurately reflects the rate available to Collateral Agent in the London Interbank Market, Collateral Agent may select a replacement index that approximates as near as possible such prior index. Notwithstanding the foregoing, in no event shall the “LIBOR Rate” ever be less than one percent (1.50%) per annum at any time.</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Pledge Agreement, the IP Security Agreement, the Warrants, the Perfection Certificates, each Control Agreement, each Compliance Certificate, each Loan Payment Request Form,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 or supplemented from time to time.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is (a) a material adverse change in the business, operations or condition (financial or otherwise) of Borrower or any Subsidiary, when taken as a whole; (b) a material impairment of the prospect of repayment of any portion of the Obligations or (c) a material adverse effect on the Collateral that is not the result of the Collateral Agent’s or the Lenders’ action or inaction in connection with filings made or not made with respect to the Collateral. For the avoidance of doubt, the following events, solely in and of themselves, shall not constitute a Material Adverse Change or a Material Adverse Effect: (a) a “going concern” or like qualification or “emphasis of matter” paragraph in an auditor’s opinion; (b) Borrower or any of its Subsidiaries conducts a mandatory or voluntary recall which could reasonably be expected to result in liability and expense to Borrower or any of its Subsidiaries of $1,000,000 or less; (c) Borrower or any of its Subsidiaries enters into a settlement agreement with the FDA, DOJ, or other Governmental Authority that results in aggregate liability as to any single or related series of transactions, incidents or conditions, of $1,000,000 or less; or (d) an action by a Governmental Authority of a type and magnitude substantially similar to those disclosed in the Perfection Certificate provided to the Collateral Agent prior to the date hereof, which could not reasonably be expected to cause Borrower to discontinue its operations or otherwise result in or cause a Material Adverse Change.</w:t>
      </w:r>
    </w:p>
    <w:p>
      <w:pPr>
        <w:spacing w:after="0" w:line="16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Agreement</w:t>
      </w:r>
      <w:r>
        <w:rPr>
          <w:rFonts w:ascii="Arial" w:cs="Arial" w:eastAsia="Arial" w:hAnsi="Arial"/>
          <w:sz w:val="16"/>
          <w:szCs w:val="16"/>
          <w:color w:val="auto"/>
        </w:rPr>
        <w:t>” is (a) each Eton Agreement and (b) any license, agreement or other contractual arrangement with a Person or Governmental Authority whereby Borrower or any of its Subsidiaries is reasonably likely to be required to transfer, either in-kind or in cash, prior to the Maturity Date, assets or property valued (book or market) at more than $500,000 in the aggregate or any license, agreement or other contractual arrangement conveying rights in or to any Intellectual Property necessary to make, use or sell any Inventory, products or services of Borrower or any Subsidiary.</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Product</w:t>
      </w:r>
      <w:r>
        <w:rPr>
          <w:rFonts w:ascii="Arial" w:cs="Arial" w:eastAsia="Arial" w:hAnsi="Arial"/>
          <w:sz w:val="18"/>
          <w:szCs w:val="18"/>
          <w:color w:val="auto"/>
        </w:rPr>
        <w:t>” is any Product that constitutes 10.0% or more of the total trailing twelve month revenue (under GAAP) of Borrower and its Subsidiaries on a consolidated basis.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July 19, 2021; provided that if Borrower satisfies the Revenue Threshold by the Threshold Date, then July 19, 2022.</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means, for any period as at any date of determination, the net income (or loss), after provision for taxes, of Borrower for such period taken as a single accounting period as determined under GAAP.</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for any period, net revenue of the Borrower and its Subsidiaries for such period, derived solely from Product sales, services, royalty payments, and other revenue from the sale, licensing, or distribution of Products and services (including Products distributed for product development purposes and used in pre-clinical trials). To the extent applicable, components of Net Sales shall be determined in the ordinary course of business in accordance with historical practice and using the accrual method of accounting in accordance with GAAP.</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all of Borrower’s obligations to pay when due any debts, principal, interest, Lenders’ Expenses, the Final Fee, any Revenue-Based Payments, the Prepayment Fee, and other amounts Borrower owes the Lenders now or later, in connection with, related to, following, or arising from, out of or under, this Agreement or the other Loan Documents (other than the Warrants), and including interest accruing after Insolvency Proceedings begin (whether or not allowed) and debts, liabilities, or obligations of Borrower assigned to the Lenders and/or Collateral Agent, and the performance of Borrower’s duties under the Loan Documents.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re-examination certificates, utility models, extensions and continuations-in-part of the same.</w:t>
      </w:r>
    </w:p>
    <w:p>
      <w:pPr>
        <w:spacing w:after="0" w:line="170"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Date</w:t>
      </w:r>
      <w:r>
        <w:rPr>
          <w:rFonts w:ascii="Arial" w:cs="Arial" w:eastAsia="Arial" w:hAnsi="Arial"/>
          <w:sz w:val="17"/>
          <w:szCs w:val="17"/>
          <w:color w:val="auto"/>
        </w:rPr>
        <w:t>” is the earlier to occur of (i) the forty-fifth (45</w:t>
      </w:r>
      <w:r>
        <w:rPr>
          <w:rFonts w:ascii="Arial" w:cs="Arial" w:eastAsia="Arial" w:hAnsi="Arial"/>
          <w:sz w:val="28"/>
          <w:szCs w:val="28"/>
          <w:color w:val="auto"/>
          <w:vertAlign w:val="superscript"/>
        </w:rPr>
        <w:t>th</w:t>
      </w:r>
      <w:r>
        <w:rPr>
          <w:rFonts w:ascii="Arial" w:cs="Arial" w:eastAsia="Arial" w:hAnsi="Arial"/>
          <w:sz w:val="17"/>
          <w:szCs w:val="17"/>
          <w:color w:val="auto"/>
        </w:rPr>
        <w:t>) calendar day of each fiscal quarter or (ii) when such forty-fifth (45</w:t>
      </w:r>
      <w:r>
        <w:rPr>
          <w:rFonts w:ascii="Arial" w:cs="Arial" w:eastAsia="Arial" w:hAnsi="Arial"/>
          <w:sz w:val="28"/>
          <w:szCs w:val="28"/>
          <w:color w:val="auto"/>
          <w:vertAlign w:val="superscript"/>
        </w:rPr>
        <w:t>th</w:t>
      </w:r>
      <w:r>
        <w:rPr>
          <w:rFonts w:ascii="Arial" w:cs="Arial" w:eastAsia="Arial" w:hAnsi="Arial"/>
          <w:sz w:val="17"/>
          <w:szCs w:val="17"/>
          <w:color w:val="auto"/>
        </w:rPr>
        <w:t>) calendar day is not a Business Day, the next immediately succeeding Business Day. The first Payment Date to occur hereunder shall be August 14, 2017.</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540" w:hanging="235"/>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unsecured Indebtedness to trade creditors and in connection with credit cards incurred in the ordinary course of business;</w:t>
      </w:r>
    </w:p>
    <w:p>
      <w:pPr>
        <w:spacing w:after="0" w:line="225" w:lineRule="exact"/>
        <w:rPr>
          <w:rFonts w:ascii="Arial" w:cs="Arial" w:eastAsia="Arial" w:hAnsi="Arial"/>
          <w:sz w:val="18"/>
          <w:szCs w:val="18"/>
          <w:color w:val="auto"/>
        </w:rPr>
      </w:pPr>
    </w:p>
    <w:p>
      <w:pPr>
        <w:jc w:val="both"/>
        <w:ind w:firstLine="1305"/>
        <w:spacing w:after="0" w:line="272" w:lineRule="auto"/>
        <w:tabs>
          <w:tab w:leader="none" w:pos="1547"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(A) Two Million Two Hundred Fifty Thousand Dollars ($2,250,000.00) for construction and improvement efforts of pharmacy and outsourcing facilities in New Jersey and California, and (B) Two Hundred Fifty Thousand Dollars ($250,000.00) for other capitalized lease obligations and purchase money Indebtedness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77" w:lineRule="exact"/>
        <w:rPr>
          <w:rFonts w:ascii="Arial" w:cs="Arial" w:eastAsia="Arial" w:hAnsi="Arial"/>
          <w:sz w:val="17"/>
          <w:szCs w:val="17"/>
          <w:color w:val="auto"/>
        </w:rPr>
      </w:pPr>
    </w:p>
    <w:p>
      <w:pPr>
        <w:ind w:left="1520" w:hanging="215"/>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Borrower’s business;</w:t>
      </w:r>
    </w:p>
    <w:p>
      <w:pPr>
        <w:spacing w:after="0" w:line="236" w:lineRule="exact"/>
        <w:rPr>
          <w:rFonts w:ascii="Arial" w:cs="Arial" w:eastAsia="Arial" w:hAnsi="Arial"/>
          <w:sz w:val="17"/>
          <w:szCs w:val="17"/>
          <w:color w:val="auto"/>
        </w:rPr>
      </w:pPr>
    </w:p>
    <w:p>
      <w:pPr>
        <w:ind w:firstLine="1305"/>
        <w:spacing w:after="0" w:line="277" w:lineRule="auto"/>
        <w:tabs>
          <w:tab w:leader="none" w:pos="155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 related to letters of credit related to trade payables and creditors and real estate leases incurred in the Borrower’s ordinary course of business, in an aggregate outstanding principal amount that does not exceed $500,000;</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5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 consisting of deferred compensation owing under the Stock Purchase Agreement, dated as of November 26, 2014 (without any amendment or modification effective after the date hereof without Collateral Agent’s consent), among Borrower, ImprimisRx CA, Inc. (fka South Coast Specialty Compounding, Inc. d/b/a Park Compounding) and the seller parties thereto;</w:t>
      </w:r>
    </w:p>
    <w:p>
      <w:pPr>
        <w:spacing w:after="0" w:line="181" w:lineRule="exact"/>
        <w:rPr>
          <w:rFonts w:ascii="Arial" w:cs="Arial" w:eastAsia="Arial" w:hAnsi="Arial"/>
          <w:sz w:val="18"/>
          <w:szCs w:val="18"/>
          <w:color w:val="auto"/>
        </w:rPr>
      </w:pPr>
    </w:p>
    <w:p>
      <w:pPr>
        <w:ind w:firstLine="1305"/>
        <w:spacing w:after="0" w:line="277" w:lineRule="auto"/>
        <w:tabs>
          <w:tab w:leader="none" w:pos="152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 consisting of the bona fide financing of insurance premiums or self-insurance obligations (which must be commercially reasonable and consistent with insurance practices generally) that does not exceed $350,000;</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 (i) among Borrowers, (ii) of any Subsidiary that is not a Borrower to Borrower that is a Permitted Investment, and (iii) of any Subsidiary that is not a Borrower to another Subsidiary that is not a Borrower, provided that, in each case, if any such Indebtedness exceeds Two Hundred and Fifty Thousand ($250,000) for each transaction or Seven Hundred and Fifty Thousand ($750,000) in the aggregate, it is, at Collateral Agent’s discretion, subordinated to the Obligations hereunder in form and substance acceptable to Collateral Agent and any notes or other instruments evidencing such Indebtedness are pledged to Collateral Agent;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ind w:left="1560" w:hanging="255"/>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Deposits or advances received from customers in the ordinary course of business;</w:t>
      </w:r>
    </w:p>
    <w:p>
      <w:pPr>
        <w:spacing w:after="0" w:line="225" w:lineRule="exact"/>
        <w:rPr>
          <w:rFonts w:ascii="Arial" w:cs="Arial" w:eastAsia="Arial" w:hAnsi="Arial"/>
          <w:sz w:val="18"/>
          <w:szCs w:val="18"/>
          <w:color w:val="auto"/>
        </w:rPr>
      </w:pPr>
    </w:p>
    <w:p>
      <w:pPr>
        <w:ind w:firstLine="1305"/>
        <w:spacing w:after="0" w:line="277" w:lineRule="auto"/>
        <w:tabs>
          <w:tab w:leader="none" w:pos="156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Indebtedness consisting of guarantees resulting from endorsement of negotiable instruments for collection by Borrower or any Subsidiary in the ordinary course of business; and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(l) above, provided that the principal amount thereof is not increased or the terms thereof are not modified to impose materially more burdensome terms upon Borrower, or its Subsidiary, as the case may be.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540" w:hanging="235"/>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5" w:lineRule="exact"/>
        <w:rPr>
          <w:rFonts w:ascii="Arial" w:cs="Arial" w:eastAsia="Arial" w:hAnsi="Arial"/>
          <w:sz w:val="18"/>
          <w:szCs w:val="18"/>
          <w:color w:val="auto"/>
        </w:rPr>
      </w:pPr>
    </w:p>
    <w:p>
      <w:pPr>
        <w:ind w:firstLine="1305"/>
        <w:spacing w:after="0" w:line="308" w:lineRule="auto"/>
        <w:tabs>
          <w:tab w:leader="none" w:pos="1586" w:val="left"/>
        </w:tabs>
        <w:numPr>
          <w:ilvl w:val="0"/>
          <w:numId w:val="7"/>
        </w:numPr>
        <w:rPr>
          <w:rFonts w:ascii="Arial" w:cs="Arial" w:eastAsia="Arial" w:hAnsi="Arial"/>
          <w:sz w:val="17"/>
          <w:szCs w:val="17"/>
          <w:color w:val="auto"/>
        </w:rPr>
      </w:pPr>
      <w:r>
        <w:rPr>
          <w:rFonts w:ascii="Arial" w:cs="Arial" w:eastAsia="Arial" w:hAnsi="Arial"/>
          <w:sz w:val="17"/>
          <w:szCs w:val="17"/>
          <w:color w:val="auto"/>
        </w:rPr>
        <w:t>(i) Investments consisting of cash and Cash Equivalents, and (ii) any Investments permitted by Borrower’s investment policy, as amended from time to time, provided that such investment policy (and any such amendment thereto) has been approved in writing by Collateral Agent;</w:t>
      </w:r>
    </w:p>
    <w:p>
      <w:pPr>
        <w:spacing w:after="0" w:line="146" w:lineRule="exact"/>
        <w:rPr>
          <w:rFonts w:ascii="Arial" w:cs="Arial" w:eastAsia="Arial" w:hAnsi="Arial"/>
          <w:sz w:val="17"/>
          <w:szCs w:val="17"/>
          <w:color w:val="auto"/>
        </w:rPr>
      </w:pPr>
    </w:p>
    <w:p>
      <w:pPr>
        <w:ind w:left="1580" w:hanging="275"/>
        <w:spacing w:after="0"/>
        <w:tabs>
          <w:tab w:leader="none" w:pos="1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Investments consisting of the endorsement of negotiable instruments for deposit or collection or similar transactions in the ordinary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course of Borrower;</w:t>
      </w:r>
    </w:p>
    <w:p>
      <w:pPr>
        <w:spacing w:after="0" w:line="210" w:lineRule="exact"/>
        <w:rPr>
          <w:rFonts w:ascii="Arial" w:cs="Arial" w:eastAsia="Arial" w:hAnsi="Arial"/>
          <w:sz w:val="17"/>
          <w:szCs w:val="17"/>
          <w:color w:val="auto"/>
        </w:rPr>
      </w:pPr>
    </w:p>
    <w:p>
      <w:pPr>
        <w:ind w:left="1560" w:hanging="255"/>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Collateral Agent has a perfected security interest;</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25" w:lineRule="exact"/>
        <w:rPr>
          <w:rFonts w:ascii="Arial" w:cs="Arial" w:eastAsia="Arial" w:hAnsi="Arial"/>
          <w:sz w:val="18"/>
          <w:szCs w:val="18"/>
          <w:color w:val="auto"/>
        </w:rPr>
      </w:pPr>
    </w:p>
    <w:p>
      <w:pPr>
        <w:jc w:val="both"/>
        <w:ind w:firstLine="1305"/>
        <w:spacing w:after="0" w:line="302" w:lineRule="auto"/>
        <w:tabs>
          <w:tab w:leader="none" w:pos="154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and (iii) other loans or arrangements in the ordinary course of the Borrower’s business that does not to exceed in the aggregate for (i), (ii) and (iii) Three Hundred Fifty Thousand Dollars ($350,000.00) in each fiscal year.</w:t>
      </w:r>
    </w:p>
    <w:p>
      <w:pPr>
        <w:spacing w:after="0" w:line="154" w:lineRule="exact"/>
        <w:rPr>
          <w:rFonts w:ascii="Arial" w:cs="Arial" w:eastAsia="Arial" w:hAnsi="Arial"/>
          <w:sz w:val="16"/>
          <w:szCs w:val="16"/>
          <w:color w:val="auto"/>
        </w:rPr>
      </w:pPr>
    </w:p>
    <w:p>
      <w:pPr>
        <w:ind w:right="20" w:firstLine="1305"/>
        <w:spacing w:after="0" w:line="308" w:lineRule="auto"/>
        <w:tabs>
          <w:tab w:leader="none" w:pos="1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firstLine="1305"/>
        <w:spacing w:after="0" w:line="308" w:lineRule="auto"/>
        <w:tabs>
          <w:tab w:leader="none" w:pos="156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46" w:lineRule="exact"/>
        <w:rPr>
          <w:rFonts w:ascii="Arial" w:cs="Arial" w:eastAsia="Arial" w:hAnsi="Arial"/>
          <w:sz w:val="17"/>
          <w:szCs w:val="17"/>
          <w:color w:val="auto"/>
        </w:rPr>
      </w:pPr>
    </w:p>
    <w:p>
      <w:pPr>
        <w:ind w:left="1520" w:hanging="215"/>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Subsidiaries, not to exceed Five Hundred Thousand Dollars ($500,000) per fiscal year;</w:t>
      </w:r>
    </w:p>
    <w:p>
      <w:pPr>
        <w:spacing w:after="0" w:line="225" w:lineRule="exact"/>
        <w:rPr>
          <w:rFonts w:ascii="Arial" w:cs="Arial" w:eastAsia="Arial" w:hAnsi="Arial"/>
          <w:sz w:val="18"/>
          <w:szCs w:val="18"/>
          <w:color w:val="auto"/>
        </w:rPr>
      </w:pPr>
    </w:p>
    <w:p>
      <w:pPr>
        <w:jc w:val="both"/>
        <w:ind w:right="20" w:firstLine="1305"/>
        <w:spacing w:after="0" w:line="264" w:lineRule="auto"/>
        <w:tabs>
          <w:tab w:leader="none" w:pos="15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joint ventures or strategic alliances in the ordinary course of Borrower’s business consisting of the licensing of technology, the development of technology or the providing of technical support, in each case as permitted hereunder (i.e. under a Permitted License), not to exceed Five Hundred Thousand Dollars ($500,000) per fiscal year; and</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Excluded Accounts.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xml:space="preserve">” are (A) licenses of over-the-counter software that is commercially available to the public, (B) non-exclusive licenses for the use of the Intellectual Property of Borrower or any of its Subsidiaries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such license described in clause (B),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(C) exclusive or non-exclusive licenses relating to Investments described under clause (j) of the definition of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each such exclusive license described in this clause (C), the license (i)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w:t>
      </w:r>
    </w:p>
    <w:p>
      <w:pPr>
        <w:spacing w:after="0" w:line="5" w:lineRule="exact"/>
        <w:rPr>
          <w:sz w:val="20"/>
          <w:szCs w:val="20"/>
          <w:color w:val="auto"/>
        </w:rPr>
      </w:pPr>
    </w:p>
    <w:p>
      <w:pPr>
        <w:jc w:val="both"/>
        <w:ind w:firstLine="8"/>
        <w:spacing w:after="0" w:line="255" w:lineRule="auto"/>
        <w:tabs>
          <w:tab w:leader="none" w:pos="274"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limited in territory with respect to a specific geographic country or region (i.e. Japan, Germany, northern China) outside of the United States (i.e., not exclusive in the United States), and (iii) Borrower has obtained the consent and acknowledgement of the counterparty to such license for the collateral assignment of such license to the Collateral Agent for the benefit of the Lenders or (D) the Eton License/Disposition.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Liens existing on the Effective Date and disclosed on the Perfection Certificates or arising under this Agreement and the other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jc w:val="both"/>
        <w:ind w:firstLine="1305"/>
        <w:spacing w:after="0" w:line="264" w:lineRule="auto"/>
        <w:tabs>
          <w:tab w:leader="none" w:pos="1563"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555" w:val="left"/>
        </w:tabs>
        <w:numPr>
          <w:ilvl w:val="0"/>
          <w:numId w:val="9"/>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71" w:lineRule="exact"/>
        <w:rPr>
          <w:rFonts w:ascii="Arial" w:cs="Arial" w:eastAsia="Arial" w:hAnsi="Arial"/>
          <w:sz w:val="17"/>
          <w:szCs w:val="17"/>
          <w:color w:val="auto"/>
        </w:rPr>
      </w:pPr>
    </w:p>
    <w:p>
      <w:pPr>
        <w:ind w:left="1560" w:hanging="255"/>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securing Indebtedness permitted under clause (g) of the definition of “Permitted Indebtedness;</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552"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One Hundred Thousand Dollars ($100,000.00),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firstLine="1305"/>
        <w:spacing w:after="0" w:line="277" w:lineRule="auto"/>
        <w:tabs>
          <w:tab w:leader="none" w:pos="1532"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7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(d),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574" w:val="left"/>
        </w:tabs>
        <w:numPr>
          <w:ilvl w:val="0"/>
          <w:numId w:val="9"/>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ind w:firstLine="1305"/>
        <w:spacing w:after="0" w:line="264" w:lineRule="auto"/>
        <w:tabs>
          <w:tab w:leader="none" w:pos="1511"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 hereof;</w:t>
      </w:r>
    </w:p>
    <w:p>
      <w:pPr>
        <w:spacing w:after="0" w:line="181" w:lineRule="exact"/>
        <w:rPr>
          <w:rFonts w:ascii="Arial" w:cs="Arial" w:eastAsia="Arial" w:hAnsi="Arial"/>
          <w:sz w:val="18"/>
          <w:szCs w:val="18"/>
          <w:color w:val="auto"/>
        </w:rPr>
      </w:pPr>
    </w:p>
    <w:p>
      <w:pPr>
        <w:ind w:left="1520" w:hanging="215"/>
        <w:spacing w:after="0"/>
        <w:tabs>
          <w:tab w:leader="none" w:pos="1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w:t>
      </w:r>
    </w:p>
    <w:p>
      <w:pPr>
        <w:spacing w:after="0" w:line="248" w:lineRule="exact"/>
        <w:rPr>
          <w:rFonts w:ascii="Arial" w:cs="Arial" w:eastAsia="Arial" w:hAnsi="Arial"/>
          <w:sz w:val="16"/>
          <w:szCs w:val="16"/>
          <w:color w:val="auto"/>
        </w:rPr>
      </w:pPr>
    </w:p>
    <w:p>
      <w:pPr>
        <w:ind w:left="1560" w:hanging="255"/>
        <w:spacing w:after="0"/>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Permitted Licenses;</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deposits to secure indebtedness permitted under clause (h) of the definition of “Permitted Indebtedness”;</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6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Borrower and its Subsidiaries; and</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with respect to any real property, (A) such defects or encroachments as might be revealed by an up-to-date survey of such real property;</w:t>
      </w:r>
    </w:p>
    <w:p>
      <w:pPr>
        <w:spacing w:after="0" w:line="46" w:lineRule="exact"/>
        <w:rPr>
          <w:rFonts w:ascii="Arial" w:cs="Arial" w:eastAsia="Arial" w:hAnsi="Arial"/>
          <w:sz w:val="16"/>
          <w:szCs w:val="16"/>
          <w:color w:val="auto"/>
        </w:rPr>
      </w:pPr>
    </w:p>
    <w:p>
      <w:pPr>
        <w:jc w:val="both"/>
        <w:ind w:firstLine="8"/>
        <w:spacing w:after="0" w:line="254" w:lineRule="auto"/>
        <w:tabs>
          <w:tab w:leader="none" w:pos="2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reservations, limitations, provisos and conditions expressed in the original grant, deed or patent of such property by the original owner of such real property pursuant to applicable laws; and (C) rights of expropriation, access or user or any similar right conferred or reserved by or in applicable laws, which, in the aggregate for (A), (B) and (C), are not material, and which do not in any case materially detract from the value of the property subject thereto or interfere with the ordinary conduct of the business of Borrower and its Subsidiaries.</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is that certain Pledge Agreement executed and delivered by Borrower to Collateral Agent and dated as of the Effective Date, as may be amended, restated, or otherwise modified or supplemented from time to time.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is an additional fee payable to the Lenders in amount equal to six percent (6%) of the principal amount of Term Loan prepaid after July 19, 2018 and prior to July 19, 2019, whether by mandatory or voluntary prepayment, acceleration or otherwise; provided that a Prepayment Fee shall not be payable if the Revenue Threshold has been satisfied by the Threshold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any products manufactured, sold, developed, tested or marketed by Borrower or any of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interest in any kind of property or asset, whether real, personal or mixed, and whether tangible or intangible.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Recalled Material Product</w:t>
      </w:r>
      <w:r>
        <w:rPr>
          <w:rFonts w:ascii="Arial" w:cs="Arial" w:eastAsia="Arial" w:hAnsi="Arial"/>
          <w:sz w:val="18"/>
          <w:szCs w:val="18"/>
          <w:color w:val="auto"/>
        </w:rPr>
        <w:t>” means any Material Product that Borrower or any of its Subsidiaries recalls, withdraws, removes or discontinues (or expect to discontinue) manufacturing for three (3) continuous months, distributing, and/or marketing or that is withdrawn, removed or the manufacturing, distribution and/or marketing of which is discontinued.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 under the Code.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w:t>
      </w:r>
      <w:r>
        <w:rPr>
          <w:rFonts w:ascii="Arial" w:cs="Arial" w:eastAsia="Arial" w:hAnsi="Arial"/>
          <w:sz w:val="17"/>
          <w:szCs w:val="17"/>
          <w:color w:val="auto"/>
        </w:rPr>
        <w:t>” means any registration, authorization, approval, license, permit, clearance, certificate, and exemption issued or allowed by the FDA or state pharmacy licensing authorities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Action</w:t>
      </w:r>
      <w:r>
        <w:rPr>
          <w:rFonts w:ascii="Arial" w:cs="Arial" w:eastAsia="Arial" w:hAnsi="Arial"/>
          <w:sz w:val="18"/>
          <w:szCs w:val="18"/>
          <w:color w:val="auto"/>
        </w:rPr>
        <w:t>” means an administrative, regulatory, or judicial enforcement action, proceeding,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Persons</w:t>
      </w:r>
      <w:r>
        <w:rPr>
          <w:rFonts w:ascii="Arial" w:cs="Arial" w:eastAsia="Arial" w:hAnsi="Arial"/>
          <w:sz w:val="18"/>
          <w:szCs w:val="18"/>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Lenders holding at least fifty-one percent (51%) of the aggregate outstanding principal balance of the Term Loan, provided that if there are only two (2) Lenders, then Required Lenders hereunder shall mean both of such Lenders (Lenders that are Affiliates of one another being considered as one Lender for purposes of this proviso).</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Revenue Threshold</w:t>
      </w:r>
      <w:r>
        <w:rPr>
          <w:rFonts w:ascii="Arial" w:cs="Arial" w:eastAsia="Arial" w:hAnsi="Arial"/>
          <w:sz w:val="17"/>
          <w:szCs w:val="17"/>
          <w:color w:val="auto"/>
        </w:rPr>
        <w:t>” is Borrower’s achievement, prior to the Threshold Date of trailing twelve (12) month revenue under GAAP of at least Thirty-Three Million Dollars ($33,000,000.00) during any consecutive twelve (12) month period, measured monthly on an unaudited basis for any month for which audited financial statements are not available, subject to verification and supporting evidence reasonably requested by Collateral Agent.</w:t>
      </w:r>
    </w:p>
    <w:p>
      <w:pPr>
        <w:spacing w:after="0" w:line="15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Royalties</w:t>
      </w:r>
      <w:r>
        <w:rPr>
          <w:rFonts w:ascii="Arial" w:cs="Arial" w:eastAsia="Arial" w:hAnsi="Arial"/>
          <w:sz w:val="17"/>
          <w:szCs w:val="17"/>
          <w:color w:val="auto"/>
        </w:rPr>
        <w:t>” means the amount of any and all royalties, license fees and any other payments or income of any type recognized as revenue in accordance with GAAP by Borrower and its Subsidiaries with respect to the sale of Products or the provision of services by independent licensees of Borrower and/or its Subsidiaries, including any such payments characterized as a share of net profits, any up-front or lump sum payments, any milestone payments, commissions, fees or any other similar amounts, less deductions for amounts deducted, repaid or credited by reason of adjustments to the sales upon which royalty amounts are based, regardless of the reason for such adjustment to such sales. For the purposes of calculating Royalties, Lenders and Collateral Agent understand and agree that Affiliates of Borrower shall not be regarded as independent licensees.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Account</w:t>
      </w:r>
      <w:r>
        <w:rPr>
          <w:rFonts w:ascii="Arial" w:cs="Arial" w:eastAsia="Arial" w:hAnsi="Arial"/>
          <w:sz w:val="16"/>
          <w:szCs w:val="16"/>
          <w:color w:val="auto"/>
        </w:rPr>
        <w:t>” is any “securities account” as defined in the Code with such additions to such term as may hereafter be made under the Code.</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the ordinary course (without taking into account any forbearance and extensions related thereto).</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reasonably satisfactory to Collateral Agent and the Lenders entered into between Collateral Agent, Borrower, and/or any of its Subsidiaries, and the other creditor), on terms acceptable to Collateral Agent and the Lenders.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Supermajority Lenders</w:t>
      </w:r>
      <w:r>
        <w:rPr>
          <w:rFonts w:ascii="Arial" w:cs="Arial" w:eastAsia="Arial" w:hAnsi="Arial"/>
          <w:sz w:val="16"/>
          <w:szCs w:val="16"/>
          <w:color w:val="auto"/>
        </w:rPr>
        <w:t>” means (a) prior to the sale or assignment by HI Imprimis, LLC and/or SR-Imprimis, LLC of any interest held in the Obligations to any Person other than a controlled Affiliate of HI Imprimis, LLC and/or SR-Imprimis, LLC (including any Affiliate of Life Sciences Alternative Funding LLC), at least sixty six and two-thirds of one percent (66 2/3%), provided that if there are only two (2) Lenders, then Supermajority Lenders hereunder shall mean both of such Lenders (Lenders that are Affiliates of one another being considered as one Lender for purposes of this proviso); or (b) after the sale or assignment by HI Imprimis, LLC and/or SR-Imprimis, LLC of any interest held in the Obligations to any Person other than a controlled Affiliate of HI Imprimis, LLC and/or SR-Imprimis, LLC (including any Affiliate of Life Sciences Alternative Funding LLC), the Required Lenders.</w:t>
      </w:r>
    </w:p>
    <w:p>
      <w:pPr>
        <w:spacing w:after="0" w:line="1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is, for any Lender, the obligation of such Lender to make a Term Loan, up to the principal amount shown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Date</w:t>
      </w:r>
      <w:r>
        <w:rPr>
          <w:rFonts w:ascii="Arial" w:cs="Arial" w:eastAsia="Arial" w:hAnsi="Arial"/>
          <w:sz w:val="18"/>
          <w:szCs w:val="18"/>
          <w:color w:val="auto"/>
        </w:rPr>
        <w:t>” means June 30, 2018.</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any trademark and servicemark rights, whether registered or not, applications to register and registrations of the same and like protections, and the entire goodwill of the business of Borrower and each of its Subsidiaries connected with and symbolized by such trademarks.</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Cash</w:t>
      </w:r>
      <w:r>
        <w:rPr>
          <w:rFonts w:ascii="Arial" w:cs="Arial" w:eastAsia="Arial" w:hAnsi="Arial"/>
          <w:sz w:val="18"/>
          <w:szCs w:val="18"/>
          <w:color w:val="auto"/>
        </w:rPr>
        <w:t>” means cash held by Borrower in account(s) located in the United States of America subject to a Control Agreement in favor of Collateral Agent.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any of that certain Warrant to Purchase Stock dated as of the Effective Date issued by Borrower in favor of each Lender or such Lender’s Affiliates or any other warrant entered into in connection with the Term Loan, all as may be amended, restated, or otherwise modified or supplemented from time to time.</w:t>
      </w:r>
    </w:p>
    <w:p>
      <w:pPr>
        <w:spacing w:after="0" w:line="176"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2.1 Promise to Pay. </w:t>
      </w:r>
      <w:r>
        <w:rPr>
          <w:rFonts w:ascii="Arial" w:cs="Arial" w:eastAsia="Arial" w:hAnsi="Arial"/>
          <w:sz w:val="16"/>
          <w:szCs w:val="16"/>
          <w:color w:val="auto"/>
        </w:rPr>
        <w:t>Borrower hereby unconditionally promises to pay each Lender, the outstanding principal amount of all Term Loans advanced to</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by such Lender and accrued and unpaid interest thereon and any other amounts due hereunder as and when due in accordance with this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2.2 Term Loans</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259" w:lineRule="auto"/>
        <w:tabs>
          <w:tab w:leader="none" w:pos="154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the Lenders agree, severally and not jointly, to make term loans to Borrower on the Effective Date in an aggregate principal amount of Sixteen Million Dollars ($16,000,000.00) according to each Lender’s Term Loan Commitment as set forth on Schedule 1.1 hereto (such term loans are hereinafter referred to singly as a “</w:t>
      </w:r>
      <w:r>
        <w:rPr>
          <w:rFonts w:ascii="Arial" w:cs="Arial" w:eastAsia="Arial" w:hAnsi="Arial"/>
          <w:sz w:val="18"/>
          <w:szCs w:val="18"/>
          <w:b w:val="1"/>
          <w:bCs w:val="1"/>
          <w:color w:val="auto"/>
        </w:rPr>
        <w:t>Term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Loans</w:t>
      </w:r>
      <w:r>
        <w:rPr>
          <w:rFonts w:ascii="Arial" w:cs="Arial" w:eastAsia="Arial" w:hAnsi="Arial"/>
          <w:sz w:val="18"/>
          <w:szCs w:val="18"/>
          <w:color w:val="auto"/>
        </w:rPr>
        <w:t>”). After repayment, no Term Loan may be reborrowed.</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60" w:firstLine="1936"/>
        <w:spacing w:after="0" w:line="297" w:lineRule="auto"/>
        <w:tabs>
          <w:tab w:leader="none" w:pos="2433" w:val="left"/>
        </w:tabs>
        <w:numPr>
          <w:ilvl w:val="1"/>
          <w:numId w:val="13"/>
        </w:numPr>
        <w:rPr>
          <w:rFonts w:ascii="Arial" w:cs="Arial" w:eastAsia="Arial" w:hAnsi="Arial"/>
          <w:sz w:val="16"/>
          <w:szCs w:val="16"/>
          <w:color w:val="auto"/>
        </w:rPr>
      </w:pPr>
      <w:r>
        <w:rPr>
          <w:rFonts w:ascii="Arial" w:cs="Arial" w:eastAsia="Arial" w:hAnsi="Arial"/>
          <w:sz w:val="16"/>
          <w:szCs w:val="16"/>
          <w:color w:val="auto"/>
        </w:rPr>
        <w:t>Borrower shall make quarterly payments of interest, in arrears, commencing on the first (1st) Payment Date following the Effective Date, and continuing on the Payment Date of each successive quarter thereafter. Commencing on the Effective Date, and continuing on the Payment Date of each quarter thereafter, Borrower shall make payments of principal and interest to each Lender in accordance with Section 2.6. All unpaid principal and accrued and unpaid interest with respect to each Term Loan is due and payable in full on the Maturity Date. The Term Loans may only be prepaid (other than via the application of Revenue-Based Payments in accordance with Section 2.6) in accordance with Sections 2.2(c) and 2.2(d).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both"/>
        <w:ind w:left="240" w:firstLine="1936"/>
        <w:spacing w:after="0" w:line="312" w:lineRule="auto"/>
        <w:tabs>
          <w:tab w:leader="none" w:pos="2454"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Notwithstanding Section 2.6 or any other provision in the Loan Documents, quarterly principal payments made pursuant to Section 2.6 on or after the Amortization Date shall not exceed (the “</w:t>
      </w:r>
      <w:r>
        <w:rPr>
          <w:rFonts w:ascii="Arial" w:cs="Arial" w:eastAsia="Arial" w:hAnsi="Arial"/>
          <w:sz w:val="16"/>
          <w:szCs w:val="16"/>
          <w:u w:val="single" w:color="auto"/>
          <w:color w:val="auto"/>
        </w:rPr>
        <w:t>Amortization Cap</w:t>
      </w:r>
      <w:r>
        <w:rPr>
          <w:rFonts w:ascii="Arial" w:cs="Arial" w:eastAsia="Arial" w:hAnsi="Arial"/>
          <w:sz w:val="16"/>
          <w:szCs w:val="16"/>
          <w:color w:val="auto"/>
        </w:rPr>
        <w:t>”) (x) if Borrower satisfies the Revenue Threshold by the Threshold Date, $750,000 per Payment Date and (y) if Borrower fails to satisfy the Revenue Threshold by the Threshold Date, $1,000,000 per Payment Date.</w:t>
      </w:r>
    </w:p>
    <w:p>
      <w:pPr>
        <w:spacing w:after="0" w:line="146" w:lineRule="exact"/>
        <w:rPr>
          <w:rFonts w:ascii="Arial" w:cs="Arial" w:eastAsia="Arial" w:hAnsi="Arial"/>
          <w:sz w:val="16"/>
          <w:szCs w:val="16"/>
          <w:color w:val="auto"/>
        </w:rPr>
      </w:pPr>
    </w:p>
    <w:p>
      <w:pPr>
        <w:jc w:val="both"/>
        <w:ind w:left="-20" w:firstLine="1305"/>
        <w:spacing w:after="0" w:line="272" w:lineRule="auto"/>
        <w:tabs>
          <w:tab w:leader="none" w:pos="1521"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Mandatory Prepayments</w:t>
      </w:r>
      <w:r>
        <w:rPr>
          <w:rFonts w:ascii="Arial" w:cs="Arial" w:eastAsia="Arial" w:hAnsi="Arial"/>
          <w:sz w:val="17"/>
          <w:szCs w:val="17"/>
          <w:color w:val="auto"/>
        </w:rPr>
        <w:t>. If an event described in Section 7.2(c)(ii) occurs or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Fee (if applicable), (iii) the Prepayment Fee plus (iv) all other Obligations that are due and payable, including, without limitation, Lenders’ Expenses and interest at the Default Rate with respect to any past due amounts. Notwithstanding (but without duplication with) the foregoing, on the Maturity Date, if the Final Fee had not previously been paid in full in connection with the prepayment of the Term Loans in full, Borrower shall pay to each Lender in accordance with its respective Pro Rata Share, the Final Fee in respect of the Term Loans.</w:t>
      </w:r>
    </w:p>
    <w:p>
      <w:pPr>
        <w:spacing w:after="0" w:line="177" w:lineRule="exact"/>
        <w:rPr>
          <w:rFonts w:ascii="Arial" w:cs="Arial" w:eastAsia="Arial" w:hAnsi="Arial"/>
          <w:sz w:val="17"/>
          <w:szCs w:val="17"/>
          <w:color w:val="auto"/>
        </w:rPr>
      </w:pPr>
    </w:p>
    <w:p>
      <w:pPr>
        <w:jc w:val="both"/>
        <w:ind w:left="-20" w:firstLine="1305"/>
        <w:spacing w:after="0" w:line="272" w:lineRule="auto"/>
        <w:tabs>
          <w:tab w:leader="none" w:pos="1531"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Permitted Prepayment of Term Loans</w:t>
      </w:r>
      <w:r>
        <w:rPr>
          <w:rFonts w:ascii="Arial" w:cs="Arial" w:eastAsia="Arial" w:hAnsi="Arial"/>
          <w:sz w:val="17"/>
          <w:szCs w:val="17"/>
          <w:color w:val="auto"/>
        </w:rPr>
        <w:t>. Borrower shall have the option to prepay all, but not less than all of the Term Loans advanced by the Lenders under this Agreement if the Borrower satisfies the Revenue Threshold by the Threshold Date, anytime on or after July 19, 2019, but otherwise anytime on or after July 19, 2018; provided, in each case, Borrower (i) provides written notice to Collateral Agent of its election to prepay the Term Loans at least five (5) Business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Fee, (C) the Prepayment Fee, plus (D) all other Obligations that are due and payable, including, without limitation, Lenders’ Expenses and interest at the Default Rate with respect to any past due amounts.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2.3 Payment of Interest on the Term Loans</w:t>
      </w:r>
      <w:r>
        <w:rPr>
          <w:rFonts w:ascii="Arial" w:cs="Arial" w:eastAsia="Arial" w:hAnsi="Arial"/>
          <w:sz w:val="18"/>
          <w:szCs w:val="18"/>
          <w:color w:val="auto"/>
        </w:rPr>
        <w:t>.</w:t>
      </w:r>
    </w:p>
    <w:p>
      <w:pPr>
        <w:spacing w:after="0" w:line="229" w:lineRule="exact"/>
        <w:rPr>
          <w:sz w:val="20"/>
          <w:szCs w:val="20"/>
          <w:color w:val="auto"/>
        </w:rPr>
      </w:pPr>
    </w:p>
    <w:p>
      <w:pPr>
        <w:jc w:val="both"/>
        <w:ind w:left="-20" w:firstLine="1305"/>
        <w:spacing w:after="0" w:line="259" w:lineRule="auto"/>
        <w:tabs>
          <w:tab w:leader="none" w:pos="152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xml:space="preserve"> Subject to Section 2.3(b), the principal amount outstanding under the Term Loans shall accrue interest at a per annum rate equal to 10.50% plus the LIBOR Rate, which interest shall be payable quarterly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86" w:lineRule="exact"/>
        <w:rPr>
          <w:rFonts w:ascii="Arial" w:cs="Arial" w:eastAsia="Arial" w:hAnsi="Arial"/>
          <w:sz w:val="18"/>
          <w:szCs w:val="18"/>
          <w:color w:val="auto"/>
        </w:rPr>
      </w:pPr>
    </w:p>
    <w:p>
      <w:pPr>
        <w:jc w:val="both"/>
        <w:ind w:left="-20" w:firstLine="1305"/>
        <w:spacing w:after="0" w:line="259" w:lineRule="auto"/>
        <w:tabs>
          <w:tab w:leader="none" w:pos="153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accrue interest at a fixed per annum rate equal to the rate that is otherwise applicable thereto plus three percentage points (3.00%)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6" w:lineRule="exact"/>
        <w:rPr>
          <w:rFonts w:ascii="Arial" w:cs="Arial" w:eastAsia="Arial" w:hAnsi="Arial"/>
          <w:sz w:val="18"/>
          <w:szCs w:val="18"/>
          <w:color w:val="auto"/>
        </w:rPr>
      </w:pPr>
    </w:p>
    <w:p>
      <w:pPr>
        <w:ind w:left="1520" w:hanging="235"/>
        <w:spacing w:after="0"/>
        <w:tabs>
          <w:tab w:leader="none" w:pos="15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360-Day Year</w:t>
      </w:r>
      <w:r>
        <w:rPr>
          <w:rFonts w:ascii="Arial" w:cs="Arial" w:eastAsia="Arial" w:hAnsi="Arial"/>
          <w:sz w:val="16"/>
          <w:szCs w:val="16"/>
          <w:color w:val="auto"/>
        </w:rPr>
        <w:t>. Interest shall be computed on the basis of a three hundred sixty (360) day year and the actual number of days elapsed.</w:t>
      </w:r>
    </w:p>
    <w:p>
      <w:pPr>
        <w:spacing w:after="0" w:line="248" w:lineRule="exact"/>
        <w:rPr>
          <w:rFonts w:ascii="Arial" w:cs="Arial" w:eastAsia="Arial" w:hAnsi="Arial"/>
          <w:sz w:val="16"/>
          <w:szCs w:val="16"/>
          <w:color w:val="auto"/>
        </w:rPr>
      </w:pPr>
    </w:p>
    <w:p>
      <w:pPr>
        <w:jc w:val="both"/>
        <w:ind w:left="-20" w:firstLine="1305"/>
        <w:spacing w:after="0" w:line="264" w:lineRule="auto"/>
        <w:tabs>
          <w:tab w:leader="none" w:pos="153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or any of its Subsidiaries for principal and interest payments or any other amounts Borrower owes the Lenders under the Loan Documents when due. Any such debits (or ACH activity) shall not constitute a set-off.</w:t>
      </w:r>
    </w:p>
    <w:p>
      <w:pPr>
        <w:spacing w:after="0" w:line="181" w:lineRule="exact"/>
        <w:rPr>
          <w:rFonts w:ascii="Arial" w:cs="Arial" w:eastAsia="Arial" w:hAnsi="Arial"/>
          <w:sz w:val="18"/>
          <w:szCs w:val="18"/>
          <w:color w:val="auto"/>
        </w:rPr>
      </w:pPr>
    </w:p>
    <w:p>
      <w:pPr>
        <w:jc w:val="both"/>
        <w:ind w:left="-20" w:firstLine="1305"/>
        <w:spacing w:after="0" w:line="272" w:lineRule="auto"/>
        <w:tabs>
          <w:tab w:leader="none" w:pos="153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quarterly in arrears on each Payment Date.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b w:val="1"/>
          <w:bCs w:val="1"/>
          <w:color w:val="auto"/>
        </w:rPr>
        <w:t xml:space="preserve">2.4 Fees. </w:t>
      </w:r>
      <w:r>
        <w:rPr>
          <w:rFonts w:ascii="Arial" w:cs="Arial" w:eastAsia="Arial" w:hAnsi="Arial"/>
          <w:sz w:val="18"/>
          <w:szCs w:val="18"/>
          <w:color w:val="auto"/>
        </w:rPr>
        <w:t>Borrower shall pay to Collateral Agent:</w:t>
      </w:r>
    </w:p>
    <w:p>
      <w:pPr>
        <w:spacing w:after="0" w:line="229" w:lineRule="exact"/>
        <w:rPr>
          <w:sz w:val="20"/>
          <w:szCs w:val="20"/>
          <w:color w:val="auto"/>
        </w:rPr>
      </w:pPr>
    </w:p>
    <w:p>
      <w:pPr>
        <w:ind w:left="1540" w:hanging="235"/>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The Facility Fee, which shall be due on the Effective Date;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Final Fee</w:t>
      </w:r>
      <w:r>
        <w:rPr>
          <w:rFonts w:ascii="Arial" w:cs="Arial" w:eastAsia="Arial" w:hAnsi="Arial"/>
          <w:sz w:val="16"/>
          <w:szCs w:val="16"/>
          <w:color w:val="auto"/>
        </w:rPr>
        <w:t>. The Final Fee, when due hereunder, to be shared among the Lenders in accordance with their respective Pro Rata Shares;</w:t>
      </w:r>
    </w:p>
    <w:p>
      <w:pPr>
        <w:spacing w:after="0" w:line="248" w:lineRule="exact"/>
        <w:rPr>
          <w:rFonts w:ascii="Arial" w:cs="Arial" w:eastAsia="Arial" w:hAnsi="Arial"/>
          <w:sz w:val="16"/>
          <w:szCs w:val="16"/>
          <w:color w:val="auto"/>
        </w:rPr>
      </w:pPr>
    </w:p>
    <w:p>
      <w:pPr>
        <w:ind w:left="1560" w:hanging="255"/>
        <w:spacing w:after="0"/>
        <w:tabs>
          <w:tab w:leader="none" w:pos="156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Prepayment Fee</w:t>
      </w:r>
      <w:r>
        <w:rPr>
          <w:rFonts w:ascii="Arial" w:cs="Arial" w:eastAsia="Arial" w:hAnsi="Arial"/>
          <w:sz w:val="16"/>
          <w:szCs w:val="16"/>
          <w:color w:val="auto"/>
        </w:rPr>
        <w:t>. The Prepayment Fee, when due hereunder, to be shared among the Lenders in accordance with their respective Pro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Rata Shares; and</w:t>
      </w:r>
    </w:p>
    <w:p>
      <w:pPr>
        <w:spacing w:after="0" w:line="211" w:lineRule="exact"/>
        <w:rPr>
          <w:sz w:val="20"/>
          <w:szCs w:val="20"/>
          <w:color w:val="auto"/>
        </w:rPr>
      </w:pPr>
    </w:p>
    <w:p>
      <w:pPr>
        <w:ind w:firstLine="1305"/>
        <w:spacing w:after="0" w:line="277" w:lineRule="auto"/>
        <w:tabs>
          <w:tab w:leader="none" w:pos="159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attorneys’ fees and expenses for due diligence, investigation, documentation and negotiation of this Agreement) incurred through and after the Effective Date, when due.</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2.5 Withholding. </w:t>
      </w:r>
      <w:r>
        <w:rPr>
          <w:rFonts w:ascii="Arial" w:cs="Arial" w:eastAsia="Arial" w:hAnsi="Arial"/>
          <w:sz w:val="17"/>
          <w:szCs w:val="17"/>
          <w:color w:val="auto"/>
        </w:rPr>
        <w:t>Payments received by the Collateral Agent or the Lenders from Borrower hereunder will be made free and clear of and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provided, that a Lender that shall have become a Lender pursuant to a Lender Transfer shall be entitled to receive only such additional amounts as such Lender’s assignor would have been entitled to receive pursuant to this Section 2.5.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2.5 shall survive the termination of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2.6 Revenue Based Payment.</w:t>
      </w:r>
    </w:p>
    <w:p>
      <w:pPr>
        <w:spacing w:after="0" w:line="229" w:lineRule="exact"/>
        <w:rPr>
          <w:sz w:val="20"/>
          <w:szCs w:val="20"/>
          <w:color w:val="auto"/>
        </w:rPr>
      </w:pPr>
    </w:p>
    <w:p>
      <w:pPr>
        <w:jc w:val="both"/>
        <w:ind w:firstLine="1953"/>
        <w:spacing w:after="0" w:line="270" w:lineRule="auto"/>
        <w:tabs>
          <w:tab w:leader="none" w:pos="2201" w:val="left"/>
        </w:tabs>
        <w:numPr>
          <w:ilvl w:val="2"/>
          <w:numId w:val="19"/>
        </w:numPr>
        <w:rPr>
          <w:rFonts w:ascii="Arial" w:cs="Arial" w:eastAsia="Arial" w:hAnsi="Arial"/>
          <w:sz w:val="17"/>
          <w:szCs w:val="17"/>
          <w:color w:val="auto"/>
        </w:rPr>
      </w:pPr>
      <w:r>
        <w:rPr>
          <w:rFonts w:ascii="Arial" w:cs="Arial" w:eastAsia="Arial" w:hAnsi="Arial"/>
          <w:sz w:val="17"/>
          <w:szCs w:val="17"/>
          <w:color w:val="auto"/>
        </w:rPr>
        <w:t>During the period commencing on the Effective Date until the Obligations are satisfied in full (other than inchoate indemnity obligations), Borrower promises to pay to each Lender according to its Pro Rata Share, an amount based on the percentage of the aggregate of Net Sales, Royalties and any other income or revenue recognized by Borrower and its Subsidiaries, on a consolidated basis, in accordance with GAAP (collectively, the “</w:t>
      </w:r>
      <w:r>
        <w:rPr>
          <w:rFonts w:ascii="Arial" w:cs="Arial" w:eastAsia="Arial" w:hAnsi="Arial"/>
          <w:sz w:val="17"/>
          <w:szCs w:val="17"/>
          <w:b w:val="1"/>
          <w:bCs w:val="1"/>
          <w:color w:val="auto"/>
        </w:rPr>
        <w:t>Aggregate Revenue</w:t>
      </w:r>
      <w:r>
        <w:rPr>
          <w:rFonts w:ascii="Arial" w:cs="Arial" w:eastAsia="Arial" w:hAnsi="Arial"/>
          <w:sz w:val="17"/>
          <w:szCs w:val="17"/>
          <w:color w:val="auto"/>
        </w:rPr>
        <w:t>”) in each fiscal quarter (the “</w:t>
      </w:r>
      <w:r>
        <w:rPr>
          <w:rFonts w:ascii="Arial" w:cs="Arial" w:eastAsia="Arial" w:hAnsi="Arial"/>
          <w:sz w:val="17"/>
          <w:szCs w:val="17"/>
          <w:b w:val="1"/>
          <w:bCs w:val="1"/>
          <w:color w:val="auto"/>
        </w:rPr>
        <w:t>Revenue-Based Payment</w:t>
      </w:r>
      <w:r>
        <w:rPr>
          <w:rFonts w:ascii="Arial" w:cs="Arial" w:eastAsia="Arial" w:hAnsi="Arial"/>
          <w:sz w:val="17"/>
          <w:szCs w:val="17"/>
          <w:color w:val="auto"/>
        </w:rPr>
        <w:t>”), which will be applied to the outstanding principal and interest amounts of the Term Loans according to each Lender’s Pro Rata Share in accordance with this Agreement (including Section 2.6(e)). The Revenue-Based Payment with respect to each fiscal quarter shall be payable on the Payment Date immediately following such fiscal quarter and, anything to the contrary in this Agreement, including this Section 2.6, notwithstanding, shall not exceed the applicable Amortization Cap in any such fiscal quarter. Commencing with the fiscal quarter immediately prior to the Effective Date (such calculations to be prorated for such fiscal quarter, if applicable, based on actual days elapsed between the Effective Date and the end of such fiscal quarter), the Revenue-Based Payment, subject to the immediately preceding sentence, with respect to each fiscal quarter shall be calculated as the difference between:</w:t>
      </w:r>
    </w:p>
    <w:p>
      <w:pPr>
        <w:spacing w:after="0" w:line="177" w:lineRule="exact"/>
        <w:rPr>
          <w:rFonts w:ascii="Arial" w:cs="Arial" w:eastAsia="Arial" w:hAnsi="Arial"/>
          <w:sz w:val="17"/>
          <w:szCs w:val="17"/>
          <w:color w:val="auto"/>
        </w:rPr>
      </w:pPr>
    </w:p>
    <w:p>
      <w:pPr>
        <w:ind w:firstLine="818"/>
        <w:spacing w:after="0" w:line="277" w:lineRule="auto"/>
        <w:tabs>
          <w:tab w:leader="none" w:pos="10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Revenue-Based Payments payable from January 1 of the fiscal year of which such fiscal quarter is part through the end of such fiscal quarter, calculated as the sum of:</w:t>
      </w:r>
    </w:p>
    <w:p>
      <w:pPr>
        <w:spacing w:after="0" w:line="170" w:lineRule="exact"/>
        <w:rPr>
          <w:rFonts w:ascii="Arial" w:cs="Arial" w:eastAsia="Arial" w:hAnsi="Arial"/>
          <w:sz w:val="18"/>
          <w:szCs w:val="18"/>
          <w:color w:val="auto"/>
        </w:rPr>
      </w:pPr>
    </w:p>
    <w:p>
      <w:pPr>
        <w:ind w:firstLine="1305"/>
        <w:spacing w:after="0" w:line="277" w:lineRule="auto"/>
        <w:tabs>
          <w:tab w:leader="none" w:pos="1599"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(1) twenty percent (20%) of Aggregate Revenue up to and including $10,000,000 in such fiscal year;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fifteen percent (15%) of Aggregate Revenue greater than $10,000,000;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ind w:firstLine="1305"/>
        <w:spacing w:after="0" w:line="277" w:lineRule="auto"/>
        <w:tabs>
          <w:tab w:leader="none" w:pos="1587" w:val="left"/>
        </w:tabs>
        <w:numPr>
          <w:ilvl w:val="2"/>
          <w:numId w:val="21"/>
        </w:numPr>
        <w:rPr>
          <w:rFonts w:ascii="Arial" w:cs="Arial" w:eastAsia="Arial" w:hAnsi="Arial"/>
          <w:sz w:val="18"/>
          <w:szCs w:val="18"/>
          <w:color w:val="auto"/>
        </w:rPr>
      </w:pPr>
      <w:r>
        <w:rPr>
          <w:rFonts w:ascii="Arial" w:cs="Arial" w:eastAsia="Arial" w:hAnsi="Arial"/>
          <w:sz w:val="18"/>
          <w:szCs w:val="18"/>
          <w:color w:val="auto"/>
        </w:rPr>
        <w:t>as it relates to any Payment Dates after the Borrower fails to satisfy the Revenue Threshold by the Threshold Date, fifty percent (50%) of Aggregate Revenue; and</w:t>
      </w:r>
    </w:p>
    <w:p>
      <w:pPr>
        <w:spacing w:after="0" w:line="170" w:lineRule="exact"/>
        <w:rPr>
          <w:rFonts w:ascii="Arial" w:cs="Arial" w:eastAsia="Arial" w:hAnsi="Arial"/>
          <w:sz w:val="18"/>
          <w:szCs w:val="18"/>
          <w:color w:val="auto"/>
        </w:rPr>
      </w:pPr>
    </w:p>
    <w:p>
      <w:pPr>
        <w:ind w:firstLine="818"/>
        <w:spacing w:after="0" w:line="342" w:lineRule="auto"/>
        <w:tabs>
          <w:tab w:leader="none" w:pos="1091"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amount of Revenue-Based Payments, if any, made with respect to prior Fiscal Quarters in such Fiscal Year; provided that the Revenue-Based Payment is payable solely upon Aggregate Revenue in a given Fiscal Year, and will not be calculated on a cumulative, year-over-year basis.</w:t>
      </w:r>
    </w:p>
    <w:p>
      <w:pPr>
        <w:spacing w:after="0" w:line="123" w:lineRule="exact"/>
        <w:rPr>
          <w:rFonts w:ascii="Arial" w:cs="Arial" w:eastAsia="Arial" w:hAnsi="Arial"/>
          <w:sz w:val="16"/>
          <w:szCs w:val="16"/>
          <w:color w:val="auto"/>
        </w:rPr>
      </w:pPr>
    </w:p>
    <w:p>
      <w:pPr>
        <w:jc w:val="both"/>
        <w:ind w:firstLine="1953"/>
        <w:spacing w:after="0" w:line="257" w:lineRule="auto"/>
        <w:tabs>
          <w:tab w:leader="none" w:pos="2191" w:val="left"/>
        </w:tabs>
        <w:numPr>
          <w:ilvl w:val="3"/>
          <w:numId w:val="22"/>
        </w:numPr>
        <w:rPr>
          <w:rFonts w:ascii="Arial" w:cs="Arial" w:eastAsia="Arial" w:hAnsi="Arial"/>
          <w:sz w:val="18"/>
          <w:szCs w:val="18"/>
          <w:color w:val="auto"/>
        </w:rPr>
      </w:pPr>
      <w:r>
        <w:rPr>
          <w:rFonts w:ascii="Arial" w:cs="Arial" w:eastAsia="Arial" w:hAnsi="Arial"/>
          <w:sz w:val="18"/>
          <w:szCs w:val="18"/>
          <w:color w:val="auto"/>
        </w:rPr>
        <w:t>In the event that Borrower makes any adjustment to Aggregate Revenue after it has been reported to Collateral Agent, and such adjustment results in an adjustment to the Revenue-Based Payment due to the Lenders pursuant to this Section, Borrower shall so notify Collateral Agent and such adjustment shall be captured, reported and reconciled with the next scheduled report and payment of Revenue-Based Payment hereunder. Notwithstanding the foregoing, Collateral Agent and Borrower shall discuss and agree on the amount of any such adjustment prior to it being given effect with respect to future Revenue-Based Payments.</w:t>
      </w:r>
    </w:p>
    <w:p>
      <w:pPr>
        <w:spacing w:after="0" w:line="188" w:lineRule="exact"/>
        <w:rPr>
          <w:rFonts w:ascii="Arial" w:cs="Arial" w:eastAsia="Arial" w:hAnsi="Arial"/>
          <w:sz w:val="18"/>
          <w:szCs w:val="18"/>
          <w:color w:val="auto"/>
        </w:rPr>
      </w:pPr>
    </w:p>
    <w:p>
      <w:pPr>
        <w:jc w:val="both"/>
        <w:ind w:firstLine="1953"/>
        <w:spacing w:after="0" w:line="297" w:lineRule="auto"/>
        <w:tabs>
          <w:tab w:leader="none" w:pos="2227" w:val="left"/>
        </w:tabs>
        <w:numPr>
          <w:ilvl w:val="3"/>
          <w:numId w:val="22"/>
        </w:numPr>
        <w:rPr>
          <w:rFonts w:ascii="Arial" w:cs="Arial" w:eastAsia="Arial" w:hAnsi="Arial"/>
          <w:sz w:val="16"/>
          <w:szCs w:val="16"/>
          <w:color w:val="auto"/>
        </w:rPr>
      </w:pPr>
      <w:r>
        <w:rPr>
          <w:rFonts w:ascii="Arial" w:cs="Arial" w:eastAsia="Arial" w:hAnsi="Arial"/>
          <w:sz w:val="16"/>
          <w:szCs w:val="16"/>
          <w:color w:val="auto"/>
        </w:rPr>
        <w:t>Notwithstanding anything herein to the contrary, if Aggregate Revenue is not sufficient for Borrower to pay any required interest or other amount due under this Agreement or any other Loan Document pursuant to Revenue-Based Payments under this Section 2.6, Borrower shall not be excused from making such payment and shall remain fully and unconditionally obligated to make such payment under this Agreement or any other Loan Document. Until such payment is made (and for the avoidance of doubt, such payments shall not be waived or excused by the following) an amount equal to such payment shall be added to the principal outstanding hereunder and shall accrue interest pursuant to Section 2.3.</w:t>
      </w:r>
    </w:p>
    <w:p>
      <w:pPr>
        <w:spacing w:after="0" w:line="158" w:lineRule="exact"/>
        <w:rPr>
          <w:rFonts w:ascii="Arial" w:cs="Arial" w:eastAsia="Arial" w:hAnsi="Arial"/>
          <w:sz w:val="16"/>
          <w:szCs w:val="16"/>
          <w:color w:val="auto"/>
        </w:rPr>
      </w:pPr>
    </w:p>
    <w:p>
      <w:pPr>
        <w:ind w:left="2200" w:hanging="247"/>
        <w:spacing w:after="0"/>
        <w:tabs>
          <w:tab w:leader="none" w:pos="2200" w:val="left"/>
        </w:tabs>
        <w:numPr>
          <w:ilvl w:val="3"/>
          <w:numId w:val="22"/>
        </w:numPr>
        <w:rPr>
          <w:rFonts w:ascii="Arial" w:cs="Arial" w:eastAsia="Arial" w:hAnsi="Arial"/>
          <w:sz w:val="18"/>
          <w:szCs w:val="18"/>
          <w:color w:val="auto"/>
        </w:rPr>
      </w:pPr>
      <w:r>
        <w:rPr>
          <w:rFonts w:ascii="Arial" w:cs="Arial" w:eastAsia="Arial" w:hAnsi="Arial"/>
          <w:sz w:val="18"/>
          <w:szCs w:val="18"/>
          <w:color w:val="auto"/>
        </w:rPr>
        <w:t>Each Revenue-Based Payment on each Payment Date will be applied in the following priority:</w:t>
      </w:r>
    </w:p>
    <w:p>
      <w:pPr>
        <w:spacing w:after="0" w:line="225" w:lineRule="exact"/>
        <w:rPr>
          <w:rFonts w:ascii="Arial" w:cs="Arial" w:eastAsia="Arial" w:hAnsi="Arial"/>
          <w:sz w:val="18"/>
          <w:szCs w:val="18"/>
          <w:color w:val="auto"/>
        </w:rPr>
      </w:pPr>
    </w:p>
    <w:p>
      <w:pPr>
        <w:jc w:val="both"/>
        <w:ind w:left="660" w:firstLine="1941"/>
        <w:spacing w:after="0" w:line="264" w:lineRule="auto"/>
        <w:tabs>
          <w:tab w:leader="none" w:pos="2853" w:val="left"/>
        </w:tabs>
        <w:numPr>
          <w:ilvl w:val="4"/>
          <w:numId w:val="22"/>
        </w:numPr>
        <w:rPr>
          <w:rFonts w:ascii="Arial" w:cs="Arial" w:eastAsia="Arial" w:hAnsi="Arial"/>
          <w:sz w:val="18"/>
          <w:szCs w:val="18"/>
          <w:color w:val="auto"/>
        </w:rPr>
      </w:pPr>
      <w:r>
        <w:rPr>
          <w:rFonts w:ascii="Arial" w:cs="Arial" w:eastAsia="Arial" w:hAnsi="Arial"/>
          <w:sz w:val="18"/>
          <w:szCs w:val="18"/>
          <w:color w:val="auto"/>
        </w:rPr>
        <w:t>FIRST, to the payment of all Lenders’ Expenses, fees, costs, expenses and indemnities due and owing to Agent pursuant to the Loan Documents, and any other Obligations owing to Agent in respect of sums advanced by Agent to preserve or protect the Collateral or to preserve or protect its security interest in the Collateral;</w:t>
      </w:r>
    </w:p>
    <w:p>
      <w:pPr>
        <w:spacing w:after="0" w:line="181" w:lineRule="exact"/>
        <w:rPr>
          <w:rFonts w:ascii="Arial" w:cs="Arial" w:eastAsia="Arial" w:hAnsi="Arial"/>
          <w:sz w:val="18"/>
          <w:szCs w:val="18"/>
          <w:color w:val="auto"/>
        </w:rPr>
      </w:pPr>
    </w:p>
    <w:p>
      <w:pPr>
        <w:jc w:val="both"/>
        <w:ind w:left="660" w:firstLine="1941"/>
        <w:spacing w:after="0" w:line="264" w:lineRule="auto"/>
        <w:tabs>
          <w:tab w:leader="none" w:pos="2879" w:val="left"/>
        </w:tabs>
        <w:numPr>
          <w:ilvl w:val="4"/>
          <w:numId w:val="22"/>
        </w:numPr>
        <w:rPr>
          <w:rFonts w:ascii="Arial" w:cs="Arial" w:eastAsia="Arial" w:hAnsi="Arial"/>
          <w:sz w:val="18"/>
          <w:szCs w:val="18"/>
          <w:color w:val="auto"/>
        </w:rPr>
      </w:pPr>
      <w:r>
        <w:rPr>
          <w:rFonts w:ascii="Arial" w:cs="Arial" w:eastAsia="Arial" w:hAnsi="Arial"/>
          <w:sz w:val="18"/>
          <w:szCs w:val="18"/>
          <w:color w:val="auto"/>
        </w:rPr>
        <w:t>SECOND, to the payment of all Lenders’ Expenses, fees, costs, expenses and indemnities due and owing to Lenders in respect of the Term Loans and Term Loan Commitments pursuant to the Loan Documents, pro rata based on each Lender’s respective Pro Rata Share;</w:t>
      </w:r>
    </w:p>
    <w:p>
      <w:pPr>
        <w:spacing w:after="0" w:line="181" w:lineRule="exact"/>
        <w:rPr>
          <w:rFonts w:ascii="Arial" w:cs="Arial" w:eastAsia="Arial" w:hAnsi="Arial"/>
          <w:sz w:val="18"/>
          <w:szCs w:val="18"/>
          <w:color w:val="auto"/>
        </w:rPr>
      </w:pPr>
    </w:p>
    <w:p>
      <w:pPr>
        <w:ind w:left="660" w:firstLine="1941"/>
        <w:spacing w:after="0" w:line="277" w:lineRule="auto"/>
        <w:tabs>
          <w:tab w:leader="none" w:pos="2922" w:val="left"/>
        </w:tabs>
        <w:numPr>
          <w:ilvl w:val="4"/>
          <w:numId w:val="22"/>
        </w:numPr>
        <w:rPr>
          <w:rFonts w:ascii="Arial" w:cs="Arial" w:eastAsia="Arial" w:hAnsi="Arial"/>
          <w:sz w:val="18"/>
          <w:szCs w:val="18"/>
          <w:color w:val="auto"/>
        </w:rPr>
      </w:pPr>
      <w:r>
        <w:rPr>
          <w:rFonts w:ascii="Arial" w:cs="Arial" w:eastAsia="Arial" w:hAnsi="Arial"/>
          <w:sz w:val="18"/>
          <w:szCs w:val="18"/>
          <w:color w:val="auto"/>
        </w:rPr>
        <w:t>THIRD, to the payment of all accrued but unpaid interest in respect of the Term Loans as of such Payment Date, pro rata based on each Lender’s Pro Rata Share;</w:t>
      </w:r>
    </w:p>
    <w:p>
      <w:pPr>
        <w:spacing w:after="0" w:line="170" w:lineRule="exact"/>
        <w:rPr>
          <w:rFonts w:ascii="Arial" w:cs="Arial" w:eastAsia="Arial" w:hAnsi="Arial"/>
          <w:sz w:val="18"/>
          <w:szCs w:val="18"/>
          <w:color w:val="auto"/>
        </w:rPr>
      </w:pPr>
    </w:p>
    <w:p>
      <w:pPr>
        <w:ind w:left="660" w:right="20" w:firstLine="1941"/>
        <w:spacing w:after="0" w:line="277" w:lineRule="auto"/>
        <w:tabs>
          <w:tab w:leader="none" w:pos="2912" w:val="left"/>
        </w:tabs>
        <w:numPr>
          <w:ilvl w:val="4"/>
          <w:numId w:val="22"/>
        </w:numPr>
        <w:rPr>
          <w:rFonts w:ascii="Arial" w:cs="Arial" w:eastAsia="Arial" w:hAnsi="Arial"/>
          <w:sz w:val="18"/>
          <w:szCs w:val="18"/>
          <w:color w:val="auto"/>
        </w:rPr>
      </w:pPr>
      <w:r>
        <w:rPr>
          <w:rFonts w:ascii="Arial" w:cs="Arial" w:eastAsia="Arial" w:hAnsi="Arial"/>
          <w:sz w:val="18"/>
          <w:szCs w:val="18"/>
          <w:color w:val="auto"/>
        </w:rPr>
        <w:t>FOURTH, on and after the Amortization Date and subject to the Amortization Cap, to the payment of principal of the Term Loans, pro rata based on each Lender’s Pro Rata Share; and</w:t>
      </w:r>
    </w:p>
    <w:p>
      <w:pPr>
        <w:spacing w:after="0" w:line="170" w:lineRule="exact"/>
        <w:rPr>
          <w:rFonts w:ascii="Arial" w:cs="Arial" w:eastAsia="Arial" w:hAnsi="Arial"/>
          <w:sz w:val="18"/>
          <w:szCs w:val="18"/>
          <w:color w:val="auto"/>
        </w:rPr>
      </w:pPr>
    </w:p>
    <w:p>
      <w:pPr>
        <w:ind w:left="2860" w:hanging="259"/>
        <w:spacing w:after="0"/>
        <w:tabs>
          <w:tab w:leader="none" w:pos="2860" w:val="left"/>
        </w:tabs>
        <w:numPr>
          <w:ilvl w:val="4"/>
          <w:numId w:val="22"/>
        </w:numPr>
        <w:rPr>
          <w:rFonts w:ascii="Arial" w:cs="Arial" w:eastAsia="Arial" w:hAnsi="Arial"/>
          <w:sz w:val="18"/>
          <w:szCs w:val="18"/>
          <w:color w:val="auto"/>
        </w:rPr>
      </w:pPr>
      <w:r>
        <w:rPr>
          <w:rFonts w:ascii="Arial" w:cs="Arial" w:eastAsia="Arial" w:hAnsi="Arial"/>
          <w:sz w:val="18"/>
          <w:szCs w:val="18"/>
          <w:color w:val="auto"/>
        </w:rPr>
        <w:t>FIFTH, all remaining amounts shall be retained by Borrower.</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3.1 Conditions Precedent to Initial Term Loan. </w:t>
      </w:r>
      <w:r>
        <w:rPr>
          <w:rFonts w:ascii="Arial" w:cs="Arial" w:eastAsia="Arial" w:hAnsi="Arial"/>
          <w:sz w:val="18"/>
          <w:szCs w:val="18"/>
          <w:color w:val="auto"/>
        </w:rPr>
        <w:t>Each Lender’s obligation to make a Term Loan is subject to the condition precedent that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each Lender shall consent to or shall have received, in form and substance reasonably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5640" w:right="3040" w:hanging="4335"/>
        <w:spacing w:after="0" w:line="528" w:lineRule="auto"/>
        <w:tabs>
          <w:tab w:leader="none" w:pos="15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left="1560" w:hanging="255"/>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25" w:lineRule="exact"/>
        <w:rPr>
          <w:rFonts w:ascii="Arial" w:cs="Arial" w:eastAsia="Arial" w:hAnsi="Arial"/>
          <w:sz w:val="18"/>
          <w:szCs w:val="18"/>
          <w:color w:val="auto"/>
        </w:rPr>
      </w:pPr>
    </w:p>
    <w:p>
      <w:pPr>
        <w:ind w:firstLine="1305"/>
        <w:spacing w:after="0" w:line="277" w:lineRule="auto"/>
        <w:tabs>
          <w:tab w:leader="none" w:pos="15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duly executed original Control Agreements with respect to any Collateral Accounts maintained by Borrower or any of its Subsidiaries, other than an Excluded Account;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Arial" w:cs="Arial" w:eastAsia="Arial" w:hAnsi="Arial"/>
          <w:sz w:val="18"/>
          <w:szCs w:val="18"/>
          <w:b w:val="1"/>
          <w:bCs w:val="1"/>
          <w:color w:val="auto"/>
        </w:rPr>
        <w:t>;</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copy of resolutions of the governing body for Borrower evidencing approval of the Term Loans and other transactions evidenced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Loan Documents;</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15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duly executed original officer’s certificates for Borrower and each Subsidiary that is a party to the Loan Documents certifying as to (i) the incumbency of each Responsible Officer executing each Loan Document and (ii) the documents delivered pursuant to Section 3.1(d) and 3.1(e), in a form reasonably acceptable to Collateral Agent and the Lenders;</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5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spacing w:after="0" w:line="165" w:lineRule="exact"/>
        <w:rPr>
          <w:rFonts w:ascii="Arial" w:cs="Arial" w:eastAsia="Arial" w:hAnsi="Arial"/>
          <w:sz w:val="17"/>
          <w:szCs w:val="17"/>
          <w:color w:val="auto"/>
        </w:rPr>
      </w:pPr>
    </w:p>
    <w:p>
      <w:pPr>
        <w:ind w:left="1560" w:hanging="255"/>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5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pacing w:after="0" w:line="181" w:lineRule="exact"/>
        <w:rPr>
          <w:rFonts w:ascii="Arial" w:cs="Arial" w:eastAsia="Arial" w:hAnsi="Arial"/>
          <w:sz w:val="18"/>
          <w:szCs w:val="18"/>
          <w:color w:val="auto"/>
        </w:rPr>
      </w:pPr>
    </w:p>
    <w:p>
      <w:pPr>
        <w:ind w:left="1520" w:hanging="215"/>
        <w:spacing w:after="0"/>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copy of any applicable Investors Rights Agreement and any amendments thereto;</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payoff letter executed by IMMY Funding LLC;</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subordination agreement with Essex Capital Corporation in form and substance satisfactory to Collateral Agent and the Lenders;</w:t>
      </w:r>
    </w:p>
    <w:p>
      <w:pPr>
        <w:spacing w:after="0" w:line="236" w:lineRule="exact"/>
        <w:rPr>
          <w:rFonts w:ascii="Arial" w:cs="Arial" w:eastAsia="Arial" w:hAnsi="Arial"/>
          <w:sz w:val="17"/>
          <w:szCs w:val="17"/>
          <w:color w:val="auto"/>
        </w:rPr>
      </w:pPr>
    </w:p>
    <w:p>
      <w:pPr>
        <w:ind w:left="1600" w:hanging="295"/>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 of the Facility Fee and Lenders’ Expenses then due as specified in Section 2.4 hereof.</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3.2 Conditions Precedent to all Term Loans. </w:t>
      </w:r>
      <w:r>
        <w:rPr>
          <w:rFonts w:ascii="Arial" w:cs="Arial" w:eastAsia="Arial" w:hAnsi="Arial"/>
          <w:sz w:val="18"/>
          <w:szCs w:val="18"/>
          <w:color w:val="auto"/>
        </w:rPr>
        <w:t>The obligation of each Lender to extend each Term Loan, including the initial Term Loan, 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following conditions precedent:</w:t>
      </w:r>
    </w:p>
    <w:p>
      <w:pPr>
        <w:spacing w:after="0" w:line="166" w:lineRule="exact"/>
        <w:rPr>
          <w:sz w:val="20"/>
          <w:szCs w:val="20"/>
          <w:color w:val="auto"/>
        </w:rPr>
      </w:pPr>
    </w:p>
    <w:p>
      <w:pPr>
        <w:ind w:left="1540" w:hanging="235"/>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receipt by Collateral Agent of an executed Loan Payment Request Form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5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representations and warranties in Section 5 hereof shall be true, accurate and complete in all material respects on the Funding Date of each Term Loan;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spacing w:after="0" w:line="188" w:lineRule="exact"/>
        <w:rPr>
          <w:rFonts w:ascii="Arial" w:cs="Arial" w:eastAsia="Arial" w:hAnsi="Arial"/>
          <w:sz w:val="18"/>
          <w:szCs w:val="18"/>
          <w:color w:val="auto"/>
        </w:rPr>
      </w:pPr>
    </w:p>
    <w:p>
      <w:pPr>
        <w:ind w:left="1540" w:hanging="235"/>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such Lender’s reasonable discretion, there has not been any Material Adverse Change;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Event of Default or event that with the passage of time would result in an Event of Default, shall exist;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ind w:left="1300"/>
        <w:spacing w:after="0"/>
        <w:rPr>
          <w:sz w:val="20"/>
          <w:szCs w:val="20"/>
          <w:color w:val="auto"/>
        </w:rPr>
      </w:pPr>
      <w:r>
        <w:rPr>
          <w:rFonts w:ascii="Arial" w:cs="Arial" w:eastAsia="Arial" w:hAnsi="Arial"/>
          <w:sz w:val="18"/>
          <w:szCs w:val="18"/>
          <w:color w:val="auto"/>
        </w:rPr>
        <w:t>(e) payment of the fees and Lenders’ Expenses then due as specified in Section 2.5 hereof.</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3.3 Covenant to Deliver. </w:t>
      </w:r>
      <w:r>
        <w:rPr>
          <w:rFonts w:ascii="Arial" w:cs="Arial" w:eastAsia="Arial" w:hAnsi="Arial"/>
          <w:sz w:val="18"/>
          <w:szCs w:val="18"/>
          <w:color w:val="auto"/>
        </w:rPr>
        <w:t>Borrower agrees to deliver to Collateral Agent and the Lenders each item required to be delivered to Collateral Agent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as a condition precedent to any Term Loan. Borrower expressly agrees that a Term Loan made prior to the receipt by Collateral Agent or any Lender of any such item shall not constitute a waiver by Collateral Agent or any Lender of Borrower’s obligation to deliver such item, and any such Term Loan in the absence of a required item shall be made in each Lender’s sole discretion.</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3.4 Procedures for Borrowing. </w:t>
      </w:r>
      <w:r>
        <w:rPr>
          <w:rFonts w:ascii="Arial" w:cs="Arial" w:eastAsia="Arial" w:hAnsi="Arial"/>
          <w:sz w:val="17"/>
          <w:szCs w:val="17"/>
          <w:color w:val="auto"/>
        </w:rPr>
        <w:t>Subject to the prior satisfaction of all other applicable conditions to the making of a Term Loan set forth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obtain a Term Loan (other than the Term Loan funded on the Effective Date), Borrower shall notify the Lenders (which notice shall be irrevocable) by electronic mail, facsimile, or telephone by 12:00 noon New York City time twelve (12) Business Days prior to the date the Term Loan is to be made. Together with any such electronic, facsimile or telephonic notification, Borrower shall deliver to Collateral Agent by electronic mail or facsimile a completed Loan Payment Request Form executed by a Responsible Officer or his or her designee. The Collateral Agent may rely on any telephone notice given by a person whom Collateral Agent reasonably believes is a Responsible Officer or designee.</w:t>
      </w:r>
    </w:p>
    <w:p>
      <w:pPr>
        <w:spacing w:after="0" w:line="174"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4.1 Grant of Security Interest. </w:t>
      </w:r>
      <w:r>
        <w:rPr>
          <w:rFonts w:ascii="Arial" w:cs="Arial" w:eastAsia="Arial" w:hAnsi="Arial"/>
          <w:sz w:val="16"/>
          <w:szCs w:val="16"/>
          <w:color w:val="auto"/>
        </w:rPr>
        <w:t>Borrower hereby grants Collateral Agent, for the ratable benefit of the Lenders, to secure the payment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If Borrower shall acquire a commercial tort claim (as defined in the Code), Borrower shall grant to Collateral Agent, for the ratable benefit of the Lenders, a security interest therein and in the proceeds thereof, all upon the terms of this Agreement, with such writing to be in form and substance reasonably satisfactory to Collateral Agent.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this Agreement is terminated, Collateral Agent’s Lien in the Collateral shall continue until the Obligations (other than inchoate contingent obligations) are repaid in full in cash. Upon payment in full in cash of the Obligations (other than inchoate contingent obligations) and at such time as the Lenders’ obligation to extend Term Loans has terminated, Collateral Agent shall, at the sole cost and expense of Borrower, release its Liens in the Collateral and all rights therein shall revert to Borrower.</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4.2 Authorization to File Financing Statements. </w:t>
      </w:r>
      <w:r>
        <w:rPr>
          <w:rFonts w:ascii="Arial" w:cs="Arial" w:eastAsia="Arial" w:hAnsi="Arial"/>
          <w:sz w:val="18"/>
          <w:szCs w:val="18"/>
          <w:color w:val="auto"/>
        </w:rPr>
        <w:t>Borrower hereby authorizes Collateral Agent to file financing statements or take any other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perfect Collateral Agent’s security interests in the Collateral, without notice to Borrower, with all appropriate jurisdictions to perfect or protect Collateral Agent’s interest or rights under the Loan Documents.</w:t>
      </w:r>
    </w:p>
    <w:p>
      <w:pPr>
        <w:spacing w:after="0" w:line="176"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and each of its Subsidiaries is duly existing and in good standing as a</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and any updates or supplements thereto on or before the Effective Date (each a “</w:t>
      </w:r>
      <w:r>
        <w:rPr>
          <w:rFonts w:ascii="Arial" w:cs="Arial" w:eastAsia="Arial" w:hAnsi="Arial"/>
          <w:sz w:val="17"/>
          <w:szCs w:val="17"/>
          <w:b w:val="1"/>
          <w:bCs w:val="1"/>
          <w:color w:val="auto"/>
        </w:rPr>
        <w:t>Perfection</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Borrower represents and warrants that all the information set forth on the Perfection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pertaining to Borrower and each of its Subsidiaries is accurate and complete.</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b w:val="1"/>
          <w:bCs w:val="1"/>
          <w:color w:val="auto"/>
        </w:rPr>
        <w:t>5.2 Collateral.</w:t>
      </w:r>
    </w:p>
    <w:p>
      <w:pPr>
        <w:spacing w:after="0" w:line="229" w:lineRule="exact"/>
        <w:rPr>
          <w:sz w:val="20"/>
          <w:szCs w:val="20"/>
          <w:color w:val="auto"/>
        </w:rPr>
      </w:pPr>
    </w:p>
    <w:p>
      <w:pPr>
        <w:jc w:val="both"/>
        <w:ind w:firstLine="1305"/>
        <w:spacing w:after="0" w:line="273" w:lineRule="auto"/>
        <w:tabs>
          <w:tab w:leader="none" w:pos="1546" w:val="left"/>
        </w:tabs>
        <w:numPr>
          <w:ilvl w:val="0"/>
          <w:numId w:val="29"/>
        </w:numPr>
        <w:rPr>
          <w:rFonts w:ascii="Arial" w:cs="Arial" w:eastAsia="Arial" w:hAnsi="Arial"/>
          <w:sz w:val="17"/>
          <w:szCs w:val="17"/>
          <w:color w:val="auto"/>
        </w:rPr>
      </w:pPr>
      <w:r>
        <w:rPr>
          <w:rFonts w:ascii="Arial" w:cs="Arial" w:eastAsia="Arial" w:hAnsi="Arial"/>
          <w:sz w:val="17"/>
          <w:szCs w:val="17"/>
          <w:color w:val="auto"/>
        </w:rPr>
        <w:t>Borrower and each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Borrower or such Subsidiary has given Collateral Agent notice and taken such actions as are necessary to give Collateral Agent a perfected security interest therein (other than Excluded Accounts). The Accounts are bona fide, existing obligations of the Account Debtors.</w:t>
      </w:r>
    </w:p>
    <w:p>
      <w:pPr>
        <w:spacing w:after="0" w:line="178" w:lineRule="exact"/>
        <w:rPr>
          <w:rFonts w:ascii="Arial" w:cs="Arial" w:eastAsia="Arial" w:hAnsi="Arial"/>
          <w:sz w:val="17"/>
          <w:szCs w:val="17"/>
          <w:color w:val="auto"/>
        </w:rPr>
      </w:pPr>
    </w:p>
    <w:p>
      <w:pPr>
        <w:ind w:right="20" w:firstLine="1305"/>
        <w:spacing w:after="0" w:line="277" w:lineRule="auto"/>
        <w:tabs>
          <w:tab w:leader="none" w:pos="15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security interest granted herein is and shall at all times continue to be a first priority perfected security interest in the Collateral, subject only to Permitted Liens that are permitted by the terms of this Agreement to have priority to Collateral Agent’s Lien.</w:t>
      </w:r>
    </w:p>
    <w:p>
      <w:pPr>
        <w:spacing w:after="0" w:line="170" w:lineRule="exact"/>
        <w:rPr>
          <w:rFonts w:ascii="Arial" w:cs="Arial" w:eastAsia="Arial" w:hAnsi="Arial"/>
          <w:sz w:val="18"/>
          <w:szCs w:val="18"/>
          <w:color w:val="auto"/>
        </w:rPr>
      </w:pPr>
    </w:p>
    <w:p>
      <w:pPr>
        <w:ind w:firstLine="1305"/>
        <w:spacing w:after="0" w:line="277" w:lineRule="auto"/>
        <w:tabs>
          <w:tab w:leader="none" w:pos="15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the Effective Date, and except as disclosed on the Perfection Certificate (i) the Collateral is not in the possession of any third party bailee, and (ii) no such third party bailee possesses components of the Collateral in excess of Fifty Thousand Dollars ($50,000.00).</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Inventory and Equipment is in all material respects of good and marketable quality, free from material defects.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5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5.3 Litigation. </w:t>
      </w:r>
      <w:r>
        <w:rPr>
          <w:rFonts w:ascii="Arial" w:cs="Arial" w:eastAsia="Arial" w:hAnsi="Arial"/>
          <w:sz w:val="18"/>
          <w:szCs w:val="18"/>
          <w:color w:val="auto"/>
        </w:rPr>
        <w:t>Except as disclosed on the Perfection Certificate, there are no actions, suits, investigations, or proceedings pending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the Responsible Officers, threatened in writing by or against Borrower or any of its Subsidiaries involving more than Two Hundred Fifty Thousand Dollars ($250,000.00) or a claim for infringement of any intellectual property. Except as disclosed on the Perfection Certificate, there are no actions, suits, investigations or proceedings pending or, to the Knowledge of the Responsible Officers, threatened in writing by or against Borrower or any Subsidiaries involving challenges to the validity of the Intellectual Property.</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5.4 No Material Adverse Change; Financial Statements. </w:t>
      </w:r>
      <w:r>
        <w:rPr>
          <w:rFonts w:ascii="Arial" w:cs="Arial" w:eastAsia="Arial" w:hAnsi="Arial"/>
          <w:sz w:val="17"/>
          <w:szCs w:val="17"/>
          <w:color w:val="auto"/>
        </w:rPr>
        <w:t>All consolidated financial statements for Borrower and its Subsidiaries, delivered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fairly present, in conformity with GAAP, in all material respects the consolidated financial condition of Borrower and its Subsidiaries, and the consolidated results of operations of Borrower and its Subsidiaries. Since December 31, 2016, there has not been a Material Adverse Change.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5.5 Solvency. </w:t>
      </w:r>
      <w:r>
        <w:rPr>
          <w:rFonts w:ascii="Arial" w:cs="Arial" w:eastAsia="Arial" w:hAnsi="Arial"/>
          <w:sz w:val="18"/>
          <w:szCs w:val="18"/>
          <w:color w:val="auto"/>
        </w:rPr>
        <w:t>Borrower and each of its Subsidiaries, when taken as a whole, is Solvent.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5.6 Regulatory Compliance. </w:t>
      </w:r>
      <w:r>
        <w:rPr>
          <w:rFonts w:ascii="Arial" w:cs="Arial" w:eastAsia="Arial" w:hAnsi="Arial"/>
          <w:sz w:val="18"/>
          <w:szCs w:val="18"/>
          <w:color w:val="auto"/>
        </w:rPr>
        <w:t>Neither Borrower nor any of its Subsidiaries is an “investment company” or a company “controlled”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except where such failure to be in material compliance could not reasonably be expected to have a Material Adverse Change. Borrower and each of its Subsidiaries has obtained all consents, approvals and authorizations of, made all declarations or filings with, and given all notices to, all Governmental Authorities that are necessary to continue their respective businesses as currently conducted in the ordinary course of business.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both"/>
        <w:ind w:firstLine="648"/>
        <w:spacing w:after="0" w:line="254"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5.7 Investments. </w:t>
      </w:r>
      <w:r>
        <w:rPr>
          <w:rFonts w:ascii="Arial" w:cs="Arial" w:eastAsia="Arial" w:hAnsi="Arial"/>
          <w:sz w:val="18"/>
          <w:szCs w:val="18"/>
          <w:color w:val="auto"/>
        </w:rPr>
        <w:t>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5.8 Tax Returns and Payments; Pension Contributions. </w:t>
      </w:r>
      <w:r>
        <w:rPr>
          <w:rFonts w:ascii="Arial" w:cs="Arial" w:eastAsia="Arial" w:hAnsi="Arial"/>
          <w:sz w:val="17"/>
          <w:szCs w:val="17"/>
          <w:color w:val="auto"/>
        </w:rPr>
        <w:t>Borrower and each of its Subsidiaries has timely filed all required tax returns and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and Borrower and each of its Subsidiaries, has timely paid all foreign, federal, state, and local taxes, assessments, deposits and contributions owed by Borrower and such Subsidiaries in an amount greater than Fifty Thousand Dollars ($50,000), in all jurisdictions in which Borrower or any such Subsidiary is subject to taxes, including the United States, unless such taxes are being contested in accordance with the next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and Lenders of the commencement of, and any material development in, the proceeding; and (c) maintains adequate reserves or other appropriate provisions on the books of such Borrower or Subsidiary, as applicable, in accordance with GAAP and which do not involve, in the reasonable judgment of the Lenders, any risk of the sale, forfeiture or loss of any of the Collateral. Neither Borrower nor any of its Subsidiaries is aware of any claims or adjustments proposed for any of Borrower’s or such Subsidiaries’, prior tax years which could result in additional taxes becoming due and payable by Borrower or its Subsidiaries in an amount greater than Fifty Thousand ($50,000) Dollars.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material liability of Borrower or its Subsidiaries, including any material liability to the Pension Benefit Guaranty Corporation or its successors or any other Governmental Authority.</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5.9 Use of Proceeds. </w:t>
      </w:r>
      <w:r>
        <w:rPr>
          <w:rFonts w:ascii="Arial" w:cs="Arial" w:eastAsia="Arial" w:hAnsi="Arial"/>
          <w:sz w:val="18"/>
          <w:szCs w:val="18"/>
          <w:color w:val="auto"/>
        </w:rPr>
        <w:t>Borrower shall use the proceeds of the Term Loans solely as working capital and to fund its general business requirements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this Agreement, and not for personal, family, household or agricultural purposes.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5.10 Full Disclosure. </w:t>
      </w:r>
      <w:r>
        <w:rPr>
          <w:rFonts w:ascii="Arial" w:cs="Arial" w:eastAsia="Arial" w:hAnsi="Arial"/>
          <w:sz w:val="17"/>
          <w:szCs w:val="17"/>
          <w:color w:val="auto"/>
        </w:rPr>
        <w:t>No written representation, warranty or other statement of Borrower or any of its Subsidiaries in any certificate 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ind w:left="172" w:hanging="172"/>
        <w:spacing w:after="0"/>
        <w:tabs>
          <w:tab w:leader="none" w:pos="17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Borrower shall, and shall cause each of its Subsidiaries to, do all of the following:</w:t>
      </w:r>
    </w:p>
    <w:p>
      <w:pPr>
        <w:spacing w:after="0" w:line="221"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6.1 Government Compliance.</w:t>
      </w:r>
    </w:p>
    <w:p>
      <w:pPr>
        <w:spacing w:after="0" w:line="229" w:lineRule="exact"/>
        <w:rPr>
          <w:sz w:val="20"/>
          <w:szCs w:val="20"/>
          <w:color w:val="auto"/>
        </w:rPr>
      </w:pPr>
    </w:p>
    <w:p>
      <w:pPr>
        <w:jc w:val="both"/>
        <w:ind w:left="-8" w:firstLine="1305"/>
        <w:spacing w:after="0" w:line="259" w:lineRule="auto"/>
        <w:tabs>
          <w:tab w:leader="none" w:pos="15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6" w:lineRule="exact"/>
        <w:rPr>
          <w:rFonts w:ascii="Arial" w:cs="Arial" w:eastAsia="Arial" w:hAnsi="Arial"/>
          <w:sz w:val="18"/>
          <w:szCs w:val="18"/>
          <w:color w:val="auto"/>
        </w:rPr>
      </w:pPr>
    </w:p>
    <w:p>
      <w:pPr>
        <w:jc w:val="both"/>
        <w:ind w:left="-8" w:firstLine="1305"/>
        <w:spacing w:after="0" w:line="264" w:lineRule="auto"/>
        <w:tabs>
          <w:tab w:leader="none" w:pos="15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w:t>
      </w:r>
    </w:p>
    <w:p>
      <w:pPr>
        <w:spacing w:after="0" w:line="177"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6.2 Financial Statements, Reports, Certificates; Notices.</w:t>
      </w:r>
    </w:p>
    <w:p>
      <w:pPr>
        <w:spacing w:after="0" w:line="229" w:lineRule="exact"/>
        <w:rPr>
          <w:sz w:val="20"/>
          <w:szCs w:val="20"/>
          <w:color w:val="auto"/>
        </w:rPr>
      </w:pPr>
    </w:p>
    <w:p>
      <w:pPr>
        <w:ind w:left="1532" w:hanging="235"/>
        <w:spacing w:after="0"/>
        <w:tabs>
          <w:tab w:leader="none" w:pos="15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Deliver to Collateral Agent and each Lender:</w:t>
      </w:r>
    </w:p>
    <w:p>
      <w:pPr>
        <w:spacing w:after="0" w:line="225" w:lineRule="exact"/>
        <w:rPr>
          <w:rFonts w:ascii="Arial" w:cs="Arial" w:eastAsia="Arial" w:hAnsi="Arial"/>
          <w:sz w:val="18"/>
          <w:szCs w:val="18"/>
          <w:color w:val="auto"/>
        </w:rPr>
      </w:pPr>
    </w:p>
    <w:p>
      <w:pPr>
        <w:jc w:val="both"/>
        <w:ind w:left="-8" w:firstLine="2196"/>
        <w:spacing w:after="0" w:line="264" w:lineRule="auto"/>
        <w:tabs>
          <w:tab w:leader="none" w:pos="23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and consolidating income statement covering the consolidated operations of Borrower and its Subsidiaries for such month certified by a Responsible Officer and in a form reasonably acceptable to Collateral Agent;</w:t>
      </w:r>
    </w:p>
    <w:p>
      <w:pPr>
        <w:spacing w:after="0" w:line="181" w:lineRule="exact"/>
        <w:rPr>
          <w:rFonts w:ascii="Arial" w:cs="Arial" w:eastAsia="Arial" w:hAnsi="Arial"/>
          <w:sz w:val="18"/>
          <w:szCs w:val="18"/>
          <w:color w:val="auto"/>
        </w:rPr>
      </w:pPr>
    </w:p>
    <w:p>
      <w:pPr>
        <w:jc w:val="both"/>
        <w:ind w:left="-8" w:firstLine="2196"/>
        <w:spacing w:after="0" w:line="264" w:lineRule="auto"/>
        <w:tabs>
          <w:tab w:leader="none" w:pos="24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as soon as available, but no later than forty-five (45) days after the last day of each quarter, a company prepared consolidated and consolidating balance sheet, income statement and cash flow statement covering the consolidated operations of Borrower and its Subsidiaries for such month certified by a Responsible Officer and in a form reasonably acceptable to Collateral Agent;</w:t>
      </w:r>
    </w:p>
    <w:p>
      <w:pPr>
        <w:spacing w:after="0" w:line="181" w:lineRule="exact"/>
        <w:rPr>
          <w:rFonts w:ascii="Arial" w:cs="Arial" w:eastAsia="Arial" w:hAnsi="Arial"/>
          <w:sz w:val="18"/>
          <w:szCs w:val="18"/>
          <w:color w:val="auto"/>
        </w:rPr>
      </w:pPr>
    </w:p>
    <w:p>
      <w:pPr>
        <w:jc w:val="both"/>
        <w:ind w:left="-8" w:firstLine="2196"/>
        <w:spacing w:after="0" w:line="259" w:lineRule="auto"/>
        <w:tabs>
          <w:tab w:leader="none" w:pos="24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as soon as available, but no later than ninety (90) days after the last day of Borrower’s fiscal year or within five (5) days of filing with the Securities and Exchange Commission, audited consolidated financial statements prepared under GAAP, consistently applied, together with an unqualified opinion on the financial statements from an independent certified public accounting firm acceptable to Collateral Agent in its reasonable discretion;</w:t>
      </w:r>
    </w:p>
    <w:p>
      <w:pPr>
        <w:spacing w:after="0" w:line="186" w:lineRule="exact"/>
        <w:rPr>
          <w:rFonts w:ascii="Arial" w:cs="Arial" w:eastAsia="Arial" w:hAnsi="Arial"/>
          <w:sz w:val="18"/>
          <w:szCs w:val="18"/>
          <w:color w:val="auto"/>
        </w:rPr>
      </w:pPr>
    </w:p>
    <w:p>
      <w:pPr>
        <w:jc w:val="both"/>
        <w:ind w:left="-8" w:firstLine="2196"/>
        <w:spacing w:after="0" w:line="279" w:lineRule="auto"/>
        <w:tabs>
          <w:tab w:leader="none" w:pos="2496" w:val="left"/>
        </w:tabs>
        <w:numPr>
          <w:ilvl w:val="1"/>
          <w:numId w:val="32"/>
        </w:numPr>
        <w:rPr>
          <w:rFonts w:ascii="Arial" w:cs="Arial" w:eastAsia="Arial" w:hAnsi="Arial"/>
          <w:sz w:val="17"/>
          <w:szCs w:val="17"/>
          <w:color w:val="auto"/>
        </w:rPr>
      </w:pPr>
      <w:r>
        <w:rPr>
          <w:rFonts w:ascii="Arial" w:cs="Arial" w:eastAsia="Arial" w:hAnsi="Arial"/>
          <w:sz w:val="17"/>
          <w:szCs w:val="17"/>
          <w:color w:val="auto"/>
        </w:rPr>
        <w:t>as soon as available after approval thereof by Borrower’s board of directors, but no later than the earlier of ten (10) days after such approval and sixty (60) days after the last day of Borrower’s fiscal year, Borrower’s annual (A) financial projections and (B) budget, in each case, for the entire current fiscal year as approved by Borrower’s board of directors; provided that, any revisions to such projections and/or budget approved by Borrower’s board of directors shall be delivered to Collateral Agent and the Lenders no later than seven (7) days after such approval);</w:t>
      </w:r>
    </w:p>
    <w:p>
      <w:pPr>
        <w:spacing w:after="0" w:line="171" w:lineRule="exact"/>
        <w:rPr>
          <w:rFonts w:ascii="Arial" w:cs="Arial" w:eastAsia="Arial" w:hAnsi="Arial"/>
          <w:sz w:val="17"/>
          <w:szCs w:val="17"/>
          <w:color w:val="auto"/>
        </w:rPr>
      </w:pPr>
    </w:p>
    <w:p>
      <w:pPr>
        <w:ind w:left="-8" w:firstLine="2196"/>
        <w:spacing w:after="0" w:line="277" w:lineRule="auto"/>
        <w:tabs>
          <w:tab w:leader="none" w:pos="24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within five (5) days of delivery, copies of all non-ministerial statements, reports and notices made available to Borrower’s board of directors, security holders or holders of Subordinated Debt;</w:t>
      </w:r>
    </w:p>
    <w:p>
      <w:pPr>
        <w:spacing w:after="0" w:line="170" w:lineRule="exact"/>
        <w:rPr>
          <w:rFonts w:ascii="Arial" w:cs="Arial" w:eastAsia="Arial" w:hAnsi="Arial"/>
          <w:sz w:val="18"/>
          <w:szCs w:val="18"/>
          <w:color w:val="auto"/>
        </w:rPr>
      </w:pPr>
    </w:p>
    <w:p>
      <w:pPr>
        <w:ind w:left="2492" w:hanging="304"/>
        <w:spacing w:after="0"/>
        <w:tabs>
          <w:tab w:leader="none" w:pos="2492" w:val="left"/>
        </w:tabs>
        <w:numPr>
          <w:ilvl w:val="1"/>
          <w:numId w:val="32"/>
        </w:numPr>
        <w:rPr>
          <w:rFonts w:ascii="Arial" w:cs="Arial" w:eastAsia="Arial" w:hAnsi="Arial"/>
          <w:sz w:val="16"/>
          <w:szCs w:val="16"/>
          <w:color w:val="auto"/>
        </w:rPr>
      </w:pPr>
      <w:r>
        <w:rPr>
          <w:rFonts w:ascii="Arial" w:cs="Arial" w:eastAsia="Arial" w:hAnsi="Arial"/>
          <w:sz w:val="16"/>
          <w:szCs w:val="16"/>
          <w:color w:val="auto"/>
        </w:rPr>
        <w:t>within five (5) days of filing, all reports on Form 10-K, 10-Q and 8-K filed with the Securities and Exchange Commission;</w:t>
      </w:r>
    </w:p>
    <w:p>
      <w:pPr>
        <w:spacing w:after="0" w:line="248" w:lineRule="exact"/>
        <w:rPr>
          <w:rFonts w:ascii="Arial" w:cs="Arial" w:eastAsia="Arial" w:hAnsi="Arial"/>
          <w:sz w:val="16"/>
          <w:szCs w:val="16"/>
          <w:color w:val="auto"/>
        </w:rPr>
      </w:pPr>
    </w:p>
    <w:p>
      <w:pPr>
        <w:jc w:val="both"/>
        <w:ind w:left="-8" w:firstLine="2196"/>
        <w:spacing w:after="0" w:line="264" w:lineRule="auto"/>
        <w:tabs>
          <w:tab w:leader="none" w:pos="254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(other than an Excluded Account), which statements may be provided to Collateral Agent and each Lender by Borrower or directly from the applicable institution(s);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1" w:right="239" w:bottom="1440" w:gutter="0" w:footer="0" w:header="0"/>
        </w:sectPr>
      </w:pPr>
    </w:p>
    <w:bookmarkStart w:id="27" w:name="page28"/>
    <w:bookmarkEnd w:id="27"/>
    <w:p>
      <w:pPr>
        <w:jc w:val="both"/>
        <w:ind w:firstLine="2196"/>
        <w:spacing w:after="0" w:line="312" w:lineRule="auto"/>
        <w:tabs>
          <w:tab w:leader="none" w:pos="2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prompt delivery of (and in any event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146" w:lineRule="exact"/>
        <w:rPr>
          <w:rFonts w:ascii="Arial" w:cs="Arial" w:eastAsia="Arial" w:hAnsi="Arial"/>
          <w:sz w:val="16"/>
          <w:szCs w:val="16"/>
          <w:color w:val="auto"/>
        </w:rPr>
      </w:pPr>
    </w:p>
    <w:p>
      <w:pPr>
        <w:ind w:firstLine="2196"/>
        <w:spacing w:after="0" w:line="277" w:lineRule="auto"/>
        <w:tabs>
          <w:tab w:leader="none" w:pos="2527" w:val="left"/>
        </w:tabs>
        <w:numPr>
          <w:ilvl w:val="1"/>
          <w:numId w:val="33"/>
        </w:numPr>
        <w:rPr>
          <w:rFonts w:ascii="Arial" w:cs="Arial" w:eastAsia="Arial" w:hAnsi="Arial"/>
          <w:sz w:val="18"/>
          <w:szCs w:val="18"/>
          <w:color w:val="auto"/>
        </w:rPr>
      </w:pPr>
      <w:r>
        <w:rPr>
          <w:rFonts w:ascii="Arial" w:cs="Arial" w:eastAsia="Arial" w:hAnsi="Arial"/>
          <w:sz w:val="18"/>
          <w:szCs w:val="18"/>
          <w:color w:val="auto"/>
        </w:rPr>
        <w:t>prompt notice of any event that (A) could reasonably be expected to materially and adversely affect the Borrower’s Intellectual Property and (B) could reasonably be expected to result in a Material Adverse Change;</w:t>
      </w:r>
    </w:p>
    <w:p>
      <w:pPr>
        <w:spacing w:after="0" w:line="170" w:lineRule="exact"/>
        <w:rPr>
          <w:rFonts w:ascii="Arial" w:cs="Arial" w:eastAsia="Arial" w:hAnsi="Arial"/>
          <w:sz w:val="18"/>
          <w:szCs w:val="18"/>
          <w:color w:val="auto"/>
        </w:rPr>
      </w:pPr>
    </w:p>
    <w:p>
      <w:pPr>
        <w:ind w:left="2460" w:hanging="264"/>
        <w:spacing w:after="0"/>
        <w:tabs>
          <w:tab w:leader="none" w:pos="24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written notice at least (10) days’ prior to Borrower’s creation of a New Subsidiary in accordance with the terms of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6.10);</w:t>
      </w:r>
    </w:p>
    <w:p>
      <w:pPr>
        <w:spacing w:after="0" w:line="210" w:lineRule="exact"/>
        <w:rPr>
          <w:rFonts w:ascii="Arial" w:cs="Arial" w:eastAsia="Arial" w:hAnsi="Arial"/>
          <w:sz w:val="16"/>
          <w:szCs w:val="16"/>
          <w:color w:val="auto"/>
        </w:rPr>
      </w:pPr>
    </w:p>
    <w:p>
      <w:pPr>
        <w:jc w:val="both"/>
        <w:ind w:firstLine="2196"/>
        <w:spacing w:after="0" w:line="288" w:lineRule="auto"/>
        <w:tabs>
          <w:tab w:leader="none" w:pos="2539" w:val="left"/>
        </w:tabs>
        <w:numPr>
          <w:ilvl w:val="1"/>
          <w:numId w:val="33"/>
        </w:numPr>
        <w:rPr>
          <w:rFonts w:ascii="Arial" w:cs="Arial" w:eastAsia="Arial" w:hAnsi="Arial"/>
          <w:sz w:val="16"/>
          <w:szCs w:val="16"/>
          <w:color w:val="auto"/>
        </w:rPr>
      </w:pPr>
      <w:r>
        <w:rPr>
          <w:rFonts w:ascii="Arial" w:cs="Arial" w:eastAsia="Arial" w:hAnsi="Arial"/>
          <w:sz w:val="16"/>
          <w:szCs w:val="16"/>
          <w:color w:val="auto"/>
        </w:rPr>
        <w:t>written notice at least (30) days’ prior to Borrower’s (A) adding any new offices or business locations, including warehouses (unless such new offices or business locations contain less than Two Hundred Fifty Thousand Dollars ($250,000.00) in assets or property of Borrower or any of its Subsidiaries), (B) changing its jurisdiction of organization, (C) changing its organizational structure or type, (D) change its legal name,</w:t>
      </w: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changing any organizational number (if any) assigned by its jurisdiction of organization, or (F) registering or filing any Intellectual Property;</w:t>
      </w:r>
    </w:p>
    <w:p>
      <w:pPr>
        <w:spacing w:after="0" w:line="210" w:lineRule="exact"/>
        <w:rPr>
          <w:rFonts w:ascii="Arial" w:cs="Arial" w:eastAsia="Arial" w:hAnsi="Arial"/>
          <w:sz w:val="18"/>
          <w:szCs w:val="18"/>
          <w:color w:val="auto"/>
        </w:rPr>
      </w:pPr>
    </w:p>
    <w:p>
      <w:pPr>
        <w:jc w:val="both"/>
        <w:ind w:firstLine="2196"/>
        <w:spacing w:after="0" w:line="259" w:lineRule="auto"/>
        <w:tabs>
          <w:tab w:leader="none" w:pos="25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upon Borrower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w:t>
      </w:r>
    </w:p>
    <w:p>
      <w:pPr>
        <w:spacing w:after="0" w:line="186" w:lineRule="exact"/>
        <w:rPr>
          <w:rFonts w:ascii="Arial" w:cs="Arial" w:eastAsia="Arial" w:hAnsi="Arial"/>
          <w:sz w:val="18"/>
          <w:szCs w:val="18"/>
          <w:color w:val="auto"/>
        </w:rPr>
      </w:pPr>
    </w:p>
    <w:p>
      <w:pPr>
        <w:jc w:val="both"/>
        <w:ind w:firstLine="2196"/>
        <w:spacing w:after="0" w:line="264" w:lineRule="auto"/>
        <w:tabs>
          <w:tab w:leader="none" w:pos="2633"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immediate notice if Borrower or such Subsidiary has Knowledge that Borrower, or any Subsidiary or Affiliate of Borrower, is listed on the OFAC Lists or (a) is convicted on, (b)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(c) is indicted on, or (d) is arraigned and held over on charges involving money laundering or predicate crimes to money laundering;</w:t>
      </w:r>
    </w:p>
    <w:p>
      <w:pPr>
        <w:spacing w:after="0" w:line="181" w:lineRule="exact"/>
        <w:rPr>
          <w:rFonts w:ascii="Arial" w:cs="Arial" w:eastAsia="Arial" w:hAnsi="Arial"/>
          <w:sz w:val="18"/>
          <w:szCs w:val="18"/>
          <w:color w:val="auto"/>
        </w:rPr>
      </w:pPr>
    </w:p>
    <w:p>
      <w:pPr>
        <w:ind w:left="2620" w:hanging="424"/>
        <w:spacing w:after="0"/>
        <w:tabs>
          <w:tab w:leader="none" w:pos="26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notice of any commercial tort claim with an expected value in excess of Fifty Thousand Dollars ($50,000) and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general details thereof;</w:t>
      </w:r>
    </w:p>
    <w:p>
      <w:pPr>
        <w:spacing w:after="0" w:line="210" w:lineRule="exact"/>
        <w:rPr>
          <w:rFonts w:ascii="Arial" w:cs="Arial" w:eastAsia="Arial" w:hAnsi="Arial"/>
          <w:sz w:val="17"/>
          <w:szCs w:val="17"/>
          <w:color w:val="auto"/>
        </w:rPr>
      </w:pPr>
    </w:p>
    <w:p>
      <w:pPr>
        <w:jc w:val="both"/>
        <w:ind w:firstLine="2196"/>
        <w:spacing w:after="0" w:line="264" w:lineRule="auto"/>
        <w:tabs>
          <w:tab w:leader="none" w:pos="2542"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Borrower or any of its Subsidiaries is not now a Registered Organization but later becomes one, written notice of such occurrence and information regarding such Person’s organizational identification number within seven (7) Business Days of receiving such organizational identification number; and</w:t>
      </w:r>
    </w:p>
    <w:p>
      <w:pPr>
        <w:spacing w:after="0" w:line="181" w:lineRule="exact"/>
        <w:rPr>
          <w:rFonts w:ascii="Arial" w:cs="Arial" w:eastAsia="Arial" w:hAnsi="Arial"/>
          <w:sz w:val="18"/>
          <w:szCs w:val="18"/>
          <w:color w:val="auto"/>
        </w:rPr>
      </w:pPr>
    </w:p>
    <w:p>
      <w:pPr>
        <w:jc w:val="both"/>
        <w:ind w:firstLine="2196"/>
        <w:spacing w:after="0" w:line="259" w:lineRule="auto"/>
        <w:tabs>
          <w:tab w:leader="none" w:pos="2607" w:val="left"/>
        </w:tabs>
        <w:numPr>
          <w:ilvl w:val="1"/>
          <w:numId w:val="34"/>
        </w:numPr>
        <w:rPr>
          <w:rFonts w:ascii="Arial" w:cs="Arial" w:eastAsia="Arial" w:hAnsi="Arial"/>
          <w:sz w:val="18"/>
          <w:szCs w:val="18"/>
          <w:color w:val="auto"/>
        </w:rPr>
      </w:pPr>
      <w:r>
        <w:rPr>
          <w:rFonts w:ascii="Arial" w:cs="Arial" w:eastAsia="Arial" w:hAnsi="Arial"/>
          <w:sz w:val="18"/>
          <w:szCs w:val="18"/>
          <w:color w:val="auto"/>
        </w:rPr>
        <w:t>upon Collateral Agent’s request, Borrower shall furnish to Collateral Agent a report, in form acceptable to Collateral Agent, reconciling the Royalties, Net Sales and all other revenue reported by Borrower to Collateral Agent during any reporting period to the Aggregate Revenue reported by Borrower hereunder for such period and the amount of Revenue-Based Payment(s) made by Borrower in connection with such period(s); and</w:t>
      </w:r>
    </w:p>
    <w:p>
      <w:pPr>
        <w:spacing w:after="0" w:line="186" w:lineRule="exact"/>
        <w:rPr>
          <w:rFonts w:ascii="Arial" w:cs="Arial" w:eastAsia="Arial" w:hAnsi="Arial"/>
          <w:sz w:val="18"/>
          <w:szCs w:val="18"/>
          <w:color w:val="auto"/>
        </w:rPr>
      </w:pPr>
    </w:p>
    <w:p>
      <w:pPr>
        <w:ind w:left="2640" w:hanging="444"/>
        <w:spacing w:after="0"/>
        <w:tabs>
          <w:tab w:leader="none" w:pos="2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Notwithstanding the foregoing, documents required to be delivered pursuant to the terms hereof (to the extent any such documents are included in materials otherwise filed with the Securities and Exchange Commission) may be delivered electronically and if so delivered, shall be deemed to have been delivered on the date on which Borrower posts such documents, or provides a link thereto, on Borrower’s website on the internet at Borrower’s website address.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ind w:firstLine="1305"/>
        <w:spacing w:after="0" w:line="277" w:lineRule="auto"/>
        <w:tabs>
          <w:tab w:leader="none" w:pos="15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6.2(a)(ii) above but no later than forty five (45) days after the last day of each quarter, deliver to Collateral Agent and each Lender:</w:t>
      </w:r>
    </w:p>
    <w:p>
      <w:pPr>
        <w:spacing w:after="0" w:line="170" w:lineRule="exact"/>
        <w:rPr>
          <w:rFonts w:ascii="Arial" w:cs="Arial" w:eastAsia="Arial" w:hAnsi="Arial"/>
          <w:sz w:val="18"/>
          <w:szCs w:val="18"/>
          <w:color w:val="auto"/>
        </w:rPr>
      </w:pPr>
    </w:p>
    <w:p>
      <w:pPr>
        <w:ind w:left="2420" w:hanging="224"/>
        <w:spacing w:after="0"/>
        <w:tabs>
          <w:tab w:leader="none" w:pos="2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duly completed Compliance Certificate signed by a Responsible Officer;</w:t>
      </w:r>
    </w:p>
    <w:p>
      <w:pPr>
        <w:spacing w:after="0" w:line="225" w:lineRule="exact"/>
        <w:rPr>
          <w:rFonts w:ascii="Arial" w:cs="Arial" w:eastAsia="Arial" w:hAnsi="Arial"/>
          <w:sz w:val="18"/>
          <w:szCs w:val="18"/>
          <w:color w:val="auto"/>
        </w:rPr>
      </w:pPr>
    </w:p>
    <w:p>
      <w:pPr>
        <w:jc w:val="both"/>
        <w:ind w:right="20" w:firstLine="2196"/>
        <w:spacing w:after="0" w:line="264" w:lineRule="auto"/>
        <w:tabs>
          <w:tab w:leader="none" w:pos="24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 updated Perfection Certificate to reflect any amendments, modifications and updates to certain information in the Perfection Certificate after the Effective Date to the extent such amendments, modifications and updates are permitted by one or more specific provisions in this Agreement;</w:t>
      </w:r>
    </w:p>
    <w:p>
      <w:pPr>
        <w:spacing w:after="0" w:line="181" w:lineRule="exact"/>
        <w:rPr>
          <w:rFonts w:ascii="Arial" w:cs="Arial" w:eastAsia="Arial" w:hAnsi="Arial"/>
          <w:sz w:val="18"/>
          <w:szCs w:val="18"/>
          <w:color w:val="auto"/>
        </w:rPr>
      </w:pPr>
    </w:p>
    <w:p>
      <w:pPr>
        <w:ind w:left="2520" w:hanging="324"/>
        <w:spacing w:after="0"/>
        <w:tabs>
          <w:tab w:leader="none" w:pos="25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copies of any material Governmental Approvals obtained by Borrower or any of its Subsidiaries;</w:t>
      </w:r>
    </w:p>
    <w:p>
      <w:pPr>
        <w:spacing w:after="0" w:line="225" w:lineRule="exact"/>
        <w:rPr>
          <w:rFonts w:ascii="Arial" w:cs="Arial" w:eastAsia="Arial" w:hAnsi="Arial"/>
          <w:sz w:val="18"/>
          <w:szCs w:val="18"/>
          <w:color w:val="auto"/>
        </w:rPr>
      </w:pPr>
    </w:p>
    <w:p>
      <w:pPr>
        <w:ind w:left="2520" w:hanging="324"/>
        <w:spacing w:after="0"/>
        <w:tabs>
          <w:tab w:leader="none" w:pos="25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written notice of the commencement of, and any material development in, the proceedings contemplated by Section 5.8</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jc w:val="both"/>
        <w:ind w:firstLine="2196"/>
        <w:spacing w:after="0" w:line="264" w:lineRule="auto"/>
        <w:tabs>
          <w:tab w:leader="none" w:pos="24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written notice of any litigation or governmental proceedings pending or threatened (in writing) against Borrower or any of its Subsidiaries, which could reasonably be expected to result in damages or costs to Borrower or any of its Subsidiaries of Two Hundred Fifty Thousand Dollars ($250,000.00); and</w:t>
      </w:r>
    </w:p>
    <w:p>
      <w:pPr>
        <w:spacing w:after="0" w:line="181" w:lineRule="exact"/>
        <w:rPr>
          <w:rFonts w:ascii="Arial" w:cs="Arial" w:eastAsia="Arial" w:hAnsi="Arial"/>
          <w:sz w:val="18"/>
          <w:szCs w:val="18"/>
          <w:color w:val="auto"/>
        </w:rPr>
      </w:pPr>
    </w:p>
    <w:p>
      <w:pPr>
        <w:ind w:firstLine="2196"/>
        <w:spacing w:after="0" w:line="277" w:lineRule="auto"/>
        <w:tabs>
          <w:tab w:leader="none" w:pos="24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written notice of all returns, recoveries, disputes and claims regarding Inventory that involve more than Two Hundred Fifty Thousand Dollars ($250,000.00) individually or in the aggregate in any calendar year.</w:t>
      </w:r>
    </w:p>
    <w:p>
      <w:pPr>
        <w:spacing w:after="0" w:line="170" w:lineRule="exact"/>
        <w:rPr>
          <w:rFonts w:ascii="Arial" w:cs="Arial" w:eastAsia="Arial" w:hAnsi="Arial"/>
          <w:sz w:val="18"/>
          <w:szCs w:val="18"/>
          <w:color w:val="auto"/>
        </w:rPr>
      </w:pPr>
    </w:p>
    <w:p>
      <w:pPr>
        <w:jc w:val="both"/>
        <w:ind w:firstLine="1305"/>
        <w:spacing w:after="0" w:line="272" w:lineRule="auto"/>
        <w:tabs>
          <w:tab w:leader="none" w:pos="1541" w:val="left"/>
        </w:tabs>
        <w:numPr>
          <w:ilvl w:val="0"/>
          <w:numId w:val="35"/>
        </w:numPr>
        <w:rPr>
          <w:rFonts w:ascii="Arial" w:cs="Arial" w:eastAsia="Arial" w:hAnsi="Arial"/>
          <w:sz w:val="17"/>
          <w:szCs w:val="17"/>
          <w:color w:val="auto"/>
        </w:rPr>
      </w:pPr>
      <w:r>
        <w:rPr>
          <w:rFonts w:ascii="Arial" w:cs="Arial" w:eastAsia="Arial" w:hAnsi="Arial"/>
          <w:sz w:val="17"/>
          <w:szCs w:val="17"/>
          <w:color w:val="auto"/>
        </w:rPr>
        <w:t>Keep proper, complete and true books of record and account in accordance with GAAP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 Notwithstanding the foregoing, upon request of any Lender, Borrower agrees to permit such Lender to communicate with Borrower’s accounting firm with respect to the consolidated financial statements delivered hereunder.</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6.3 Inventory; Returns. </w:t>
      </w:r>
      <w:r>
        <w:rPr>
          <w:rFonts w:ascii="Arial" w:cs="Arial" w:eastAsia="Arial" w:hAnsi="Arial"/>
          <w:sz w:val="18"/>
          <w:szCs w:val="18"/>
          <w:color w:val="auto"/>
        </w:rPr>
        <w:t>Keep all Inventory in good and marketable condition, free from material defects. Returns and allowances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and their respective Account Debtors shall follow Borrower’s, or such Subsidiary’s, customary practices as they exist at the Effective Date.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6.4 Taxes; Pensions. </w:t>
      </w:r>
      <w:r>
        <w:rPr>
          <w:rFonts w:ascii="Arial" w:cs="Arial" w:eastAsia="Arial" w:hAnsi="Arial"/>
          <w:sz w:val="18"/>
          <w:szCs w:val="18"/>
          <w:color w:val="auto"/>
        </w:rPr>
        <w:t>Timely file and require each of its Subsidiaries to timely file, all required tax returns and reports in an aggregate amount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Three Hundred Fifty Thousand Dollars ($350,000) and timely pay, and require each of its Subsidiaries to timely file, all foreign, federal, state, and local taxes, assessments, deposits and contributions owed by Borrower or its Subsidiaries in an aggregate amount greater than Three Hundred Fifty Thousand Dollars ($350,000), except as otherwise permitted pursuant to the terms of Section 5.8 hereof, and shall deliver to Collateral Agent and each Lender, on demand, appropriate certificates attesting to such payments, and pay all amounts necessary to fund all present pension, profit sharing and deferred compensation plans in accordance with the terms of such plans.</w:t>
      </w:r>
    </w:p>
    <w:p>
      <w:pPr>
        <w:spacing w:after="0" w:line="18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6.5 Insurance. </w:t>
      </w:r>
      <w:r>
        <w:rPr>
          <w:rFonts w:ascii="Arial" w:cs="Arial" w:eastAsia="Arial" w:hAnsi="Arial"/>
          <w:sz w:val="17"/>
          <w:szCs w:val="17"/>
          <w:color w:val="auto"/>
        </w:rPr>
        <w:t>Keep Borrower’s and its Subsidiaries’ business and the Collateral insured for risks and in amounts standard for companies in</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Borrower’s and its Subsidiaries’ industry and location and as Collateral Agent may reasonably request, including, but not limited to, D&amp;O insurance and product liability insurance reasonably satisfactory to Collateral Agent.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materially altered or canceled (other than cancellation for non-payment of premiums, for which ten (10) days’ prior written notice shall be required).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within 90 days of receipt thereof up to Two Hundred Fifty Thousand Dollars ($250,000.00) with respect to any loss, but not exceeding Two Hundred Fifty Thousand Dollars ($250,000.00),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(but has no obligation to do so), at Borrower’s expense, all or part of such payment or obtain such insurance policies required in this Section 6.5, and take any action under the policies Collateral Agent or such Lender deems prudent.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color w:val="auto"/>
        </w:rPr>
        <w:t>6.6 Operating Accounts.</w:t>
      </w:r>
    </w:p>
    <w:p>
      <w:pPr>
        <w:spacing w:after="0" w:line="229" w:lineRule="exact"/>
        <w:rPr>
          <w:sz w:val="20"/>
          <w:szCs w:val="20"/>
          <w:color w:val="auto"/>
        </w:rPr>
      </w:pPr>
    </w:p>
    <w:p>
      <w:pPr>
        <w:jc w:val="both"/>
        <w:ind w:firstLine="1305"/>
        <w:spacing w:after="0" w:line="255" w:lineRule="auto"/>
        <w:tabs>
          <w:tab w:leader="none" w:pos="15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Borrower shall provide Collateral Agent ten (10) days’ prior written notice before Borrower or any of its Subsidiaries establishes any Collateral Account (other than an Excluded Account). In addition, for each Collateral Account (other than an Excluded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The provisions of the previous sentence shall not apply to Excluded Accounts.</w:t>
      </w:r>
    </w:p>
    <w:p>
      <w:pPr>
        <w:spacing w:after="0" w:line="189" w:lineRule="exact"/>
        <w:rPr>
          <w:rFonts w:ascii="Arial" w:cs="Arial" w:eastAsia="Arial" w:hAnsi="Arial"/>
          <w:sz w:val="18"/>
          <w:szCs w:val="18"/>
          <w:color w:val="auto"/>
        </w:rPr>
      </w:pPr>
    </w:p>
    <w:p>
      <w:pPr>
        <w:ind w:firstLine="1305"/>
        <w:spacing w:after="0" w:line="277" w:lineRule="auto"/>
        <w:tabs>
          <w:tab w:leader="none" w:pos="15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 6.6.</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6.7 Protection of Intellectual Property Rights. </w:t>
      </w:r>
      <w:r>
        <w:rPr>
          <w:rFonts w:ascii="Arial" w:cs="Arial" w:eastAsia="Arial" w:hAnsi="Arial"/>
          <w:sz w:val="18"/>
          <w:szCs w:val="18"/>
          <w:color w:val="auto"/>
        </w:rPr>
        <w:t>Borrower and each of its Subsidiaries shall: (a) protect, defend and maintain the validity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its Intellectual Property that is material to its business; (b) promptly advise Collateral Agent in writing of a challenge to the validity, or material infringement by a third party of its Intellectual Property; and (c) not allow any Intellectual Property material to its business to be abandoned, forfeited or dedicated to the public without Collateral Agent’s prior written consent.</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6.8 Litigation Cooperation. </w:t>
      </w:r>
      <w:r>
        <w:rPr>
          <w:rFonts w:ascii="Arial" w:cs="Arial" w:eastAsia="Arial" w:hAnsi="Arial"/>
          <w:sz w:val="17"/>
          <w:szCs w:val="17"/>
          <w:color w:val="auto"/>
        </w:rPr>
        <w:t>Commencing on the Effective Date and continuing through the termination of this Agreement, make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spacing w:after="0" w:line="16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6.9 Landlord Waivers; Bailee Waivers. </w:t>
      </w:r>
      <w:r>
        <w:rPr>
          <w:rFonts w:ascii="Arial" w:cs="Arial" w:eastAsia="Arial" w:hAnsi="Arial"/>
          <w:sz w:val="16"/>
          <w:szCs w:val="16"/>
          <w:color w:val="auto"/>
        </w:rPr>
        <w:t>In the event that Borrower or any of its Subsidiaries, after the Effective Date, intends to add any new</w:t>
      </w:r>
      <w:r>
        <w:rPr>
          <w:rFonts w:ascii="Arial" w:cs="Arial" w:eastAsia="Arial" w:hAnsi="Arial"/>
          <w:sz w:val="16"/>
          <w:szCs w:val="16"/>
          <w:b w:val="1"/>
          <w:bCs w:val="1"/>
          <w:color w:val="auto"/>
        </w:rPr>
        <w:t xml:space="preserve"> </w:t>
      </w:r>
      <w:r>
        <w:rPr>
          <w:rFonts w:ascii="Arial" w:cs="Arial" w:eastAsia="Arial" w:hAnsi="Arial"/>
          <w:sz w:val="16"/>
          <w:szCs w:val="16"/>
          <w:color w:val="auto"/>
        </w:rPr>
        <w:t>offices or business locations, including warehouses, or otherwise store any portion of the Collateral with, or deliver any portion of the Collateral to, a bailee, in each case pursuant to Section 7.2, then Borrower or such Subsidiary will first receive the written consent of Collateral Agent and, in the event that the Collateral at any new location is valued in excess of Two Hundred Fifty Thousand Dollars ($250,000.00) in the aggregate, at Collateral Agent’s election,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6.10 Creation/Acquisition of Subsidiaries. </w:t>
      </w:r>
      <w:r>
        <w:rPr>
          <w:rFonts w:ascii="Arial" w:cs="Arial" w:eastAsia="Arial" w:hAnsi="Arial"/>
          <w:sz w:val="17"/>
          <w:szCs w:val="17"/>
          <w:color w:val="auto"/>
        </w:rPr>
        <w:t>In the event any Borrower or any Subsidiary of any Borrower creates or acquires any Subsidiary 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Effective Date, Borrower or such Subsidiary shall promptly notify Collateral Agent of such creation or acquisition, and Borrower or such Subsidiary shall take all actions reasonably requested by Collateral Agent to achieve any of the following with respect to such “</w:t>
      </w:r>
      <w:r>
        <w:rPr>
          <w:rFonts w:ascii="Arial" w:cs="Arial" w:eastAsia="Arial" w:hAnsi="Arial"/>
          <w:sz w:val="17"/>
          <w:szCs w:val="17"/>
          <w:b w:val="1"/>
          <w:bCs w:val="1"/>
          <w:color w:val="auto"/>
        </w:rPr>
        <w:t>New Subsidiary</w:t>
      </w:r>
      <w:r>
        <w:rPr>
          <w:rFonts w:ascii="Arial" w:cs="Arial" w:eastAsia="Arial" w:hAnsi="Arial"/>
          <w:sz w:val="17"/>
          <w:szCs w:val="17"/>
          <w:color w:val="auto"/>
        </w:rPr>
        <w:t>” (defined as a Subsidiary formed after the date hereof during the term of this Agreement): (i) to cause such New Subsidiary to become either a co-Borrower hereunder, if such New Subsidiary is organized under the laws of the United States, or a secured guarantor with respect to the Obligations; and (ii) to grant and pledge to Collateral Agent a perfected security interest in 100% of the stock, units or other evidence of ownership held by Borrower or its Subsidiaries of any such New Subsidiary which is organized under the laws of the United States, and 65% of the stock, units or other evidence of ownership held by Borrower or its Subsidiaries of any such New Subsidiary which is not organized under the laws of the United States.</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6.11 Further Assurances</w:t>
      </w:r>
      <w:r>
        <w:rPr>
          <w:rFonts w:ascii="Arial" w:cs="Arial" w:eastAsia="Arial" w:hAnsi="Arial"/>
          <w:sz w:val="18"/>
          <w:szCs w:val="18"/>
          <w:color w:val="auto"/>
        </w:rPr>
        <w:t>. Execute any further instruments, including promissory notes, and take further action as Collateral Agent or any Lender</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requests to perfect or continue Collateral Agent’s Lien in the Collateral or to effect the purposes of this Agreement, including without limitation, permit Collateral Agent or any Lender (i) to meet with officers of Borrower during regular business hours to discuss Borrower’s business and prospects or (ii) to discuss Borrower’s financial condition with Borrower’s accountants.</w:t>
      </w:r>
    </w:p>
    <w:p>
      <w:pPr>
        <w:spacing w:after="0" w:line="180"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Borrower shall not, and shall not permit any of its Subsidiaries to, do any of the following without the prior written consent of the Supermajority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7.1 Dispositions. </w:t>
      </w:r>
      <w:r>
        <w:rPr>
          <w:rFonts w:ascii="Arial" w:cs="Arial" w:eastAsia="Arial" w:hAnsi="Arial"/>
          <w:sz w:val="18"/>
          <w:szCs w:val="18"/>
          <w:color w:val="auto"/>
        </w:rPr>
        <w:t>Convey, sell, lease, transfer, assign,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 all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its business or property (including Intellectual Property), except for (a) Transfers (i) of Inventory in the ordinary course of business; (ii) of worn-out or obsolete Equipment and (iii) the sale of Equity Interests of Eton so long as each Eton Agreement is in full force and effect; and (b) Permitted Liens, Permitted Investments and Permitted Licenses.</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7.2 Changes in Business, Management, Ownership, or Business Locations. </w:t>
      </w:r>
      <w:r>
        <w:rPr>
          <w:rFonts w:ascii="Arial" w:cs="Arial" w:eastAsia="Arial" w:hAnsi="Arial"/>
          <w:sz w:val="17"/>
          <w:szCs w:val="17"/>
          <w:color w:val="auto"/>
        </w:rPr>
        <w:t>(a) Engage in or permit any of its Subsidiaries to engage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and each Lender within ten (10) days of such, or (ii) enter into any transaction or series of related transactions in which (A) the stockholders of Borrower who were not stockholders immediately prior to the first such transaction own more than 35% of the voting stock of Borrower immediately after giving effect to such transaction or related series of such transactions and (B) Borrower ceases to own 100% of the ownership interests of a Subsidiary of Borrower. Borrower shall not, without at least thirty (30) days’ prior written notice to Collateral Agent: (A) add any new offices or business locations, including warehouses (unless such new offices or business locations contain less than Two Hundred Fifty Thousand Dollars ($250,000.00) in assets or property of Borrower or any of its Subsidiaries); (B) change its jurisdiction of organization, (C) change its organizational structure or type, (D) change its legal name, or (E) change any organizational number (if any) assigned by its jurisdiction of organization.</w:t>
      </w:r>
    </w:p>
    <w:p>
      <w:pPr>
        <w:spacing w:after="0" w:line="1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(a) merge or consolidate, with any other Person, or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or permit any of its Subsidiaries to acquire, all or substantially all of the capital stock, shares or property of another Person, (a) issue any Equity Interests if such issuance could result in an Event of Default pursuant to Section 7.2 or otherwise, or (b) issue any Disqualified Equity Interests.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4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7.5 Encumbrance. </w:t>
      </w:r>
      <w:r>
        <w:rPr>
          <w:rFonts w:ascii="Arial" w:cs="Arial" w:eastAsia="Arial" w:hAnsi="Arial"/>
          <w:sz w:val="17"/>
          <w:szCs w:val="17"/>
          <w:color w:val="auto"/>
        </w:rPr>
        <w:t>Create, incur, allow, or suffer any Lien on any of its property, or assign or convey any right to receive income, including the sale</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“Permitted Liens”.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color w:val="auto"/>
        </w:rPr>
        <w:t xml:space="preserve">7.6 Maintenance of Collateral Accounts. </w:t>
      </w:r>
      <w:r>
        <w:rPr>
          <w:rFonts w:ascii="Arial" w:cs="Arial" w:eastAsia="Arial" w:hAnsi="Arial"/>
          <w:sz w:val="18"/>
          <w:szCs w:val="18"/>
          <w:color w:val="auto"/>
        </w:rPr>
        <w:t>Maintain any Collateral Account except pursuant to the terms of Section 6.6 hereof.</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7.7 Restricted Payments. </w:t>
      </w:r>
      <w:r>
        <w:rPr>
          <w:rFonts w:ascii="Arial" w:cs="Arial" w:eastAsia="Arial" w:hAnsi="Arial"/>
          <w:sz w:val="17"/>
          <w:szCs w:val="17"/>
          <w:color w:val="auto"/>
        </w:rPr>
        <w:t>Pay any dividends (other than dividends payable solely in capital stock) or make any distribution or payment in respect of</w:t>
      </w:r>
      <w:r>
        <w:rPr>
          <w:rFonts w:ascii="Arial" w:cs="Arial" w:eastAsia="Arial" w:hAnsi="Arial"/>
          <w:sz w:val="17"/>
          <w:szCs w:val="17"/>
          <w:b w:val="1"/>
          <w:bCs w:val="1"/>
          <w:color w:val="auto"/>
        </w:rPr>
        <w:t xml:space="preserve"> </w:t>
      </w:r>
      <w:r>
        <w:rPr>
          <w:rFonts w:ascii="Arial" w:cs="Arial" w:eastAsia="Arial" w:hAnsi="Arial"/>
          <w:sz w:val="17"/>
          <w:szCs w:val="17"/>
          <w:color w:val="auto"/>
        </w:rPr>
        <w:t>or redeem, retire or purchase any capital stock (other than (i) repurchases pursuant to the terms of employee stock purchase plans, employee restricted stock agreements, stockholder rights plans, director or consultant stock option plans, or similar plans, provided in each case that such repurchases and payments do not exceed Three Hundred Thousand Dollars ($300,000.00) in the aggregate per fiscal year and (ii) payments related to share withholdings for individual taxes related to vested restricted stock units (RSUs), options and other equity grants made to employees, as permitted under the Borrower’s 2007 and 2017 Incentive Stock and Awards Plans, as amended as of the date hereof, and required under certain of the Borrower’s equity grants and employment agreements, in each case as in effect as of the date hereof, and provided that in each case such payments or distributions (A) shall only be made with the proceeds of an equity or Subordinated Debt offering to occur within twenty (20) Business Days following payment and (B) not permit the company’s net cash position (i.e. cash on balance sheet) to change in connection with such distributions or payments.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7.8 Investments. </w:t>
      </w:r>
      <w:r>
        <w:rPr>
          <w:rFonts w:ascii="Arial" w:cs="Arial" w:eastAsia="Arial" w:hAnsi="Arial"/>
          <w:sz w:val="17"/>
          <w:szCs w:val="17"/>
          <w:color w:val="auto"/>
        </w:rPr>
        <w:t>Directly or indirectly make any Investment other than Permitted Investments, or permit any of its Subsidiaries to do so.</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7.9 Transactions with Affiliates. </w:t>
      </w:r>
      <w:r>
        <w:rPr>
          <w:rFonts w:ascii="Arial" w:cs="Arial" w:eastAsia="Arial" w:hAnsi="Arial"/>
          <w:sz w:val="18"/>
          <w:szCs w:val="18"/>
          <w:color w:val="auto"/>
        </w:rPr>
        <w:t>Directly or indirectly enter into or permit to exist any material transaction with any Affiliate of Borrower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and (b) Subordinated Debt or equity investments by Borrower’s investors in Borrower or its Subsidiaries.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7.10 Subordinated Debt. </w:t>
      </w:r>
      <w:r>
        <w:rPr>
          <w:rFonts w:ascii="Arial" w:cs="Arial" w:eastAsia="Arial" w:hAnsi="Arial"/>
          <w:sz w:val="18"/>
          <w:szCs w:val="18"/>
          <w:color w:val="auto"/>
        </w:rPr>
        <w:t>(a) Make or permit any payment on any Subordinated Debt, except under the terms of the subordination, intercreditor,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agreement to which such Subordinated Debt is subject, or (b) amend any provision in any document relating to the Subordinated Debt which would increase the amount thereof or adversely affect the subordination thereof to Obligations owed to the Lenders without the consent of the Lenders, which consent shall not be unreasonably withheld, delayed or conditioned.</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7.11 Compliance. </w:t>
      </w:r>
      <w:r>
        <w:rPr>
          <w:rFonts w:ascii="Arial" w:cs="Arial" w:eastAsia="Arial" w:hAnsi="Arial"/>
          <w:sz w:val="17"/>
          <w:szCs w:val="17"/>
          <w:color w:val="auto"/>
        </w:rPr>
        <w:t>Become an “investment company” or a company controlled by an “investment company”, under the Investment Company Act of</w:t>
      </w:r>
      <w:r>
        <w:rPr>
          <w:rFonts w:ascii="Arial" w:cs="Arial" w:eastAsia="Arial" w:hAnsi="Arial"/>
          <w:sz w:val="17"/>
          <w:szCs w:val="17"/>
          <w:b w:val="1"/>
          <w:bCs w:val="1"/>
          <w:color w:val="auto"/>
        </w:rPr>
        <w:t xml:space="preserve"> </w:t>
      </w:r>
      <w:r>
        <w:rPr>
          <w:rFonts w:ascii="Arial" w:cs="Arial" w:eastAsia="Arial" w:hAnsi="Arial"/>
          <w:sz w:val="17"/>
          <w:szCs w:val="17"/>
          <w:color w:val="auto"/>
        </w:rPr>
        <w:t>1940, as amended, or undertake as one of its important activities extending credit to purchase or carry margin stock (as defined in Regulation U of the Board of Governors of the Federal Reserve System), or use the proceeds of any Term Loan for that purpose; fail to meet the minimum funding requirements of ERISA, permit a Reportable Event or Prohibited Transaction, as defined in ERISA, to occur, if the violation could reasonably be expected to have a Material Adverse Change;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material liability of Borrower or any of its Subsidiaries, including any material liability to the Pension Benefit Guaranty Corporation or its successors or any other Governmental Authority.</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7.12 Compliance with Anti-Terrorism Laws. </w:t>
      </w:r>
      <w:r>
        <w:rPr>
          <w:rFonts w:ascii="Arial" w:cs="Arial" w:eastAsia="Arial" w:hAnsi="Arial"/>
          <w:sz w:val="17"/>
          <w:szCs w:val="17"/>
          <w:color w:val="auto"/>
        </w:rPr>
        <w:t>Neither Borrower nor any of its Subsidiaries shall, nor shall Borrower or any of its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7.13 Material Agreements. </w:t>
      </w:r>
      <w:r>
        <w:rPr>
          <w:rFonts w:ascii="Arial" w:cs="Arial" w:eastAsia="Arial" w:hAnsi="Arial"/>
          <w:sz w:val="18"/>
          <w:szCs w:val="18"/>
          <w:color w:val="auto"/>
        </w:rPr>
        <w:t>Neither Borrower nor any of its Subsidiaries shall, without the consent of Collateral Agent (which consent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unreasonably withheld, conditioned or otherwise delayed), (a) enter into a Material Agreement or (b) materially amend a Material Agreement, in each case if such action would materially and adversely affect the interests of the Lenders hereunder.</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7.14 Minimum Cash</w:t>
      </w:r>
      <w:r>
        <w:rPr>
          <w:rFonts w:ascii="Arial" w:cs="Arial" w:eastAsia="Arial" w:hAnsi="Arial"/>
          <w:sz w:val="16"/>
          <w:szCs w:val="16"/>
          <w:color w:val="auto"/>
        </w:rPr>
        <w:t>. Fail to maintain Unrestricted Cash in an amount greater than or equal to (a) prior to the Threshold Date, One Million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($1,000,000) plus, beginning after the Closing Date, the amount of Borrower’s accounts payable under GAAP not paid after the 90th day following the invoice date for such accounts payable (disregarding invoices dated prior to March 31, 2017) and (b) on and after the Threshold Date, (x) if Borrower satisfies the Revenue Threshold by the Threshold Date, One Million Dollars ($1,000,000) plus the amount of Borrower’s accounts payable under GAAP not paid after the 90th day following the invoice date for such accounts payable (disregarding invoices dated prior to March 31, 2017) and (y) if Borrower fails to satisfy the Revenue Threshold by the Threshold Date, Four Million Dollars ($4,000,000) plus the amount of Borrower’s accounts payable under GAAP not paid after the 90th day following the invoice date for such accounts payable (disregarding invoices dated prior to March 31, 2017).</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7.15 Minimum EBITDA</w:t>
      </w:r>
      <w:r>
        <w:rPr>
          <w:rFonts w:ascii="Arial" w:cs="Arial" w:eastAsia="Arial" w:hAnsi="Arial"/>
          <w:sz w:val="18"/>
          <w:szCs w:val="18"/>
          <w:color w:val="auto"/>
        </w:rPr>
        <w:t>.</w:t>
      </w:r>
    </w:p>
    <w:p>
      <w:pPr>
        <w:spacing w:after="0" w:line="229" w:lineRule="exact"/>
        <w:rPr>
          <w:sz w:val="20"/>
          <w:szCs w:val="20"/>
          <w:color w:val="auto"/>
        </w:rPr>
      </w:pPr>
    </w:p>
    <w:p>
      <w:pPr>
        <w:ind w:firstLine="1305"/>
        <w:spacing w:after="0" w:line="277" w:lineRule="auto"/>
        <w:tabs>
          <w:tab w:leader="none" w:pos="15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Borrower fails to satisfy the Revenue Threshold by the Threshold Date, as of the last day of each quarter, suffer or permit its EBITDA for such quarter, to be equal to or less than zero.</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57"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at any time there is one or more Recalled Material Product, as of the last day of each month, suffer or permit its pro forma EBITDA, adjusted to exclude any Net Income attributable for all Recalled Material Products, and measured on a trailing three consecutive calendar month basis, to be less than $2,000,000.</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 Payment Default. </w:t>
      </w:r>
      <w:r>
        <w:rPr>
          <w:rFonts w:ascii="Arial" w:cs="Arial" w:eastAsia="Arial" w:hAnsi="Arial"/>
          <w:sz w:val="18"/>
          <w:szCs w:val="18"/>
          <w:color w:val="auto"/>
        </w:rPr>
        <w:t>Borrower fails to (a) make any payment of principal on any Term Loan on its due date, or (b) pay any interest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grace period shall not apply to payments due on the Maturity Date or the date or acceleration pursuant to Section 9.1 (a) 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8.2 Covenant Default.</w:t>
      </w:r>
    </w:p>
    <w:p>
      <w:pPr>
        <w:spacing w:after="0" w:line="229" w:lineRule="exact"/>
        <w:rPr>
          <w:sz w:val="20"/>
          <w:szCs w:val="20"/>
          <w:color w:val="auto"/>
        </w:rPr>
      </w:pPr>
    </w:p>
    <w:p>
      <w:pPr>
        <w:jc w:val="both"/>
        <w:ind w:firstLine="1305"/>
        <w:spacing w:after="0" w:line="264" w:lineRule="auto"/>
        <w:tabs>
          <w:tab w:leader="none" w:pos="15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any obligation in Sections 6.2 (Financial Statements, Reports, Certificates), 6.4 (Taxes), 6.5 (Insurance), 6.6 (Operating Accounts), 6.7 (Protection of Intellectual Property Rights), 6.9 (Landlord Waivers; Bailee Waivers), 6.10 (Creation/Acquisition of Subsidiaries) or Borrower violates any provision in Section 7; or</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5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be cured within such fifteen (15)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Term Loans shall be made during such cure period). For purposes of this Section 8.2(b) only, “Subsidiaries” shall exclude any single Subsidiary or group of Subsidiaries where such Subsidiary’s revenue or such group of Subsidiaries’ revenue (in each case in accordance with GAAP) or assets is less than 5.0% of the aggregate (A) revenue or (B) assets, of the Borrower and all its Subsidiaries, in each case measured on a consolidated basis for the Borrower and all its Subsidiaries.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color w:val="auto"/>
        </w:rPr>
        <w:t xml:space="preserve">8.3 Material Adverse Change. </w:t>
      </w:r>
      <w:r>
        <w:rPr>
          <w:rFonts w:ascii="Arial" w:cs="Arial" w:eastAsia="Arial" w:hAnsi="Arial"/>
          <w:sz w:val="18"/>
          <w:szCs w:val="18"/>
          <w:color w:val="auto"/>
        </w:rPr>
        <w:t>A Material Adverse Change has occurred;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8.4 Attachment; Levy; Restraint on Business.</w:t>
      </w:r>
    </w:p>
    <w:p>
      <w:pPr>
        <w:spacing w:after="0" w:line="229" w:lineRule="exact"/>
        <w:rPr>
          <w:sz w:val="20"/>
          <w:szCs w:val="20"/>
          <w:color w:val="auto"/>
        </w:rPr>
      </w:pPr>
    </w:p>
    <w:p>
      <w:pPr>
        <w:jc w:val="both"/>
        <w:ind w:firstLine="1305"/>
        <w:spacing w:after="0" w:line="257" w:lineRule="auto"/>
        <w:tabs>
          <w:tab w:leader="none" w:pos="15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thirty (30) days after the occurrence thereof, discharged or stayed (whether through the posting of a bond or otherwise); and</w:t>
      </w:r>
    </w:p>
    <w:p>
      <w:pPr>
        <w:spacing w:after="0" w:line="188" w:lineRule="exact"/>
        <w:rPr>
          <w:rFonts w:ascii="Arial" w:cs="Arial" w:eastAsia="Arial" w:hAnsi="Arial"/>
          <w:sz w:val="18"/>
          <w:szCs w:val="18"/>
          <w:color w:val="auto"/>
        </w:rPr>
      </w:pPr>
    </w:p>
    <w:p>
      <w:pPr>
        <w:ind w:firstLine="1305"/>
        <w:spacing w:after="0" w:line="308" w:lineRule="auto"/>
        <w:tabs>
          <w:tab w:leader="none" w:pos="1571"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8.5 Insolvency. </w:t>
      </w:r>
      <w:r>
        <w:rPr>
          <w:rFonts w:ascii="Arial" w:cs="Arial" w:eastAsia="Arial" w:hAnsi="Arial"/>
          <w:sz w:val="17"/>
          <w:szCs w:val="17"/>
          <w:color w:val="auto"/>
        </w:rPr>
        <w:t>(a) Borrower or any of its Subsidiaries is or becomes Insolvent; (b) Borrower or any of its Subsidiaries begins an Insolvency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 an Insolvency Proceeding is begun against Borrower or any of its Subsidiaries and not dismissed or stayed within sixty (60) days (but no Term Loans shall be extended while Borrower or any Subsidiary is Insolvent and/or until any Insolvency Proceeding is dismissed). For purposes of this Section 8.5 only, “Subsidiaries” shall exclude any single Subsidiary or group of Subsidiaries where such Subsidiary’s revenue or such group of Subsidiaries’ revenue (in each case in accordance with GAAP) or assets is less than 5.0% of the aggregate (A) revenue or (B) assets, of the Borrower and all its Subsidiaries, in each case measured on a consolidated basis for the Borrower and all its Subsidiaries.</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8.6 Other Agreements. </w:t>
      </w:r>
      <w:r>
        <w:rPr>
          <w:rFonts w:ascii="Arial" w:cs="Arial" w:eastAsia="Arial" w:hAnsi="Arial"/>
          <w:sz w:val="18"/>
          <w:szCs w:val="18"/>
          <w:color w:val="auto"/>
        </w:rPr>
        <w:t>There is (a) a default in any agreement to which Borrower or any of its Subsidiaries is a party with a third party or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a right by such third party or parties, whether or not exercised, to accelerate the maturity of any Indebtedness in an amount in excess of Two Hundred Fifty Thousand Dollars ($250,000.00) or that could reasonably be expected to have a Material Adverse Change; (b) any default under a Material Agreement that permits the counterparty thereto to accelerate the payments owed thereunder; or (c) a revocation of a Material Agreement which is reasonably likely to cause a Material Adverse Change.</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8.7 Judgments. </w:t>
      </w:r>
      <w:r>
        <w:rPr>
          <w:rFonts w:ascii="Arial" w:cs="Arial" w:eastAsia="Arial" w:hAnsi="Arial"/>
          <w:sz w:val="17"/>
          <w:szCs w:val="17"/>
          <w:color w:val="auto"/>
        </w:rPr>
        <w:t>(a) One or more judgments, orders, or decrees for the payment of money in an amount, individually or in the aggregate, of at least</w:t>
      </w:r>
      <w:r>
        <w:rPr>
          <w:rFonts w:ascii="Arial" w:cs="Arial" w:eastAsia="Arial" w:hAnsi="Arial"/>
          <w:sz w:val="17"/>
          <w:szCs w:val="17"/>
          <w:b w:val="1"/>
          <w:bCs w:val="1"/>
          <w:color w:val="auto"/>
        </w:rPr>
        <w:t xml:space="preserve"> </w:t>
      </w:r>
      <w:r>
        <w:rPr>
          <w:rFonts w:ascii="Arial" w:cs="Arial" w:eastAsia="Arial" w:hAnsi="Arial"/>
          <w:sz w:val="17"/>
          <w:szCs w:val="17"/>
          <w:color w:val="auto"/>
        </w:rPr>
        <w:t>Two Hundred Fifty Thousand Dollars ($250,000.00) (not covered by independent third-party insurance) shall be rendered against Borrower or any of its Subsidiaries and shall remain unsatisfied, unvacated, or unstayed for a period of thirty (30) days after the entry thereof or (b) any judgments, orders or decrees rendered against Borrower that could reasonably be expected to result in a Material Adverse Change;</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of its Subsidiaries or any Person acting for Borrower or any of its Subsidiaries makes any representation,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when taken as a whole, is incorrect in any material respect when made;</w:t>
      </w:r>
    </w:p>
    <w:p>
      <w:pPr>
        <w:spacing w:after="0" w:line="180"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 default or breach occurs under any Material Agreement between Borrower or any of its Subsidiaries and any creditor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that signed a subordination, intercreditor, or other similar agreement with Collateral Agent or the Lenders, or any creditor that has signed such an agreement with Collateral Agent or the Lenders breaches any material terms of such agreement;</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terminates or ceases for any reason to be in full force and effect; (b) any Guarantor does not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or covenant under any Guaranty; (c) any circumstance described in Section 8 occurs with respect to any Guarantor; or (d) a Material Adverse Change with respect to any Guarantor;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8.11 Governmental Approvals; FDA Action. </w:t>
      </w:r>
      <w:r>
        <w:rPr>
          <w:rFonts w:ascii="Arial" w:cs="Arial" w:eastAsia="Arial" w:hAnsi="Arial"/>
          <w:sz w:val="16"/>
          <w:szCs w:val="16"/>
          <w:color w:val="auto"/>
        </w:rPr>
        <w:t>(a) Any Governmental Approval shall have been revoked, rescinded, suspended, modified in an</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manner, or not renewed in the ordinary course for a full term and such revocation, rescission, suspension, modification or non-renewal has resulted in or could reasonably be expected to result in a Material Adverse Change; or (b) (i) the FDA, DOJ, or other Governmental Authority initiates a Regulatory Action or any other enforcement action against Borrower or any of its Subsidiaries or any supplier of Borrower or any of its Subsidiaries causes Borrower or any of its Subsidiaries to recall, withdraw, remove or discontinue manufacturing, distributing, and/or marketing any of its products that (i) for each individual product, constitute trailing twelve months revenues (in accordance with GAAP) to the Borrower and its Subsidiaries of at least $1,000,000, or (ii) in the aggregate for all such products, constitute trailing twelve months revenues (in accordance with GAAP) to the Borrower and its Subsidiaries of at least (A) $2,500,000, or (B) 5.0% of the total trailing twelve month revenue for Borrower and its Subsidiaries, whichever is greater, in each case even if such action is based on previously disclosed conduct; (ii) the FDA issues a warning letter or Regulatory Action to Borrower or any of its Subsidiaries with respect to any of its activities or products which could reasonably be expected to result in a Material Adverse Change; (iii) Borrower or any of its Subsidiaries conducts a mandatory or voluntary recall which could reasonably be expected to result in liability and expense to Borrower or any of its Subsidiaries of $1,000,000 or more; (iv) Borrower or any of its Subsidiaries enters into a settlement agreement with the FDA, DOJ, or other Governmental Authority that results in aggregate liability as to any single or related series of transactions, incidents or conditions, of $1,000,000 or more, or that could reasonably be expected to result in a Material Adverse Change even if such settlement agreement is based on previously disclosed conduct; (v) Borrower or any of its Subsidiaries fails to make adequate progress remediating observations identified in an FDA Form 483 notice of inspection observation to Collateral Agent’s or, if agreed by the Collateral Agent and Borrower (which agreement by the Collateral Agent or Lenders shall not be unreasonably withheld or delayed), a qualified third party’s reasonable satisfaction, within six months of receipt; or (vi) the FDA revokes any authorization or permission granted under any Registration, or Borrower or any of its Subsidiaries withdraws any Registration, that could reasonably be expected to result in a Material Adverse Change.</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8.12 Lien Priority; Intellectual Property</w:t>
      </w:r>
      <w:r>
        <w:rPr>
          <w:rFonts w:ascii="Arial" w:cs="Arial" w:eastAsia="Arial" w:hAnsi="Arial"/>
          <w:sz w:val="18"/>
          <w:szCs w:val="18"/>
          <w:color w:val="auto"/>
        </w:rPr>
        <w:t>. Any Lien created hereunder or by any other Loan Document shall at any time fail to constitute a valid</w:t>
      </w:r>
      <w:r>
        <w:rPr>
          <w:rFonts w:ascii="Arial" w:cs="Arial" w:eastAsia="Arial" w:hAnsi="Arial"/>
          <w:sz w:val="18"/>
          <w:szCs w:val="18"/>
          <w:b w:val="1"/>
          <w:bCs w:val="1"/>
          <w:color w:val="auto"/>
        </w:rPr>
        <w:t xml:space="preserve"> </w:t>
      </w:r>
      <w:r>
        <w:rPr>
          <w:rFonts w:ascii="Arial" w:cs="Arial" w:eastAsia="Arial" w:hAnsi="Arial"/>
          <w:sz w:val="18"/>
          <w:szCs w:val="18"/>
          <w:color w:val="auto"/>
        </w:rPr>
        <w:t>and perfected Lien on any material portion of the Collateral purported to be secured thereby, subject to no prior or equal Lien, other than Permitted Liens arising as a matter of applicable law. Any Intellectual Property material to Borrower’s business shall cease to be validly owned or licensed by Borrower free and clear of any Liens other than Permitted Liens.</w:t>
      </w:r>
    </w:p>
    <w:p>
      <w:pPr>
        <w:spacing w:after="0" w:line="180"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REMEDIES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254" w:lineRule="auto"/>
        <w:tabs>
          <w:tab w:leader="none" w:pos="15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Collateral Agent may,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92" w:lineRule="exact"/>
        <w:rPr>
          <w:rFonts w:ascii="Arial" w:cs="Arial" w:eastAsia="Arial" w:hAnsi="Arial"/>
          <w:sz w:val="18"/>
          <w:szCs w:val="18"/>
          <w:color w:val="auto"/>
        </w:rPr>
      </w:pPr>
    </w:p>
    <w:p>
      <w:pPr>
        <w:jc w:val="both"/>
        <w:ind w:firstLine="1305"/>
        <w:spacing w:after="0" w:line="264" w:lineRule="auto"/>
        <w:tabs>
          <w:tab w:leader="none" w:pos="1563"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Without limiting the rights of Collateral Agent and the Lenders set forth in Section 9.1(a) above, upon the occurrence and during the continuance of an Event of Default, Collateral Agent shall have the right to, without notice or demand, and upon the direction of the Supermajority Lenders shall, do any or all of the following:</w:t>
      </w:r>
    </w:p>
    <w:p>
      <w:pPr>
        <w:spacing w:after="0" w:line="181" w:lineRule="exact"/>
        <w:rPr>
          <w:rFonts w:ascii="Arial" w:cs="Arial" w:eastAsia="Arial" w:hAnsi="Arial"/>
          <w:sz w:val="18"/>
          <w:szCs w:val="18"/>
          <w:color w:val="auto"/>
        </w:rPr>
      </w:pPr>
    </w:p>
    <w:p>
      <w:pPr>
        <w:ind w:left="2420" w:hanging="224"/>
        <w:spacing w:after="0"/>
        <w:tabs>
          <w:tab w:leader="none" w:pos="24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5" w:lineRule="exact"/>
        <w:rPr>
          <w:rFonts w:ascii="Arial" w:cs="Arial" w:eastAsia="Arial" w:hAnsi="Arial"/>
          <w:sz w:val="18"/>
          <w:szCs w:val="18"/>
          <w:color w:val="auto"/>
        </w:rPr>
      </w:pPr>
    </w:p>
    <w:p>
      <w:pPr>
        <w:ind w:left="2460" w:hanging="264"/>
        <w:spacing w:after="0"/>
        <w:tabs>
          <w:tab w:leader="none" w:pos="2460" w:val="left"/>
        </w:tabs>
        <w:numPr>
          <w:ilvl w:val="2"/>
          <w:numId w:val="43"/>
        </w:numPr>
        <w:rPr>
          <w:rFonts w:ascii="Arial" w:cs="Arial" w:eastAsia="Arial" w:hAnsi="Arial"/>
          <w:sz w:val="16"/>
          <w:szCs w:val="16"/>
          <w:color w:val="auto"/>
        </w:rPr>
      </w:pPr>
      <w:r>
        <w:rPr>
          <w:rFonts w:ascii="Arial" w:cs="Arial" w:eastAsia="Arial" w:hAnsi="Arial"/>
          <w:sz w:val="16"/>
          <w:szCs w:val="16"/>
          <w:color w:val="auto"/>
        </w:rPr>
        <w:t>apply to the Obligations any (a) balances and deposits of Borrower that Collateral Agent or any Lender holds or controls, or</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amount held or controlled by Collateral Agent or any Lender owing to or for the credit or the account of Borrower; and/or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left="2520" w:hanging="324"/>
        <w:spacing w:after="0"/>
        <w:tabs>
          <w:tab w:leader="none" w:pos="25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commence and prosecute an Insolvency Proceeding or consent to Borrower commencing any Insolvency Proceeding.</w:t>
      </w:r>
    </w:p>
    <w:p>
      <w:pPr>
        <w:spacing w:after="0" w:line="236" w:lineRule="exact"/>
        <w:rPr>
          <w:rFonts w:ascii="Arial" w:cs="Arial" w:eastAsia="Arial" w:hAnsi="Arial"/>
          <w:sz w:val="17"/>
          <w:szCs w:val="17"/>
          <w:color w:val="auto"/>
        </w:rPr>
      </w:pPr>
    </w:p>
    <w:p>
      <w:pPr>
        <w:jc w:val="both"/>
        <w:ind w:firstLine="1305"/>
        <w:spacing w:after="0" w:line="264" w:lineRule="auto"/>
        <w:tabs>
          <w:tab w:leader="none" w:pos="1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Without limiting the rights of Collateral Agent and the Lenders set forth in Sections 9.1(a) and (b) above, upon the occurrence and during the continuance of an Event of Default, Collateral Agent shall have the right to, without notice or demand, and upon the direction of the Supermajority Lenders shall, do any or all of the following:</w:t>
      </w:r>
    </w:p>
    <w:p>
      <w:pPr>
        <w:spacing w:after="0" w:line="181" w:lineRule="exact"/>
        <w:rPr>
          <w:rFonts w:ascii="Arial" w:cs="Arial" w:eastAsia="Arial" w:hAnsi="Arial"/>
          <w:sz w:val="18"/>
          <w:szCs w:val="18"/>
          <w:color w:val="auto"/>
        </w:rPr>
      </w:pPr>
    </w:p>
    <w:p>
      <w:pPr>
        <w:jc w:val="both"/>
        <w:ind w:firstLine="2196"/>
        <w:spacing w:after="0" w:line="264" w:lineRule="auto"/>
        <w:tabs>
          <w:tab w:leader="none" w:pos="2423" w:val="left"/>
        </w:tabs>
        <w:numPr>
          <w:ilvl w:val="1"/>
          <w:numId w:val="46"/>
        </w:numPr>
        <w:rPr>
          <w:rFonts w:ascii="Arial" w:cs="Arial" w:eastAsia="Arial" w:hAnsi="Arial"/>
          <w:sz w:val="18"/>
          <w:szCs w:val="18"/>
          <w:color w:val="auto"/>
        </w:rPr>
      </w:pPr>
      <w:r>
        <w:rPr>
          <w:rFonts w:ascii="Arial" w:cs="Arial" w:eastAsia="Arial" w:hAnsi="Arial"/>
          <w:sz w:val="18"/>
          <w:szCs w:val="18"/>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81" w:lineRule="exact"/>
        <w:rPr>
          <w:sz w:val="20"/>
          <w:szCs w:val="20"/>
          <w:color w:val="auto"/>
        </w:rPr>
      </w:pPr>
    </w:p>
    <w:p>
      <w:pPr>
        <w:jc w:val="both"/>
        <w:ind w:firstLine="2196"/>
        <w:spacing w:after="0" w:line="297" w:lineRule="auto"/>
        <w:tabs>
          <w:tab w:leader="none" w:pos="2457" w:val="left"/>
        </w:tabs>
        <w:numPr>
          <w:ilvl w:val="0"/>
          <w:numId w:val="47"/>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58" w:lineRule="exact"/>
        <w:rPr>
          <w:rFonts w:ascii="Arial" w:cs="Arial" w:eastAsia="Arial" w:hAnsi="Arial"/>
          <w:sz w:val="16"/>
          <w:szCs w:val="16"/>
          <w:color w:val="auto"/>
        </w:rPr>
      </w:pPr>
    </w:p>
    <w:p>
      <w:pPr>
        <w:jc w:val="both"/>
        <w:ind w:firstLine="2196"/>
        <w:spacing w:after="0" w:line="255" w:lineRule="auto"/>
        <w:tabs>
          <w:tab w:leader="none" w:pos="2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93" w:lineRule="exact"/>
        <w:rPr>
          <w:rFonts w:ascii="Arial" w:cs="Arial" w:eastAsia="Arial" w:hAnsi="Arial"/>
          <w:sz w:val="18"/>
          <w:szCs w:val="18"/>
          <w:color w:val="auto"/>
        </w:rPr>
      </w:pPr>
    </w:p>
    <w:p>
      <w:pPr>
        <w:ind w:firstLine="2196"/>
        <w:spacing w:after="0" w:line="342" w:lineRule="auto"/>
        <w:tabs>
          <w:tab w:leader="none" w:pos="24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23" w:lineRule="exact"/>
        <w:rPr>
          <w:rFonts w:ascii="Arial" w:cs="Arial" w:eastAsia="Arial" w:hAnsi="Arial"/>
          <w:sz w:val="16"/>
          <w:szCs w:val="16"/>
          <w:color w:val="auto"/>
        </w:rPr>
      </w:pPr>
    </w:p>
    <w:p>
      <w:pPr>
        <w:ind w:left="2460" w:hanging="264"/>
        <w:spacing w:after="0"/>
        <w:tabs>
          <w:tab w:leader="none" w:pos="2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225" w:lineRule="exact"/>
        <w:rPr>
          <w:rFonts w:ascii="Arial" w:cs="Arial" w:eastAsia="Arial" w:hAnsi="Arial"/>
          <w:sz w:val="18"/>
          <w:szCs w:val="18"/>
          <w:color w:val="auto"/>
        </w:rPr>
      </w:pPr>
    </w:p>
    <w:p>
      <w:pPr>
        <w:jc w:val="both"/>
        <w:ind w:firstLine="2196"/>
        <w:spacing w:after="0" w:line="264" w:lineRule="auto"/>
        <w:tabs>
          <w:tab w:leader="none" w:pos="24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81" w:lineRule="exact"/>
        <w:rPr>
          <w:rFonts w:ascii="Arial" w:cs="Arial" w:eastAsia="Arial" w:hAnsi="Arial"/>
          <w:sz w:val="18"/>
          <w:szCs w:val="18"/>
          <w:color w:val="auto"/>
        </w:rPr>
      </w:pPr>
    </w:p>
    <w:p>
      <w:pPr>
        <w:ind w:right="20" w:firstLine="2196"/>
        <w:spacing w:after="0" w:line="342" w:lineRule="auto"/>
        <w:tabs>
          <w:tab w:leader="none" w:pos="255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9.2 Power of Attorney. </w:t>
      </w:r>
      <w:r>
        <w:rPr>
          <w:rFonts w:ascii="Arial" w:cs="Arial" w:eastAsia="Arial" w:hAnsi="Arial"/>
          <w:sz w:val="17"/>
          <w:szCs w:val="17"/>
          <w:color w:val="auto"/>
        </w:rPr>
        <w:t>Borrower hereby irrevocably appoints Collateral Agent as its lawful attorney-in-fact, exercisable upon the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extend Term Loans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Term Loans terminates.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9.3 Protective Payments. </w:t>
      </w:r>
      <w:r>
        <w:rPr>
          <w:rFonts w:ascii="Arial" w:cs="Arial" w:eastAsia="Arial" w:hAnsi="Arial"/>
          <w:sz w:val="16"/>
          <w:szCs w:val="16"/>
          <w:color w:val="auto"/>
        </w:rPr>
        <w:t>If Borrower or any of its Subsidiaries fail to obtain the insurance called for by Section 6.5 or fails to pay any premium</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5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9.4 Application of Payments and Proceeds. </w:t>
      </w:r>
      <w:r>
        <w:rPr>
          <w:rFonts w:ascii="Arial" w:cs="Arial" w:eastAsia="Arial" w:hAnsi="Arial"/>
          <w:sz w:val="16"/>
          <w:szCs w:val="16"/>
          <w:color w:val="auto"/>
        </w:rPr>
        <w:t>Notwithstanding anything to the contrary contained in this Agreement, upon the occurrence and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6"/>
          <w:szCs w:val="16"/>
          <w:b w:val="1"/>
          <w:bCs w:val="1"/>
          <w:color w:val="auto"/>
        </w:rPr>
        <w:t xml:space="preserve">9.5 Liability for Collateral. </w:t>
      </w:r>
      <w:r>
        <w:rPr>
          <w:rFonts w:ascii="Arial" w:cs="Arial" w:eastAsia="Arial" w:hAnsi="Arial"/>
          <w:sz w:val="16"/>
          <w:szCs w:val="16"/>
          <w:color w:val="auto"/>
        </w:rPr>
        <w:t>So long as Collateral Agent and the Lenders comply with reasonable banking practices regarding the safekeeping of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Collateral in the possession or under the control of Collateral Agent and the Lenders, Collateral Agent and the Lenders shall not be liable or responsible for:</w:t>
      </w:r>
    </w:p>
    <w:p>
      <w:pPr>
        <w:spacing w:after="0" w:line="32" w:lineRule="exact"/>
        <w:rPr>
          <w:sz w:val="20"/>
          <w:szCs w:val="20"/>
          <w:color w:val="auto"/>
        </w:rPr>
      </w:pPr>
    </w:p>
    <w:p>
      <w:pPr>
        <w:ind w:firstLine="8"/>
        <w:spacing w:after="0" w:line="261" w:lineRule="auto"/>
        <w:tabs>
          <w:tab w:leader="none" w:pos="2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9.6 No Waiver; Remedies Cumulative. </w:t>
      </w:r>
      <w:r>
        <w:rPr>
          <w:rFonts w:ascii="Arial" w:cs="Arial" w:eastAsia="Arial" w:hAnsi="Arial"/>
          <w:sz w:val="18"/>
          <w:szCs w:val="18"/>
          <w:color w:val="auto"/>
        </w:rPr>
        <w:t>Failure by Collateral Agent or any Lender, at any time or times, to require strict performance by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9.7 Demand Waiver. </w:t>
      </w:r>
      <w:r>
        <w:rPr>
          <w:rFonts w:ascii="Arial" w:cs="Arial" w:eastAsia="Arial" w:hAnsi="Arial"/>
          <w:sz w:val="18"/>
          <w:szCs w:val="18"/>
          <w:color w:val="auto"/>
        </w:rPr>
        <w:t>Borrower waives, to the fullest extent permitted by law, demand, notice of default or dishonor, notice of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176"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w:t>
      </w:r>
    </w:p>
    <w:p>
      <w:pPr>
        <w:spacing w:after="0" w:line="3" w:lineRule="exact"/>
        <w:rPr>
          <w:sz w:val="20"/>
          <w:szCs w:val="20"/>
          <w:color w:val="auto"/>
        </w:rPr>
      </w:pPr>
    </w:p>
    <w:p>
      <w:pPr>
        <w:jc w:val="both"/>
        <w:ind w:firstLine="8"/>
        <w:spacing w:after="0" w:line="255" w:lineRule="auto"/>
        <w:tabs>
          <w:tab w:leader="none" w:pos="2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ectPr>
          <w:pgSz w:w="11900" w:h="16838" w:orient="portrait"/>
          <w:cols w:equalWidth="0" w:num="1">
            <w:col w:w="11420"/>
          </w:cols>
          <w:pgMar w:left="240" w:top="661" w:right="239" w:bottom="1440" w:gutter="0" w:footer="0" w:header="0"/>
        </w:sectPr>
      </w:pP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IMPRIMIS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00" w:lineRule="exact"/>
        <w:rPr>
          <w:sz w:val="20"/>
          <w:szCs w:val="20"/>
          <w:color w:val="auto"/>
        </w:rPr>
      </w:pPr>
    </w:p>
    <w:p>
      <w:pPr>
        <w:sectPr>
          <w:pgSz w:w="11900" w:h="16838" w:orient="portrait"/>
          <w:cols w:equalWidth="0" w:num="2">
            <w:col w:w="4080" w:space="720"/>
            <w:col w:w="6620"/>
          </w:cols>
          <w:pgMar w:left="240" w:top="661" w:right="239" w:bottom="1440" w:gutter="0" w:footer="0" w:header="0"/>
          <w:type w:val="continuous"/>
        </w:sectPr>
      </w:pPr>
    </w:p>
    <w:p>
      <w:pPr>
        <w:spacing w:after="0" w:line="1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with a copy (which shall not constitute notice) to: GOLENBOCK, EISEMAN, ASSOR, BELL &amp; PESKOE</w:t>
      </w:r>
    </w:p>
    <w:p>
      <w:pPr>
        <w:spacing w:after="0" w:line="3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437 Madison Avenue, 40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5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New York, NY 10022</w:t>
      </w:r>
    </w:p>
    <w:p>
      <w:pPr>
        <w:sectPr>
          <w:pgSz w:w="11900" w:h="16838" w:orient="portrait"/>
          <w:cols w:equalWidth="0" w:num="1">
            <w:col w:w="11420"/>
          </w:cols>
          <w:pgMar w:left="240" w:top="661" w:right="239" w:bottom="1440" w:gutter="0" w:footer="0" w:header="0"/>
          <w:type w:val="continuous"/>
        </w:sectPr>
      </w:pP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If to Collateral Agent: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SWK FUNDING LLC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14755 Preston Road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Suite 105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Dallas, Texas 75254</w:t>
      </w:r>
    </w:p>
    <w:p>
      <w:pPr>
        <w:spacing w:after="0" w:line="200" w:lineRule="exact"/>
        <w:rPr>
          <w:sz w:val="20"/>
          <w:szCs w:val="20"/>
          <w:color w:val="auto"/>
        </w:rPr>
      </w:pPr>
    </w:p>
    <w:p>
      <w:pPr>
        <w:sectPr>
          <w:pgSz w:w="11900" w:h="16838" w:orient="portrait"/>
          <w:cols w:equalWidth="0" w:num="2">
            <w:col w:w="4080" w:space="720"/>
            <w:col w:w="6620"/>
          </w:cols>
          <w:pgMar w:left="240" w:top="661" w:right="239" w:bottom="1440" w:gutter="0" w:footer="0" w:header="0"/>
          <w:type w:val="continuous"/>
        </w:sectPr>
      </w:pPr>
    </w:p>
    <w:p>
      <w:pPr>
        <w:spacing w:after="0" w:line="2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with a copy (which shall not constitute notice) to: LATHAM &amp; WATKINS LLP</w:t>
      </w:r>
    </w:p>
    <w:p>
      <w:pPr>
        <w:spacing w:after="0" w:line="3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505 Montgomery Street</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Suite 2000</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San Francisco, CA 94111-6538</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38" w:name="page39"/>
    <w:bookmarkEnd w:id="38"/>
    <w:p>
      <w:pPr>
        <w:ind w:left="1140"/>
        <w:spacing w:after="0"/>
        <w:rPr>
          <w:sz w:val="20"/>
          <w:szCs w:val="20"/>
          <w:color w:val="auto"/>
        </w:rPr>
      </w:pPr>
      <w:r>
        <w:rPr>
          <w:rFonts w:ascii="Arial" w:cs="Arial" w:eastAsia="Arial" w:hAnsi="Arial"/>
          <w:sz w:val="17"/>
          <w:szCs w:val="17"/>
          <w:color w:val="auto"/>
        </w:rPr>
        <w:t>If to HI Imprimis,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HI IMPRIMIS, LLC</w:t>
      </w:r>
    </w:p>
    <w:p>
      <w:pPr>
        <w:spacing w:after="0" w:line="200" w:lineRule="exact"/>
        <w:rPr>
          <w:sz w:val="20"/>
          <w:szCs w:val="20"/>
          <w:color w:val="auto"/>
        </w:rPr>
      </w:pPr>
    </w:p>
    <w:p>
      <w:pPr>
        <w:sectPr>
          <w:pgSz w:w="11900" w:h="16838" w:orient="portrait"/>
          <w:cols w:equalWidth="0" w:num="2">
            <w:col w:w="4080" w:space="720"/>
            <w:col w:w="6620"/>
          </w:cols>
          <w:pgMar w:left="240" w:top="665" w:right="239" w:bottom="1440" w:gutter="0" w:footer="0" w:header="0"/>
        </w:sectPr>
      </w:pPr>
    </w:p>
    <w:p>
      <w:pPr>
        <w:spacing w:after="0" w:line="2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If to SR-Imprimis, LLC: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SR-IMPRIMIS, LLC</w:t>
      </w:r>
    </w:p>
    <w:p>
      <w:pPr>
        <w:spacing w:after="0" w:line="200" w:lineRule="exact"/>
        <w:rPr>
          <w:sz w:val="20"/>
          <w:szCs w:val="20"/>
          <w:color w:val="auto"/>
        </w:rPr>
      </w:pPr>
    </w:p>
    <w:p>
      <w:pPr>
        <w:sectPr>
          <w:pgSz w:w="11900" w:h="16838" w:orient="portrait"/>
          <w:cols w:equalWidth="0" w:num="2">
            <w:col w:w="4080" w:space="720"/>
            <w:col w:w="6620"/>
          </w:cols>
          <w:pgMar w:left="240" w:top="665" w:right="239" w:bottom="1440" w:gutter="0" w:footer="0" w:header="0"/>
          <w:type w:val="continuous"/>
        </w:sectPr>
      </w:pPr>
    </w:p>
    <w:p>
      <w:pPr>
        <w:spacing w:after="0" w:line="33"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11.1 Waiver of Jury Trial. </w:t>
      </w:r>
      <w:r>
        <w:rPr>
          <w:rFonts w:ascii="Arial" w:cs="Arial" w:eastAsia="Arial" w:hAnsi="Arial"/>
          <w:sz w:val="17"/>
          <w:szCs w:val="17"/>
          <w:color w:val="auto"/>
        </w:rPr>
        <w:t>EACH OF BORROWER, COLLATERAL AGENT AND LENDERS UNCONDITIONALLY WAIVES ANY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Governing Law and Jurisdiction.</w:t>
      </w:r>
    </w:p>
    <w:p>
      <w:pPr>
        <w:spacing w:after="0" w:line="229" w:lineRule="exact"/>
        <w:rPr>
          <w:sz w:val="20"/>
          <w:szCs w:val="20"/>
          <w:color w:val="auto"/>
        </w:rPr>
      </w:pPr>
    </w:p>
    <w:p>
      <w:pPr>
        <w:jc w:val="both"/>
        <w:ind w:firstLine="656"/>
        <w:spacing w:after="0" w:line="253" w:lineRule="auto"/>
        <w:tabs>
          <w:tab w:leader="none" w:pos="9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THIS AGREEMENT, THE OTHER LOAN DOCUMENTS (EXCLUDING THOSE LOAN 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LAWS OTHER THAN THE LAWS OF THE STATE OF NEW YORK), INCLUDING ALL MATTERS OF CONSTRUCTION, VALIDITY AND PERFORMANCE, REGARDLESS OF THE LOCATION OF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97" w:lineRule="exact"/>
        <w:rPr>
          <w:rFonts w:ascii="Arial" w:cs="Arial" w:eastAsia="Arial" w:hAnsi="Arial"/>
          <w:sz w:val="18"/>
          <w:szCs w:val="18"/>
          <w:color w:val="auto"/>
        </w:rPr>
      </w:pPr>
    </w:p>
    <w:p>
      <w:pPr>
        <w:jc w:val="both"/>
        <w:ind w:firstLine="1305"/>
        <w:spacing w:after="0" w:line="254" w:lineRule="auto"/>
        <w:tabs>
          <w:tab w:leader="none" w:pos="156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Any legal action or proceeding with respect to the Loan Documents shall be brought exclusively in the courts of the State of 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that any of them may now or hereafter have to the bringing of any such action or proceeding in such jurisdictions.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39" w:name="page40"/>
    <w:bookmarkEnd w:id="39"/>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Service of Process</w:t>
      </w:r>
      <w:r>
        <w:rPr>
          <w:rFonts w:ascii="Arial" w:cs="Arial" w:eastAsia="Arial" w:hAnsi="Arial"/>
          <w:sz w:val="17"/>
          <w:szCs w:val="17"/>
          <w:color w:val="auto"/>
        </w:rPr>
        <w:t>. Borrower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Non-exclusive Jurisdiction</w:t>
      </w:r>
      <w:r>
        <w:rPr>
          <w:rFonts w:ascii="Arial" w:cs="Arial" w:eastAsia="Arial" w:hAnsi="Arial"/>
          <w:sz w:val="18"/>
          <w:szCs w:val="18"/>
          <w:color w:val="auto"/>
        </w:rPr>
        <w:t>. Nothing contained in this Section 11.2 shall affect the right of Collateral Agent or Lenders to serve process in any other manner permitted by applicable requirements of law or commence legal proceedings or otherwise proceed against Borrower in any other jurisdiction.</w:t>
      </w:r>
    </w:p>
    <w:p>
      <w:pPr>
        <w:spacing w:after="0" w:line="177"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12.1 Successors and Assigns. </w:t>
      </w:r>
      <w:r>
        <w:rPr>
          <w:rFonts w:ascii="Arial" w:cs="Arial" w:eastAsia="Arial" w:hAnsi="Arial"/>
          <w:sz w:val="16"/>
          <w:szCs w:val="16"/>
          <w:color w:val="auto"/>
        </w:rPr>
        <w:t>This Agreement binds and is for the benefit of the successors and permitted assigns of each party. Borrower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pledge 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(any such sale, transfer, assignment, negotiation</w:t>
      </w:r>
      <w:r>
        <w:rPr>
          <w:rFonts w:ascii="Arial" w:cs="Arial" w:eastAsia="Arial" w:hAnsi="Arial"/>
          <w:sz w:val="16"/>
          <w:szCs w:val="16"/>
          <w:b w:val="1"/>
          <w:bCs w:val="1"/>
          <w:color w:val="auto"/>
        </w:rPr>
        <w:t>,</w:t>
      </w:r>
      <w:r>
        <w:rPr>
          <w:rFonts w:ascii="Arial" w:cs="Arial" w:eastAsia="Arial" w:hAnsi="Arial"/>
          <w:sz w:val="16"/>
          <w:szCs w:val="16"/>
          <w:color w:val="auto"/>
        </w:rPr>
        <w:t xml:space="preserve">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except, unless an Event of Default has occurred and is continuing, and other than to an Affiliate of Lender, to (i) any Person that sells, markets, manufactures or produces products and services in competition with Borrower, or (ii) any vulture fund or similar type of investor whose primary investment strategy consists of investments in and purchases of debt of distressed companies to control and dispose of the assets of such companies, each as reasonably determined by the Collateral Agent.</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12.2 Indemnification. </w:t>
      </w:r>
      <w:r>
        <w:rPr>
          <w:rFonts w:ascii="Arial" w:cs="Arial" w:eastAsia="Arial" w:hAnsi="Arial"/>
          <w:sz w:val="17"/>
          <w:szCs w:val="17"/>
          <w:color w:val="auto"/>
        </w:rPr>
        <w:t>Borrower agrees to indemnify, defend and hold Collateral Agent and the Lenders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consultants, agents, attorneys, or any other Person affiliated with or representing Collateral Agent or the Lenders (each, an “</w:t>
      </w:r>
      <w:r>
        <w:rPr>
          <w:rFonts w:ascii="Arial" w:cs="Arial" w:eastAsia="Arial" w:hAnsi="Arial"/>
          <w:sz w:val="17"/>
          <w:szCs w:val="17"/>
          <w:b w:val="1"/>
          <w:b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12.3 Severability of Provisions. </w:t>
      </w:r>
      <w:r>
        <w:rPr>
          <w:rFonts w:ascii="Arial" w:cs="Arial" w:eastAsia="Arial" w:hAnsi="Arial"/>
          <w:sz w:val="18"/>
          <w:szCs w:val="18"/>
          <w:color w:val="auto"/>
        </w:rPr>
        <w:t>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12.4 Correction of Loan Documents. </w:t>
      </w:r>
      <w:r>
        <w:rPr>
          <w:rFonts w:ascii="Arial" w:cs="Arial" w:eastAsia="Arial" w:hAnsi="Arial"/>
          <w:sz w:val="18"/>
          <w:szCs w:val="18"/>
          <w:color w:val="auto"/>
        </w:rPr>
        <w:t>Collateral Agent may correct patent errors and fill in any blanks in this Agreement and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consistent with the agreement of the parties</w:t>
      </w:r>
      <w:r>
        <w:rPr>
          <w:rFonts w:ascii="Arial" w:cs="Arial" w:eastAsia="Arial" w:hAnsi="Arial"/>
          <w:sz w:val="18"/>
          <w:szCs w:val="18"/>
          <w:b w:val="1"/>
          <w:bCs w:val="1"/>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12.5 Amendments in Writing; Integration. </w:t>
      </w:r>
      <w:r>
        <w:rPr>
          <w:rFonts w:ascii="Arial" w:cs="Arial" w:eastAsia="Arial" w:hAnsi="Arial"/>
          <w:sz w:val="17"/>
          <w:szCs w:val="17"/>
          <w:color w:val="auto"/>
        </w:rPr>
        <w:t>(a) No amendment, modification, termination or waiver of any provision of this Agreement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2" w:lineRule="exact"/>
        <w:rPr>
          <w:sz w:val="20"/>
          <w:szCs w:val="20"/>
          <w:color w:val="auto"/>
        </w:rPr>
      </w:pPr>
    </w:p>
    <w:p>
      <w:pPr>
        <w:ind w:right="20" w:firstLine="2196"/>
        <w:spacing w:after="0" w:line="277" w:lineRule="auto"/>
        <w:tabs>
          <w:tab w:leader="none" w:pos="2403"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70" w:lineRule="exact"/>
        <w:rPr>
          <w:rFonts w:ascii="Arial" w:cs="Arial" w:eastAsia="Arial" w:hAnsi="Arial"/>
          <w:sz w:val="18"/>
          <w:szCs w:val="18"/>
          <w:color w:val="auto"/>
        </w:rPr>
      </w:pPr>
    </w:p>
    <w:p>
      <w:pPr>
        <w:ind w:firstLine="2196"/>
        <w:spacing w:after="0" w:line="277" w:lineRule="auto"/>
        <w:tabs>
          <w:tab w:leader="none" w:pos="2469"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 and</w:t>
      </w:r>
    </w:p>
    <w:p>
      <w:pPr>
        <w:spacing w:after="0" w:line="170" w:lineRule="exact"/>
        <w:rPr>
          <w:rFonts w:ascii="Arial" w:cs="Arial" w:eastAsia="Arial" w:hAnsi="Arial"/>
          <w:sz w:val="18"/>
          <w:szCs w:val="18"/>
          <w:color w:val="auto"/>
        </w:rPr>
      </w:pPr>
    </w:p>
    <w:p>
      <w:pPr>
        <w:jc w:val="both"/>
        <w:ind w:firstLine="2196"/>
        <w:spacing w:after="0" w:line="285" w:lineRule="auto"/>
        <w:tabs>
          <w:tab w:leader="none" w:pos="2525"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(which shall include, without limitation, any amendment or waiver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of this Agreement, any conditions thereunder, or the definitions of Amortization Cap, Amortization Date, Revenue Threshold or Revenue Date; (B) postpone the date fixed for, or waive, any payment of principal of any Term Loan or of interest on any Term Loan or any other Obligations (other than default interest) or any fees provided for hereunder (other than late charges or for any termination of any commitment); (C) change the definition of the term “Required Lenders” or “Supermajority Lenders”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12.5. It is hereby understood and agreed that all Lenders shall be deemed directly affected by an amendment, waiver or other modification of the type described in the preceding clauses (C), (D), (E), (F), (G) and (H) of the immediately preceding sentence.</w:t>
      </w:r>
    </w:p>
    <w:p>
      <w:pPr>
        <w:spacing w:after="0" w:line="172" w:lineRule="exact"/>
        <w:rPr>
          <w:rFonts w:ascii="Arial" w:cs="Arial" w:eastAsia="Arial" w:hAnsi="Arial"/>
          <w:sz w:val="16"/>
          <w:szCs w:val="16"/>
          <w:color w:val="auto"/>
        </w:rPr>
      </w:pPr>
    </w:p>
    <w:p>
      <w:pPr>
        <w:ind w:firstLine="1305"/>
        <w:spacing w:after="0" w:line="277" w:lineRule="auto"/>
        <w:tabs>
          <w:tab w:leader="none" w:pos="15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12.5(a)(i)-(iii), Collateral Agent may, if requested by the Required Lenders, from time to time designate covenants in this Agreement less restrictive by notification to a representative of Borrower.</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55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12.6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12.7 Survival. </w:t>
      </w:r>
      <w:r>
        <w:rPr>
          <w:rFonts w:ascii="Arial" w:cs="Arial" w:eastAsia="Arial" w:hAnsi="Arial"/>
          <w:sz w:val="16"/>
          <w:szCs w:val="16"/>
          <w:color w:val="auto"/>
        </w:rPr>
        <w:t>All covenants, representations and warranties made in this Agreement continue in full force and effect until this Agreement has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12.8 Confidentiality. </w:t>
      </w:r>
      <w:r>
        <w:rPr>
          <w:rFonts w:ascii="Arial" w:cs="Arial" w:eastAsia="Arial" w:hAnsi="Arial"/>
          <w:sz w:val="16"/>
          <w:szCs w:val="16"/>
          <w:color w:val="auto"/>
        </w:rPr>
        <w:t>In handling any confidential information of Borrower, the Lenders and Collateral Agent shall exercise the same degree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exercises for their own proprietary information, but disclosure of information may be made: (a) subject to the terms and conditions of this Agreement, to the Lenders’ and Collateral Agent’s Subsidiaries or Affiliates; (b) to prospective transferees (other than those identified in (a) above) or purchasers of any interest in the Term Loans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w:t>
      </w:r>
    </w:p>
    <w:p>
      <w:pPr>
        <w:spacing w:after="0" w:line="4" w:lineRule="exact"/>
        <w:rPr>
          <w:sz w:val="20"/>
          <w:szCs w:val="20"/>
          <w:color w:val="auto"/>
        </w:rPr>
      </w:pPr>
    </w:p>
    <w:p>
      <w:pPr>
        <w:jc w:val="both"/>
        <w:ind w:firstLine="8"/>
        <w:spacing w:after="0" w:line="268" w:lineRule="auto"/>
        <w:tabs>
          <w:tab w:leader="none" w:pos="263" w:val="left"/>
        </w:tabs>
        <w:numPr>
          <w:ilvl w:val="0"/>
          <w:numId w:val="56"/>
        </w:numPr>
        <w:rPr>
          <w:rFonts w:ascii="Arial" w:cs="Arial" w:eastAsia="Arial" w:hAnsi="Arial"/>
          <w:sz w:val="17"/>
          <w:szCs w:val="17"/>
          <w:color w:val="auto"/>
        </w:rPr>
      </w:pPr>
      <w:r>
        <w:rPr>
          <w:rFonts w:ascii="Arial" w:cs="Arial" w:eastAsia="Arial" w:hAnsi="Arial"/>
          <w:sz w:val="17"/>
          <w:szCs w:val="17"/>
          <w:color w:val="auto"/>
        </w:rPr>
        <w:t>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at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12.8 supersede all prior agreements, understanding, representations, warranties, and negotiations between the parties about the subject matter of this Section 12.8.</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12.9 Right of Set Off. </w:t>
      </w:r>
      <w:r>
        <w:rPr>
          <w:rFonts w:ascii="Arial" w:cs="Arial" w:eastAsia="Arial" w:hAnsi="Arial"/>
          <w:sz w:val="16"/>
          <w:szCs w:val="16"/>
          <w:color w:val="auto"/>
        </w:rPr>
        <w:t>Borrower hereby grants to Collateral Agent and to each Lender, a lien, security interest and right of set off as security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12.10 Cooperation of Borrower. </w:t>
      </w:r>
      <w:r>
        <w:rPr>
          <w:rFonts w:ascii="Arial" w:cs="Arial" w:eastAsia="Arial" w:hAnsi="Arial"/>
          <w:sz w:val="17"/>
          <w:szCs w:val="17"/>
          <w:color w:val="auto"/>
        </w:rPr>
        <w:t>If necessary, Borrower agrees to (i) execute any documents reasonably required to effectuate and acknowledge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each assignment of a Term Loan Commitment or Term Loan to an assignee in accordance with Section 12.1, (ii) make Borrower’s management available to meet with Collateral Agent and prospective participants and assignees of Term Loan Commitments (which meetings shall be conducted no more often than twice every twelve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12.8,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17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12.11 Public Announcement. </w:t>
      </w:r>
      <w:r>
        <w:rPr>
          <w:rFonts w:ascii="Arial" w:cs="Arial" w:eastAsia="Arial" w:hAnsi="Arial"/>
          <w:sz w:val="16"/>
          <w:szCs w:val="16"/>
          <w:color w:val="auto"/>
        </w:rPr>
        <w:t>Borrower hereby agrees that Collateral Agent and each Lender may make a public announcement of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by this Agreement, with the consent of Borrower (which consent shall not be unreasonably withheld), and may publicize the same in marketing materials, newspapers and other publications, and otherwise, and in connection therewith may use Borrower’s name, tradenames and logos.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12.12 Collateral Agent and Lender Agreement. </w:t>
      </w:r>
      <w:r>
        <w:rPr>
          <w:rFonts w:ascii="Arial" w:cs="Arial" w:eastAsia="Arial" w:hAnsi="Arial"/>
          <w:sz w:val="18"/>
          <w:szCs w:val="18"/>
          <w:color w:val="auto"/>
        </w:rPr>
        <w:t>Collateral Agent and each Lender hereby agree to the terms and conditions set forth on 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Borrower acknowledges and agrees to the terms and conditions set forth on Exhibit B attached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12.13 Multiple Borrowers</w:t>
      </w:r>
    </w:p>
    <w:p>
      <w:pPr>
        <w:spacing w:after="0" w:line="229" w:lineRule="exact"/>
        <w:rPr>
          <w:sz w:val="20"/>
          <w:szCs w:val="20"/>
          <w:color w:val="auto"/>
        </w:rPr>
      </w:pPr>
    </w:p>
    <w:p>
      <w:pPr>
        <w:jc w:val="both"/>
        <w:ind w:firstLine="1305"/>
        <w:spacing w:after="0" w:line="272" w:lineRule="auto"/>
        <w:tabs>
          <w:tab w:leader="none" w:pos="1541"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Borrower’s Agent</w:t>
      </w:r>
      <w:r>
        <w:rPr>
          <w:rFonts w:ascii="Arial" w:cs="Arial" w:eastAsia="Arial" w:hAnsi="Arial"/>
          <w:sz w:val="17"/>
          <w:szCs w:val="17"/>
          <w:color w:val="auto"/>
        </w:rPr>
        <w:t>. Each of the Borrowers hereby irrevocably appoints Imprimis Pharmaceuticals, Inc. as its agent, attorney-in-fact and</w:t>
      </w:r>
      <w:r>
        <w:rPr>
          <w:rFonts w:ascii="Arial" w:cs="Arial" w:eastAsia="Arial" w:hAnsi="Arial"/>
          <w:sz w:val="17"/>
          <w:szCs w:val="17"/>
          <w:i w:val="1"/>
          <w:iCs w:val="1"/>
          <w:color w:val="auto"/>
        </w:rPr>
        <w:t xml:space="preserve"> </w:t>
      </w:r>
      <w:r>
        <w:rPr>
          <w:rFonts w:ascii="Arial" w:cs="Arial" w:eastAsia="Arial" w:hAnsi="Arial"/>
          <w:sz w:val="17"/>
          <w:szCs w:val="17"/>
          <w:color w:val="auto"/>
        </w:rPr>
        <w:t>legal representative for all purposes, including requesting disbursement of the Term Loans and receiving account statements and other notices and communications to Borrowers (or any of them) from Collateral Agent or any Lender. Collateral Agent may rely, and shall be fully protected in relying, on any request for the Term Loans, disbursement instruction, report, information or any other notice or communication made or given by Imprimis Pharmaceuticals, Inc., whether in its own name or on behalf of one or more of the other Borrowers, and Collateral Agent shall not have any obligation to make any inquiry or request any confirmation from or on behalf of any other Borrower as to the binding effect on it of any such request, instruction, report, information, other notice or communication, nor shall the joint and several character of the Borrowers’ obligations hereunder be affected thereby.</w:t>
      </w:r>
    </w:p>
    <w:p>
      <w:pPr>
        <w:spacing w:after="0" w:line="177" w:lineRule="exact"/>
        <w:rPr>
          <w:rFonts w:ascii="Arial" w:cs="Arial" w:eastAsia="Arial" w:hAnsi="Arial"/>
          <w:sz w:val="17"/>
          <w:szCs w:val="17"/>
          <w:color w:val="auto"/>
        </w:rPr>
      </w:pPr>
    </w:p>
    <w:p>
      <w:pPr>
        <w:jc w:val="both"/>
        <w:ind w:firstLine="1305"/>
        <w:spacing w:after="0" w:line="284" w:lineRule="auto"/>
        <w:tabs>
          <w:tab w:leader="none" w:pos="1565"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Waivers</w:t>
      </w:r>
      <w:r>
        <w:rPr>
          <w:rFonts w:ascii="Arial" w:cs="Arial" w:eastAsia="Arial" w:hAnsi="Arial"/>
          <w:sz w:val="16"/>
          <w:szCs w:val="16"/>
          <w:color w:val="auto"/>
        </w:rPr>
        <w:t>. Each Borrower hereby waives: (i) any right to require Collateral Agent to institute suit against, or to exhaust its rights and</w:t>
      </w:r>
      <w:r>
        <w:rPr>
          <w:rFonts w:ascii="Arial" w:cs="Arial" w:eastAsia="Arial" w:hAnsi="Arial"/>
          <w:sz w:val="16"/>
          <w:szCs w:val="16"/>
          <w:i w:val="1"/>
          <w:iCs w:val="1"/>
          <w:color w:val="auto"/>
        </w:rPr>
        <w:t xml:space="preserve"> </w:t>
      </w:r>
      <w:r>
        <w:rPr>
          <w:rFonts w:ascii="Arial" w:cs="Arial" w:eastAsia="Arial" w:hAnsi="Arial"/>
          <w:sz w:val="16"/>
          <w:szCs w:val="16"/>
          <w:color w:val="auto"/>
        </w:rPr>
        <w:t>remedies against, any other Borrower or any other person, or to proceed against any property of any kind which secures all or any part of the Obligations, or to exercise any right of offset or other right with respect to any reserves, credits or deposit accounts held by or maintained with Collateral Agent or any Indebtedness of Collateral Agent or any Lender to any other Borrower, or to exercise any other right or power, or pursue any other remedy Collateral Agent or any Lender may have; (ii) any defense arising by reason of any disability or other defense of any other Borrower or any guarantor or any endorser, co-maker or other person, or by reason of the cessation from any cause whatsoever of any liability of any other Borrower or any guarantor or any endorser, co-maker or other person, with respect to all or any part of the Obligations, or by reason of any act or omission of Collateral Agent or others which directly or indirectly results in the discharge or release of any other Borrower or any guarantor or any other person or any Obligations or any security therefor, whether by operation of law or otherwise; (iii) any defense arising by reason of any failure of Collateral Agent to obtain, perfect, maintain or keep in force any Lien on, any property of any Borrower or any other person; (iv) any defense based upon or arising out of any bankruptcy, insolvency, reorganization, arrangement, readjustment of debt, liquidation or dissolution proceeding commenced by or against any other Borrower or any guarantor or any endorser, co-maker or other person, including without limitation any discharge of, or bar against collecting, any of the Obligations (including without limitation any interest thereon), in or as a result of any such proceeding. Until all of the Obligations have been paid, performed, and discharged in full, nothing shall discharge or satisfy the liability of any Borrower hereunder except the full performance and payment of all of the Obligations. If any claim is ever made upon Collateral Agent for repayment or recovery of any amount or amounts received by Collateral Agent in payment of or on account of any of the Obligations, because of any claim that any such payment constituted a preferential transfer or fraudulent conveyance, or for any other reason whatsoever, and Collateral Agent repays all or part of said amount by reason of any judgment, decree or order of any court or administrative body having jurisdiction over Collateral Agent or any of its property, or by reason of any settlement or compromise of any such claim effected by Collateral Agent with any such claimant (including without limitation the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Obligations, or any release of any of the Obligations, and each Borrower shall be and remain liable to Collateral Agent and the Lenders under this Agreement for the amount so repaid or recovered, to the same extent as if such amount had never originally been received by Collateral Agent or any Lender, and the provisions of this sentence shall survive, and continue in effect, notwithstanding any revocation or release of this Agreement. Each Borrower hereby expressly and unconditionally waives all rights of subrogation, reimbursement and indemnity of every kind against any other Borrower, and all rights of recourse to any assets or property of any other Borrower, and all rights to any collateral or security held for the payment and performance of any Obligations, including (but not limited to) any of the foregoing rights which Borrower may have under any present or future document or agreement with any other Borrower or other person, and including (but not limited to) any of the foregoing rights which any Borrower may have under any equitable doctrine of subrogation, implied contract, or unjust enrichment, or any other equitable or legal doctrine.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jc w:val="both"/>
        <w:ind w:firstLine="1305"/>
        <w:spacing w:after="0" w:line="267" w:lineRule="auto"/>
        <w:tabs>
          <w:tab w:leader="none" w:pos="1541"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Consents</w:t>
      </w:r>
      <w:r>
        <w:rPr>
          <w:rFonts w:ascii="Arial" w:cs="Arial" w:eastAsia="Arial" w:hAnsi="Arial"/>
          <w:sz w:val="17"/>
          <w:szCs w:val="17"/>
          <w:color w:val="auto"/>
        </w:rPr>
        <w:t>. Each Borrower hereby consents and agrees that, without notice to or by Borrower and without affecting or impairing in any</w:t>
      </w:r>
      <w:r>
        <w:rPr>
          <w:rFonts w:ascii="Arial" w:cs="Arial" w:eastAsia="Arial" w:hAnsi="Arial"/>
          <w:sz w:val="17"/>
          <w:szCs w:val="17"/>
          <w:i w:val="1"/>
          <w:iCs w:val="1"/>
          <w:color w:val="auto"/>
        </w:rPr>
        <w:t xml:space="preserve"> </w:t>
      </w:r>
      <w:r>
        <w:rPr>
          <w:rFonts w:ascii="Arial" w:cs="Arial" w:eastAsia="Arial" w:hAnsi="Arial"/>
          <w:sz w:val="17"/>
          <w:szCs w:val="17"/>
          <w:color w:val="auto"/>
        </w:rPr>
        <w:t>way the obligations or liability of Borrower hereunder, Collateral Agent may, from time to time before or after revocation of this Agreement, do any one or more of the following in its sole and absolute discretion: (i) accept partial payments of, compromise or settle, renew, extend the time for the payment, discharge, or performance of, refuse to enforce, and release all or any parties to, any or all of the Obligations; (ii) grant any other indulgence to any Borrower or any other Person in respect of any or all of the Obligations or any other matter; (iii) accept, release, waive, surrender, enforce, exchange, modify, impair, or extend the time for the performance, discharge, or payment of, any and all property of any kind securing any or all of the Obligations or any guaranty of any or all of the Obligations, or on which Collateral Agent at any time may have a Lien, or refuse to enforce its rights or make any compromise or settlement or agreement therefor in respect of any or all of such property; (iv) substitute or add, or take any action or omit to take any action which results in the release of, any one or more other Borrowers or any endorsers or guarantors of all or any part of the Obligations, including, without limitation one or more parties to this Agreement, regardless of any destruction or impairment of any right of contribution or other right of Borrower; (v) apply any sums received from any other Borrower, any guarantor, endorser, or co-signer, or from the disposition of any Collateral or security, to any Indebtedness whatsoever owing from such person or secured by such Collateral or security, in such manner and order as Collateral Agent determines in its sole discretion, and regardless of whether such Indebtedness is part of the Obligations, is secured, or is due and payable. Each Borrower consents and agrees that Collateral Agent shall be under no obligation to marshal any assets in favor of Borrower, or against or in payment of any or all of the Obligations. Each Borrower further consents and agrees that Collateral Agent shall have no duties or responsibilities whatsoever with respect to any property securing any or all of the Obligations. Without limiting the generality of the foregoing, Collateral Agent shall have no obligation to monitor, verify, audit, examine, or obtain or maintain any insurance with respect to, any property securing any or all of the Obligations.</w:t>
      </w:r>
    </w:p>
    <w:p>
      <w:pPr>
        <w:spacing w:after="0" w:line="192" w:lineRule="exact"/>
        <w:rPr>
          <w:rFonts w:ascii="Arial" w:cs="Arial" w:eastAsia="Arial" w:hAnsi="Arial"/>
          <w:sz w:val="17"/>
          <w:szCs w:val="17"/>
          <w:color w:val="auto"/>
        </w:rPr>
      </w:pPr>
    </w:p>
    <w:p>
      <w:pPr>
        <w:jc w:val="both"/>
        <w:ind w:firstLine="1305"/>
        <w:spacing w:after="0" w:line="271" w:lineRule="auto"/>
        <w:tabs>
          <w:tab w:leader="none" w:pos="1551"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Independent Liability</w:t>
      </w:r>
      <w:r>
        <w:rPr>
          <w:rFonts w:ascii="Arial" w:cs="Arial" w:eastAsia="Arial" w:hAnsi="Arial"/>
          <w:sz w:val="17"/>
          <w:szCs w:val="17"/>
          <w:color w:val="auto"/>
        </w:rPr>
        <w:t>. Each Borrower hereby agrees that one or more successive or concurrent actions may be brought hereon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such Borrower, in the same action in which any other Borrower may be sued or in separate actions, as often as deemed advisable by Collateral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Collateral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pertinent hereto as such Borrower may desire, and such Borrower is not relying upon or expecting Collateral Agent to furnish to it any information now or hereafter in Collateral Agent’s possession concerning the same or any other matter.</w:t>
      </w:r>
    </w:p>
    <w:p>
      <w:pPr>
        <w:spacing w:after="0" w:line="178" w:lineRule="exact"/>
        <w:rPr>
          <w:rFonts w:ascii="Arial" w:cs="Arial" w:eastAsia="Arial" w:hAnsi="Arial"/>
          <w:sz w:val="17"/>
          <w:szCs w:val="17"/>
          <w:color w:val="auto"/>
        </w:rPr>
      </w:pPr>
    </w:p>
    <w:p>
      <w:pPr>
        <w:jc w:val="both"/>
        <w:ind w:right="20" w:firstLine="1305"/>
        <w:spacing w:after="0" w:line="264" w:lineRule="auto"/>
        <w:tabs>
          <w:tab w:leader="none" w:pos="1541"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Subordination</w:t>
      </w:r>
      <w:r>
        <w:rPr>
          <w:rFonts w:ascii="Arial" w:cs="Arial" w:eastAsia="Arial" w:hAnsi="Arial"/>
          <w:sz w:val="18"/>
          <w:szCs w:val="18"/>
          <w:color w:val="auto"/>
        </w:rPr>
        <w:t>. All Indebtedness of a Borrower now or hereafter arising held by another Borrower is subordinated to the Obligations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holding the Indebtedness shall take all actions reasonably requested by Collateral Agent to effect, to enforce and to give notice of such subordination.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22860</wp:posOffset>
            </wp:positionV>
            <wp:extent cx="32588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IMPRIMIS NJOF,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22860</wp:posOffset>
            </wp:positionV>
            <wp:extent cx="32588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IMPRIMISRX CA,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22860</wp:posOffset>
            </wp:positionV>
            <wp:extent cx="32588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IMPRIMISRX NJ,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SWK FUNDING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SWK HOLDING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Winston Black III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Winston Black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22860</wp:posOffset>
            </wp:positionV>
            <wp:extent cx="32588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IMPRIMIS,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-130175</wp:posOffset>
            </wp:positionV>
            <wp:extent cx="32245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24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23495</wp:posOffset>
            </wp:positionV>
            <wp:extent cx="32245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24530" cy="1714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-130175</wp:posOffset>
            </wp:positionV>
            <wp:extent cx="32245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2453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SR-IMPRIMIS,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-130175</wp:posOffset>
            </wp:positionV>
            <wp:extent cx="322453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24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23495</wp:posOffset>
            </wp:positionV>
            <wp:extent cx="322453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24530" cy="1714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-130175</wp:posOffset>
            </wp:positionV>
            <wp:extent cx="32245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24530" cy="17145"/>
                    </a:xfrm>
                    <a:prstGeom prst="rect">
                      <a:avLst/>
                    </a:prstGeom>
                    <a:noFill/>
                  </pic:spPr>
                </pic:pic>
              </a:graphicData>
            </a:graphic>
          </wp:anchor>
        </w:drawing>
      </w:r>
    </w:p>
    <w:p>
      <w:pPr>
        <w:spacing w:after="0" w:line="246"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289560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19"/>
          </w:cols>
          <w:pgMar w:left="340" w:top="688"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660" w:type="dxa"/>
            <w:vAlign w:val="bottom"/>
            <w:gridSpan w:val="4"/>
          </w:tcPr>
          <w:p>
            <w:pPr>
              <w:jc w:val="center"/>
              <w:ind w:right="470"/>
              <w:spacing w:after="0"/>
              <w:rPr>
                <w:sz w:val="20"/>
                <w:szCs w:val="20"/>
                <w:color w:val="auto"/>
              </w:rPr>
            </w:pPr>
            <w:r>
              <w:rPr>
                <w:rFonts w:ascii="Arial" w:cs="Arial" w:eastAsia="Arial" w:hAnsi="Arial"/>
                <w:sz w:val="18"/>
                <w:szCs w:val="18"/>
                <w:b w:val="1"/>
                <w:bCs w:val="1"/>
                <w:color w:val="auto"/>
                <w:w w:val="97"/>
              </w:rPr>
              <w:t>SCHEDULE 1.1</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4660" w:type="dxa"/>
            <w:vAlign w:val="bottom"/>
          </w:tcPr>
          <w:p>
            <w:pPr>
              <w:spacing w:after="0"/>
              <w:rPr>
                <w:sz w:val="24"/>
                <w:szCs w:val="24"/>
                <w:color w:val="auto"/>
              </w:rPr>
            </w:pPr>
          </w:p>
        </w:tc>
        <w:tc>
          <w:tcPr>
            <w:tcW w:w="2660" w:type="dxa"/>
            <w:vAlign w:val="bottom"/>
            <w:gridSpan w:val="4"/>
          </w:tcPr>
          <w:p>
            <w:pPr>
              <w:jc w:val="center"/>
              <w:ind w:right="470"/>
              <w:spacing w:after="0"/>
              <w:rPr>
                <w:sz w:val="20"/>
                <w:szCs w:val="20"/>
                <w:color w:val="auto"/>
              </w:rPr>
            </w:pPr>
            <w:r>
              <w:rPr>
                <w:rFonts w:ascii="Arial" w:cs="Arial" w:eastAsia="Arial" w:hAnsi="Arial"/>
                <w:sz w:val="18"/>
                <w:szCs w:val="18"/>
                <w:b w:val="1"/>
                <w:bCs w:val="1"/>
                <w:color w:val="auto"/>
                <w:w w:val="90"/>
              </w:rPr>
              <w:t>Lenders and Commitments</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3"/>
        </w:trPr>
        <w:tc>
          <w:tcPr>
            <w:tcW w:w="4660" w:type="dxa"/>
            <w:vAlign w:val="bottom"/>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b w:val="1"/>
                <w:bCs w:val="1"/>
                <w:color w:val="auto"/>
              </w:rPr>
              <w:t>Term Loans)</w:t>
            </w: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Lender</w:t>
            </w:r>
          </w:p>
        </w:tc>
        <w:tc>
          <w:tcPr>
            <w:tcW w:w="2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9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Term Loan Commitment</w:t>
            </w:r>
          </w:p>
        </w:tc>
        <w:tc>
          <w:tcPr>
            <w:tcW w:w="32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Commitment Percentage</w:t>
            </w:r>
          </w:p>
        </w:tc>
        <w:tc>
          <w:tcPr>
            <w:tcW w:w="180" w:type="dxa"/>
            <w:vAlign w:val="bottom"/>
            <w:tcBorders>
              <w:bottom w:val="single" w:sz="8" w:color="CCEEFF"/>
            </w:tcBorders>
            <w:gridSpan w:val="2"/>
          </w:tcPr>
          <w:p>
            <w:pPr>
              <w:spacing w:after="0"/>
              <w:rPr>
                <w:sz w:val="19"/>
                <w:szCs w:val="19"/>
                <w:color w:val="auto"/>
              </w:rPr>
            </w:pPr>
          </w:p>
        </w:tc>
      </w:tr>
      <w:tr>
        <w:trPr>
          <w:trHeight w:val="24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SWK Funding LLC</w:t>
            </w:r>
          </w:p>
        </w:tc>
        <w:tc>
          <w:tcPr>
            <w:tcW w:w="2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9,720,000.00</w:t>
            </w:r>
          </w:p>
        </w:tc>
        <w:tc>
          <w:tcPr>
            <w:tcW w:w="320" w:type="dxa"/>
            <w:vAlign w:val="bottom"/>
            <w:shd w:val="clear" w:color="auto" w:fill="CCEEFF"/>
          </w:tcPr>
          <w:p>
            <w:pPr>
              <w:spacing w:after="0"/>
              <w:rPr>
                <w:sz w:val="21"/>
                <w:szCs w:val="21"/>
                <w:color w:val="auto"/>
              </w:rPr>
            </w:pPr>
          </w:p>
        </w:tc>
        <w:tc>
          <w:tcPr>
            <w:tcW w:w="2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60.75%</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HI Imprimis, LLC</w:t>
            </w:r>
          </w:p>
        </w:tc>
        <w:tc>
          <w:tcPr>
            <w:tcW w:w="2660" w:type="dxa"/>
            <w:vAlign w:val="bottom"/>
            <w:gridSpan w:val="4"/>
          </w:tcPr>
          <w:p>
            <w:pPr>
              <w:ind w:left="23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6,000,000</w:t>
            </w:r>
          </w:p>
        </w:tc>
        <w:tc>
          <w:tcPr>
            <w:tcW w:w="2120" w:type="dxa"/>
            <w:vAlign w:val="bottom"/>
            <w:gridSpan w:val="3"/>
          </w:tcPr>
          <w:p>
            <w:pPr>
              <w:jc w:val="right"/>
              <w:ind w:right="40"/>
              <w:spacing w:after="0"/>
              <w:rPr>
                <w:sz w:val="20"/>
                <w:szCs w:val="20"/>
                <w:color w:val="auto"/>
              </w:rPr>
            </w:pPr>
            <w:r>
              <w:rPr>
                <w:rFonts w:ascii="Arial" w:cs="Arial" w:eastAsia="Arial" w:hAnsi="Arial"/>
                <w:sz w:val="18"/>
                <w:szCs w:val="18"/>
                <w:color w:val="auto"/>
              </w:rPr>
              <w:t>37.50%</w:t>
            </w:r>
          </w:p>
        </w:tc>
      </w:tr>
      <w:tr>
        <w:trPr>
          <w:trHeight w:val="262"/>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SR-Imprimis, LLC</w:t>
            </w:r>
          </w:p>
        </w:tc>
        <w:tc>
          <w:tcPr>
            <w:tcW w:w="2660" w:type="dxa"/>
            <w:vAlign w:val="bottom"/>
            <w:gridSpan w:val="4"/>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280,000</w:t>
            </w:r>
          </w:p>
        </w:tc>
        <w:tc>
          <w:tcPr>
            <w:tcW w:w="2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r>
      <w:tr>
        <w:trPr>
          <w:trHeight w:val="210"/>
        </w:trPr>
        <w:tc>
          <w:tcPr>
            <w:tcW w:w="46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w:t>
            </w:r>
          </w:p>
        </w:tc>
        <w:tc>
          <w:tcPr>
            <w:tcW w:w="2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16,000,000.00</w:t>
            </w:r>
          </w:p>
        </w:tc>
        <w:tc>
          <w:tcPr>
            <w:tcW w:w="320" w:type="dxa"/>
            <w:vAlign w:val="bottom"/>
            <w:tcBorders>
              <w:top w:val="single" w:sz="8" w:color="CCEEFF"/>
            </w:tcBorders>
          </w:tcPr>
          <w:p>
            <w:pPr>
              <w:spacing w:after="0"/>
              <w:rPr>
                <w:sz w:val="18"/>
                <w:szCs w:val="18"/>
                <w:color w:val="auto"/>
              </w:rPr>
            </w:pPr>
          </w:p>
        </w:tc>
        <w:tc>
          <w:tcPr>
            <w:tcW w:w="1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100.00</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r>
      <w:tr>
        <w:trPr>
          <w:trHeight w:val="439"/>
        </w:trPr>
        <w:tc>
          <w:tcPr>
            <w:tcW w:w="46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Notwithstanding the foregoing, the Collateral shall not include: (i) more than sixty five percent (65%) of the total combined voting power of all classes of stock entitled to vote the shares of capital stock (the “Shares”) of any foreign Subsidiary if Borrower demonstrates to the Collateral Agent’s reasonable satisfaction that a pledge of more than sixty five percent (65%) of the Shares of such Subsidiary creates a present and existing adverse tax consequence to Borrower under the U.S. Internal Revenue Code; (ii) any equipment that is subject to a Permitted Lien permitted under clause (c) of the definition of Permitted Liens and the loan agreement or lease relating to such equipment forbids any Liens to be attached to such equipment other than a purchase money security interest and only to the extent so prohibited during the term of such lease or loan agreement; (iii) any lease, license, contract, property rights, joint venture interests, or agreement to which Borrower is a party or any of its rights or interests thereunder, in each case, if and only if, and solely to the extent that, the grant of a security interest therein shall constitute or result in a breach, termination, default, abandonment, unenforceability or invalidity thereunder or thereof (other than to the extent that any such term would be rendered ineffective pursuant to Sections 9-406, 9-407, 9-408 or 9-409 of the UCC of any relevant jurisdiction or any other applicable law or principles of equity); provided that immediately upon the time at which the consequences described in the foregoing clause shall no longer exist, the Collateral shall include, and Borrower shall be deemed to have granted a security interest in, all of Borrower’s right, title and interest in such lease, license, contract, property rights, joint venture interests, or agreement; (iv) Motor Vehicles for which certificates of title have been issued, and (v)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Collateral Agent and Lender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Appointment of Collateral Agent.</w:t>
      </w:r>
    </w:p>
    <w:p>
      <w:pPr>
        <w:spacing w:after="0" w:line="229" w:lineRule="exact"/>
        <w:rPr>
          <w:sz w:val="20"/>
          <w:szCs w:val="20"/>
          <w:color w:val="auto"/>
        </w:rPr>
      </w:pPr>
    </w:p>
    <w:p>
      <w:pPr>
        <w:jc w:val="both"/>
        <w:ind w:firstLine="656"/>
        <w:spacing w:after="0" w:line="279" w:lineRule="auto"/>
        <w:tabs>
          <w:tab w:leader="none" w:pos="917" w:val="left"/>
        </w:tabs>
        <w:numPr>
          <w:ilvl w:val="1"/>
          <w:numId w:val="59"/>
        </w:numPr>
        <w:rPr>
          <w:rFonts w:ascii="Arial" w:cs="Arial" w:eastAsia="Arial" w:hAnsi="Arial"/>
          <w:sz w:val="17"/>
          <w:szCs w:val="17"/>
          <w:color w:val="auto"/>
        </w:rPr>
      </w:pPr>
      <w:r>
        <w:rPr>
          <w:rFonts w:ascii="Arial" w:cs="Arial" w:eastAsia="Arial" w:hAnsi="Arial"/>
          <w:sz w:val="17"/>
          <w:szCs w:val="17"/>
          <w:color w:val="auto"/>
        </w:rPr>
        <w:t>Each Lender hereby appoints SWK Funding LLC (together with any successor Collateral Agent pursuant to Section 7 of this Exhibit B) as Collateral Agent under the Loan Documents and authorizes Collateral Agent to (i) execute and deliver the Loan Documents and accept delivery thereof on its behalf from Borrower, (ii) take such action on its behalf and to exercise all rights, powers and remedies and perform the duties as are expressly delegated to Collateral Agent under such Loan Documents and (iii) exercise such powers as are reasonably incidental thereto.</w:t>
      </w:r>
    </w:p>
    <w:p>
      <w:pPr>
        <w:spacing w:after="0" w:line="171" w:lineRule="exact"/>
        <w:rPr>
          <w:rFonts w:ascii="Arial" w:cs="Arial" w:eastAsia="Arial" w:hAnsi="Arial"/>
          <w:sz w:val="17"/>
          <w:szCs w:val="17"/>
          <w:color w:val="auto"/>
        </w:rPr>
      </w:pPr>
    </w:p>
    <w:p>
      <w:pPr>
        <w:jc w:val="both"/>
        <w:ind w:firstLine="656"/>
        <w:spacing w:after="0" w:line="267" w:lineRule="auto"/>
        <w:tabs>
          <w:tab w:leader="none" w:pos="904"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clause (a) above, Collateral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other bankruptcy, insolvency or similar proceeding), and each Person making any payment in connection with any Loan Document to any Lender is hereby authorized to make such payment to Collateral Agent, (ii) file and prove claims and file other documents necessary or desirable to allow the claims of Collateral Agent and Lenders with respect to any Obligation in any bankruptcy, insolvency or similar proceeding (but not to vote, consent or otherwise act on behalf of such Lender), (iii) act as collateral agent for Collateral Agent and each Lender for purposes of the perfection of all Liens created by the Loan Documents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Collateral Agent and the other Lenders with respect to the Borrower and/or the Collateral, whether under the Loan Documents, applicable Requirements of Law or otherwise and (vii) execute any amendment, consent or waiver under the Loan Documents on behalf of any Lender that has consented in writing to such amendment, consent or waiver;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Collateral Agent hereby appoints, authorizes and directs each Lender to act as collateral sub-agent for Collateral Agent and the Lenders for purposes of the perfection of all Liens with respect to the Collateral, including any Deposit Account maintained by Borrower with, and cash and Cash Equivalents held by, such Lender, and may further authorize and direct the Lenders to take further actions as collateral sub-agents for purposes of enforcing such Liens or otherwise to transfer the Collateral subject thereto to Collateral Agent, and each Lender hereby agrees to take such further actions to the extent, and only to the extent, so authorized and directed. Collateral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Exhibit B to the extent provided by Collateral Agent.</w:t>
      </w:r>
    </w:p>
    <w:p>
      <w:pPr>
        <w:spacing w:after="0" w:line="189" w:lineRule="exact"/>
        <w:rPr>
          <w:rFonts w:ascii="Arial" w:cs="Arial" w:eastAsia="Arial" w:hAnsi="Arial"/>
          <w:sz w:val="17"/>
          <w:szCs w:val="17"/>
          <w:color w:val="auto"/>
        </w:rPr>
      </w:pPr>
    </w:p>
    <w:p>
      <w:pPr>
        <w:jc w:val="both"/>
        <w:ind w:firstLine="656"/>
        <w:spacing w:after="0" w:line="284" w:lineRule="auto"/>
        <w:tabs>
          <w:tab w:leader="none" w:pos="903" w:val="left"/>
        </w:tabs>
        <w:numPr>
          <w:ilvl w:val="1"/>
          <w:numId w:val="59"/>
        </w:numPr>
        <w:rPr>
          <w:rFonts w:ascii="Arial" w:cs="Arial" w:eastAsia="Arial" w:hAnsi="Arial"/>
          <w:sz w:val="16"/>
          <w:szCs w:val="16"/>
          <w:color w:val="auto"/>
        </w:rPr>
      </w:pPr>
      <w:r>
        <w:rPr>
          <w:rFonts w:ascii="Arial" w:cs="Arial" w:eastAsia="Arial" w:hAnsi="Arial"/>
          <w:sz w:val="16"/>
          <w:szCs w:val="16"/>
          <w:color w:val="auto"/>
        </w:rPr>
        <w:t>Under the Loan Documents, Collateral Agent (i) is acting solely on behalf of the Lenders, with duties that are entirely administrative in nature, notwithstanding the use of the defined term “Collateral Agent”, the terms “agent”, “Collateral Agent” and “collateral agent” and similar terms in any Loan Document to refer to Collateral Agent, which terms are used for title purposes only, (ii) is not assuming any obligation under any Loan Document other than as expressly set forth therein or any role as agent, fiduciary or trustee of or for any Lender or any other Person and (iii) shall have no implied functions, responsibilities, duties, obligations or other liabilities under any Loan Document, and each Lender, by accepting the benefits of the Loan Documents, hereby waives and agrees not to assert any claim against Collateral Agent based on the roles, duties and legal relationships expressly disclaimed in clauses (i) through</w:t>
      </w:r>
    </w:p>
    <w:p>
      <w:pPr>
        <w:spacing w:after="0" w:line="4" w:lineRule="exact"/>
        <w:rPr>
          <w:rFonts w:ascii="Arial" w:cs="Arial" w:eastAsia="Arial" w:hAnsi="Arial"/>
          <w:sz w:val="16"/>
          <w:szCs w:val="16"/>
          <w:color w:val="auto"/>
        </w:rPr>
      </w:pPr>
    </w:p>
    <w:p>
      <w:pPr>
        <w:jc w:val="both"/>
        <w:ind w:firstLine="8"/>
        <w:spacing w:after="0" w:line="255" w:lineRule="auto"/>
        <w:tabs>
          <w:tab w:leader="none" w:pos="3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above. Except as expressly set forth in the Loan Documents, Collateral Agent shall not have any duty to disclose, and shall not be liable for failure to disclose, any information relating to Borrower or any of its Subsidiaries that is communicated to or obtained by SWK Funding LLC or any of its Affiliates in any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ind w:left="184" w:hanging="184"/>
        <w:spacing w:after="0"/>
        <w:tabs>
          <w:tab w:leader="none" w:pos="18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 Use of Discretion; E-Systems.</w:t>
      </w:r>
    </w:p>
    <w:p>
      <w:pPr>
        <w:spacing w:after="0" w:line="229" w:lineRule="exact"/>
        <w:rPr>
          <w:rFonts w:ascii="Arial" w:cs="Arial" w:eastAsia="Arial" w:hAnsi="Arial"/>
          <w:sz w:val="18"/>
          <w:szCs w:val="18"/>
          <w:b w:val="1"/>
          <w:bCs w:val="1"/>
          <w:color w:val="auto"/>
        </w:rPr>
      </w:pPr>
    </w:p>
    <w:p>
      <w:pPr>
        <w:jc w:val="both"/>
        <w:ind w:left="-656" w:firstLine="1305"/>
        <w:spacing w:after="0" w:line="276" w:lineRule="auto"/>
        <w:tabs>
          <w:tab w:leader="none" w:pos="887" w:val="left"/>
        </w:tabs>
        <w:numPr>
          <w:ilvl w:val="1"/>
          <w:numId w:val="61"/>
        </w:numPr>
        <w:rPr>
          <w:rFonts w:ascii="Arial" w:cs="Arial" w:eastAsia="Arial" w:hAnsi="Arial"/>
          <w:sz w:val="17"/>
          <w:szCs w:val="17"/>
          <w:color w:val="auto"/>
        </w:rPr>
      </w:pPr>
      <w:r>
        <w:rPr>
          <w:rFonts w:ascii="Arial" w:cs="Arial" w:eastAsia="Arial" w:hAnsi="Arial"/>
          <w:sz w:val="17"/>
          <w:szCs w:val="17"/>
          <w:color w:val="auto"/>
        </w:rPr>
        <w:t>Each Lender, by accepting the benefits of the Loan Documents, agrees that (i) any action taken by Collateral Agent or Required Lenders (or, if expressly required in any Loan Document, a greater proportion of the Lenders) in accordance with the provisions of the Loan Documents, (ii) any action taken by Collateral Agent in reliance upon the instructions of Required Lenders (or, where so required, such greater proportion) and (iii) the exercise by Collateral Agent or Required Lenders (or, where so required, such greater proportion) of the powers set forth herein or therein, together with such other powers as are reasonably incidental thereto, shall be authorized and binding upon all of Lenders.</w:t>
      </w:r>
    </w:p>
    <w:p>
      <w:pPr>
        <w:spacing w:after="0" w:line="172" w:lineRule="exact"/>
        <w:rPr>
          <w:rFonts w:ascii="Arial" w:cs="Arial" w:eastAsia="Arial" w:hAnsi="Arial"/>
          <w:sz w:val="17"/>
          <w:szCs w:val="17"/>
          <w:color w:val="auto"/>
        </w:rPr>
      </w:pPr>
    </w:p>
    <w:p>
      <w:pPr>
        <w:jc w:val="both"/>
        <w:ind w:left="-656" w:firstLine="1305"/>
        <w:spacing w:after="0" w:line="289" w:lineRule="auto"/>
        <w:tabs>
          <w:tab w:leader="none" w:pos="902"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Collateral Agent shall request instructions from Required Lenders or all affected Lenders with respect to any act or action (including failure to act) in connection with any Loan Document, then Collateral Agent shall be entitled to refrain from such act or taking such action unless and until Collateral Agent shall have received instructions from Required Lenders or all affected Lenders, as the case may be, and Collateral Agent shall not incur liability to any Person by reason of so refraining. Collateral Agent shall be fully justified in failing or refusing to take any action under any Loan Document (i) if such action would, in the opinion of Collateral Agent, be contrary to any Requirement of Law or any Loan Document, (ii) if such action would, in the opinion of Collateral Agent, expose Collateral Agent to any potential liability under any Requirement of Law or (iii) if Collateral Agent shall not first be indemnified to its satisfaction against any and all liability and expense which may be incurred by it by reason of taking or continuing to take any such action. Without limiting the foregoing, no Lender shall have any right of action whatsoever against Collateral Agent as a result of Collateral Agent acting or refraining from acting under any Loan Document in accordance with the instructions of Required Lenders or all affected Lenders, as applicable.</w:t>
      </w:r>
    </w:p>
    <w:p>
      <w:pPr>
        <w:spacing w:after="0" w:line="166" w:lineRule="exact"/>
        <w:rPr>
          <w:rFonts w:ascii="Arial" w:cs="Arial" w:eastAsia="Arial" w:hAnsi="Arial"/>
          <w:sz w:val="16"/>
          <w:szCs w:val="16"/>
          <w:color w:val="auto"/>
        </w:rPr>
      </w:pPr>
    </w:p>
    <w:p>
      <w:pPr>
        <w:jc w:val="both"/>
        <w:ind w:left="-656" w:firstLine="1305"/>
        <w:spacing w:after="0" w:line="268" w:lineRule="auto"/>
        <w:tabs>
          <w:tab w:leader="none" w:pos="888" w:val="left"/>
        </w:tabs>
        <w:numPr>
          <w:ilvl w:val="1"/>
          <w:numId w:val="61"/>
        </w:numPr>
        <w:rPr>
          <w:rFonts w:ascii="Arial" w:cs="Arial" w:eastAsia="Arial" w:hAnsi="Arial"/>
          <w:sz w:val="17"/>
          <w:szCs w:val="17"/>
          <w:color w:val="auto"/>
        </w:rPr>
      </w:pPr>
      <w:r>
        <w:rPr>
          <w:rFonts w:ascii="Arial" w:cs="Arial" w:eastAsia="Arial" w:hAnsi="Arial"/>
          <w:sz w:val="17"/>
          <w:szCs w:val="17"/>
          <w:color w:val="auto"/>
        </w:rPr>
        <w:t>Collateral Agent is hereby authorized by Borrower and each Lender to establish procedures (and to amend such procedures from time to time) to facilitate administration and servicing of the Term Loans and other matters incidental thereto. Without limiting the generality of the foregoing, Collateral Agent is hereby authorized to establish procedures to make available or deliver, or to accept, notices, documents (including, without limitation, borrowing base certificates) and similar items on, by posting to or submitting and/or completion, on E-Systems. Borrower and each Lender acknowledges and agrees that the use of transmissions via an E-System or electronic mail is not necessarily secure and that there are risks associated with such use, including risks of interception, disclosure and abuse, and Borrower and each Lender assumes and accepts such risks by hereby authorizing the transmission via E-Systems or electronic mail. Each “e-signature” on any such posting shall be deemed sufficient to satisfy any requirement for a “signature”, and 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Requirement of Law governing such subject matter. All uses of an E-System shall be governed by and subject to, in addition to this Section, the separate terms, conditions and privacy policy posted or referenced in such E-System (or such terms, conditions and privacy policy as may be updated from time to time, including on such E-System) and related contractual obligations executed by Collateral Agent, Borrower and/or Lenders in connection with the use of such E-System. ALL E-SYSTEMS AND ELECTRONIC TRANSMISSIONS SHALL BE PROVIDED “AS IS” AND “AS AVAILABLE”. NO REPRESENTATION OR WARRANTY OF ANY KIND IS MADE BY AGENT, ANY LENDER OR ANY OF THEIR RELATED PERSONS IN CONNECTION WITH ANY E-SYSTEMS.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1" w:right="239" w:bottom="1440" w:gutter="0" w:footer="0" w:header="0"/>
        </w:sectPr>
      </w:pPr>
    </w:p>
    <w:bookmarkStart w:id="50" w:name="page51"/>
    <w:bookmarkEnd w:id="50"/>
    <w:p>
      <w:pPr>
        <w:jc w:val="both"/>
        <w:ind w:left="-8" w:firstLine="656"/>
        <w:spacing w:after="0" w:line="293" w:lineRule="auto"/>
        <w:tabs>
          <w:tab w:leader="none" w:pos="820" w:val="left"/>
        </w:tabs>
        <w:numPr>
          <w:ilvl w:val="1"/>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Collateral Agent’s Reliance, Etc. </w:t>
      </w:r>
      <w:r>
        <w:rPr>
          <w:rFonts w:ascii="Arial" w:cs="Arial" w:eastAsia="Arial" w:hAnsi="Arial"/>
          <w:sz w:val="16"/>
          <w:szCs w:val="16"/>
          <w:color w:val="auto"/>
        </w:rPr>
        <w:t>Collateral Agent may, without incurring any liability hereunder, (a) consult with any of its Related Persons and,</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or not selected by it, any other advisors, accountants and other experts (including advisors to, and accountants and experts engaged by, Borrower) and</w:t>
      </w:r>
    </w:p>
    <w:p>
      <w:pPr>
        <w:spacing w:after="0" w:line="1" w:lineRule="exact"/>
        <w:rPr>
          <w:rFonts w:ascii="Arial" w:cs="Arial" w:eastAsia="Arial" w:hAnsi="Arial"/>
          <w:sz w:val="16"/>
          <w:szCs w:val="16"/>
          <w:b w:val="1"/>
          <w:bCs w:val="1"/>
          <w:color w:val="auto"/>
        </w:rPr>
      </w:pPr>
    </w:p>
    <w:p>
      <w:pPr>
        <w:jc w:val="both"/>
        <w:ind w:left="-8" w:firstLine="8"/>
        <w:spacing w:after="0" w:line="283" w:lineRule="auto"/>
        <w:tabs>
          <w:tab w:leader="none" w:pos="256"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rely and act upon any document and information (including those transmitted by electronic transmission) and any telephone message or conversation, in each case believed by it to be genuine and transmitted, signed or otherwise authenticated by the appropriate parties. None of Collateral Agent and its Related Persons shall be liable for any action taken or omitted to be taken by any of them under or in connection with any Loan Document, and each Lender and Borrower hereby waives and shall not assert (and Borrower shall cause its Subsidiaries to waive and agree not to assert) any right, claim or cause of action based thereon, except to the extent of liabilities resulting from the gross negligence or willful misconduct of Collateral Agent or, as the case may be, such Related Person (each as determined in a final, non-appealable judgment of a court of competent jurisdiction) in connection with the duties of Collateral Agent expressly set forth herein. Without limiting the foregoing, Collateral Agent: (i) shall not be responsible or otherwise incur liability for any action or omission taken in reliance upon the instructions of the Required Lenders or for the actions or omissions of any of its Related Persons, except to the extent that a court of competent jurisdiction determines in a final non-appealable judgment that Collateral Agent acted with gross negligence or willful misconduct in the selection of such Related Person; (ii) shall not be responsible to any Lender or other Person for the due execution, legality, validity, enforceability, effectiveness, genuineness, sufficiency or value of, or the attachment, perfection or priority of any Lien created or purported to be created under or in connection with, any Loan Document; (iii) makes no warranty or representation, and shall not be responsible, to any Lender or other Person for any statement, document, information, representation or warranty made or furnished by or on behalf of Borrower or any Related Person of Borrower in connection with any Loan Document or any transaction contemplated therein or any other document or information with respect to Borrower, whether or not transmitted or (except for documents expressly required under any Loan Document to be transmitted to the Lenders) omitted to be transmitted by Collateral Agent, including as to completeness, accuracy, scope or adequacy thereof, or for the scope, nature or results of any due diligence performed by Collateral Agent in connection with the Loan Documents; and (iv) shall not have any duty to ascertain or to inquire as to the performance or observance of any provision of any Loan Document, whether any condition set forth in any Loan Document is satisfied or waived, as to the financial condition of Borrower or as to the existence or continuation or possible occurrence or continuation of any Event of Default, and shall not be deemed to have notice or Knowledge of such occurrence or continuation unless it has received a notice from Borrower or any Lender describing such Event of Default that is clearly labeled “notice of default” (in which case Collateral Agent shall promptly give notice of such receipt to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Collateral Agent shall not be liable to any Lender for any failure to do so, except to the extent that such failure is attributable to Collateral Agent’s gross negligence or willful misconduct as determined by a final non-appealable judgment of a court of competent jurisdiction); and, for each of the items set forth in clauses (i) through (iv) above, each Lender and Borrower hereby waives and agrees not to assert (and Borrower shall cause its Subsidiaries to waive and agree not to assert) any right, claim or cause of action it might have against Collateral Agent based thereon.</w:t>
      </w:r>
    </w:p>
    <w:p>
      <w:pPr>
        <w:spacing w:after="0" w:line="393" w:lineRule="exact"/>
        <w:rPr>
          <w:rFonts w:ascii="Arial" w:cs="Arial" w:eastAsia="Arial" w:hAnsi="Arial"/>
          <w:sz w:val="16"/>
          <w:szCs w:val="16"/>
          <w:color w:val="auto"/>
        </w:rPr>
      </w:pPr>
    </w:p>
    <w:p>
      <w:pPr>
        <w:jc w:val="both"/>
        <w:ind w:left="-8" w:firstLine="656"/>
        <w:spacing w:after="0" w:line="295" w:lineRule="auto"/>
        <w:tabs>
          <w:tab w:leader="none" w:pos="838" w:val="left"/>
        </w:tabs>
        <w:numPr>
          <w:ilvl w:val="1"/>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Collateral Agent Individually. </w:t>
      </w:r>
      <w:r>
        <w:rPr>
          <w:rFonts w:ascii="Arial" w:cs="Arial" w:eastAsia="Arial" w:hAnsi="Arial"/>
          <w:sz w:val="16"/>
          <w:szCs w:val="16"/>
          <w:color w:val="auto"/>
        </w:rPr>
        <w:t>Collateral Agent and its Affiliates may make loans and other extensions of credit to, acquire stock and stock</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of, engage in any kind of business with, Borrower or any Affiliate of Borrower as though it were not acting as Collateral Agent and may receive separate fees and other payments therefor. To the extent Collateral Agent or any of its Affiliates makes any Term Loans or otherwise becomes a Lender hereunder, it shall have and may exercise the same rights and powers hereunder and shall be subject to the same obligations and liabilities as any other Lender and the terms “Lender”, “Required Lender” and any similar terms shall, except where otherwise expressly provided in any Loan Document, include, without limitation, Collateral Agent or such Affiliate, as the case may be, in its individual capacity as Lender, or as one of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1" w:right="239" w:bottom="1440" w:gutter="0" w:footer="0" w:header="0"/>
        </w:sectPr>
      </w:pPr>
    </w:p>
    <w:bookmarkStart w:id="51" w:name="page52"/>
    <w:bookmarkEnd w:id="51"/>
    <w:p>
      <w:pPr>
        <w:jc w:val="both"/>
        <w:ind w:left="-8" w:firstLine="656"/>
        <w:spacing w:after="0" w:line="283" w:lineRule="auto"/>
        <w:tabs>
          <w:tab w:leader="none" w:pos="827" w:val="left"/>
        </w:tabs>
        <w:numPr>
          <w:ilvl w:val="1"/>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Lender Credit Decision; Collateral Agent Report. </w:t>
      </w:r>
      <w:r>
        <w:rPr>
          <w:rFonts w:ascii="Arial" w:cs="Arial" w:eastAsia="Arial" w:hAnsi="Arial"/>
          <w:sz w:val="16"/>
          <w:szCs w:val="16"/>
          <w:color w:val="auto"/>
        </w:rPr>
        <w:t>Each Lender acknowledges that it shall, independently and without reliance upon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any Lender or any of their Related Persons or upon any document solely or in part because such document was transmitted by Collateral Agent or any of its Related Persons, conduct its own independent investigation of the financial condition and affairs of Borrower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Collateral Agent to the Lenders, Collateral Agent shall not have any duty or responsibility to provide any Lender with any credit or other information concerning the business, prospects, operations, Property, financial and other condition or creditworthiness of Borrower or any Affiliate of Borrower that may come in to the possession of Collateral Agent or any of its Related Persons. Each Lender agrees that is shall not rely on any field examination, audit or other report provided by Collateral Agent or its Related Persons (a “</w:t>
      </w:r>
      <w:r>
        <w:rPr>
          <w:rFonts w:ascii="Arial" w:cs="Arial" w:eastAsia="Arial" w:hAnsi="Arial"/>
          <w:sz w:val="16"/>
          <w:szCs w:val="16"/>
          <w:b w:val="1"/>
          <w:bCs w:val="1"/>
          <w:color w:val="auto"/>
        </w:rPr>
        <w:t>Collateral Agent Report</w:t>
      </w:r>
      <w:r>
        <w:rPr>
          <w:rFonts w:ascii="Arial" w:cs="Arial" w:eastAsia="Arial" w:hAnsi="Arial"/>
          <w:sz w:val="16"/>
          <w:szCs w:val="16"/>
          <w:color w:val="auto"/>
        </w:rPr>
        <w:t>”). Each Lender further acknowledges that any Collateral Agent Report (a) is provided to the Lenders solely as a courtesy, without consideration, and based upon the understanding that such Lender will not rely on such Collateral Agent Report, (b) was prepared by Collateral Agent or its Related Persons based upon information provided by Borrower solely for Collateral Agent’s own internal use, and (c) may not be complete and may not reflect all information and findings obtained by Collateral Agent or its Related Persons regarding the operations and condition of Borrower. Neither Collateral Agent nor any of its Related Persons makes any representations or warranties of any kind with respect to (i) any existing or proposed financing, (ii) the accuracy or completeness of the information contained in any Collateral Agent Report or in any related documentation, (iii) the scope or adequacy of Collateral Agent’s and its Related Persons’ due diligence, or the presence or absence of any errors or omissions contained in any Collateral Agent Report or in any related documentation, and</w:t>
      </w:r>
    </w:p>
    <w:p>
      <w:pPr>
        <w:spacing w:after="0" w:line="4" w:lineRule="exact"/>
        <w:rPr>
          <w:rFonts w:ascii="Arial" w:cs="Arial" w:eastAsia="Arial" w:hAnsi="Arial"/>
          <w:sz w:val="16"/>
          <w:szCs w:val="16"/>
          <w:b w:val="1"/>
          <w:bCs w:val="1"/>
          <w:color w:val="auto"/>
        </w:rPr>
      </w:pPr>
    </w:p>
    <w:p>
      <w:pPr>
        <w:jc w:val="both"/>
        <w:ind w:left="-8" w:firstLine="8"/>
        <w:spacing w:after="0" w:line="268" w:lineRule="auto"/>
        <w:tabs>
          <w:tab w:leader="none" w:pos="309"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work performed by Collateral Agent or Collateral Agent’s Related Persons in connection with or using any Collateral Agent Report or any related documentation. Neither Collateral Agent nor any of its Related Persons shall have any duties or obligations in connection with or as a result of any Lender receiving a copy of any Collateral Agent Report. Without limiting the generality of the forgoing, neither Collateral Agent nor any of its Related Persons shall have any responsibility for the accuracy or completeness of any Collateral Agent Report, or the appropriateness of any Collateral Agent Report for any Lender’s purposes, and shall have no duty or responsibility to correct or update any Collateral Agent Report or disclose to any Lender any other information not embodied in any Collateral Agent Report, including any supplemental information obtained after the date of any Collateral Agent Report. Each Lender releases, and agrees that it will not assert, any claim against Collateral Agent or its Related Persons that in any way relates to any Collateral Agent Report or arises out of any Lender having access to any Collateral Agent Report or any discussion of its contents, and agrees to indemnify and hold harmless Collateral Agent and its Related Persons from all claims, liabilities and expenses relating to a breach by any Lender arising out of such Lender’s access to any Collateral Agent Report or any discussion of its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1" w:right="239" w:bottom="1440" w:gutter="0" w:footer="0" w:header="0"/>
        </w:sectPr>
      </w:pPr>
    </w:p>
    <w:bookmarkStart w:id="52" w:name="page53"/>
    <w:bookmarkEnd w:id="52"/>
    <w:p>
      <w:pPr>
        <w:jc w:val="both"/>
        <w:ind w:left="-656" w:firstLine="656"/>
        <w:spacing w:after="0" w:line="284" w:lineRule="auto"/>
        <w:tabs>
          <w:tab w:leader="none" w:pos="172"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Each Lender agrees to reimburse Collateral Agent and each of its Related Persons (to the extent not reimbursed by Borrower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under the Loan Documents) promptly upon demand for its Pro Rata Share of any out-of-pocket costs and expenses (including, without limitation, fees, charges and disbursements of financial, legal and other advisors and any taxes or insurance paid in the name of, or on behalf of, Borrower) incurred by Collateral Agent or any of its Related Persons in connection with the preparation, syndication, execution, delivery, administration, modification, amendment, consent, waiver or enforcement of, or the taking of any 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any Loan Document. Each Lender further agrees to indemnify Collateral Agent and each of its Related Persons (to the extent not reimbursed by Borrower as required under the Loan Documents), ratably according to its Pro Rata Share, from and against any and all liabilities, obligations, losses, damages, penalties, actions, judgments, suits, costs, expenses or disbursements of any kind or nature whatsoever (including, to the extent not indemnified by the applicable Lender, taxes, interests and penalties imposed for not properly withholding or backup withholding on payments made to or for the account of any Lender) that may be imposed on, incurred by, or asserted against Collateral Agent or any of its Related Persons in any matter relating to or arising out of, in connection with or as a result of any Loan Document or any other act, event or transaction related, contemplated in or attendant to any such document, or, in each case, any action taken or omitted to be taken by Collateral Agent or any of its Related Persons under or with respect to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to Collateral Agent or any of its Related Persons under this Section 6 of this Exhibit B to the extent such liability has resulted from the gross negligence or willful misconduct of Collateral Agent or, as the case may be, such Related Person, as determined by a final non-appealable judgment of a court of competent jurisdiction. To the extent required by any applicable Requirement of Law, Collateral Agent may withhold from any payment to any Lender under a Loan Document an amount equal to any applicable withholding tax. If the Internal Revenue Service or any other Governmental Authority asserts a claim that Collateral Agent did not properly withhold tax from amounts paid to or for the account of any Lender for any reason, or if Collateral Agent reasonably determines that it was required to withhold taxes from a prior payment to or for the account of any Lender but failed to do so, such Lender shall promptly indemnify Collateral Agent fully for all amounts paid, directly or indirectly, by Collateral Agent as tax or otherwise, including penalties and interest, and together with all expenses incurred by Collateral Agent. Collateral Agent may offset against any payment to any Lender under a Loan Document, any applicable withholding tax that was required to be withheld from any prior payment to such Lender but which was not so withheld, as well as any other amounts for which Collateral Agent is entitled to indemnification from such Lender under the immediately preceding sentence of this Section 6 of this Exhibit B.</w:t>
      </w:r>
    </w:p>
    <w:p>
      <w:pPr>
        <w:spacing w:after="0" w:line="176" w:lineRule="exact"/>
        <w:rPr>
          <w:rFonts w:ascii="Arial" w:cs="Arial" w:eastAsia="Arial" w:hAnsi="Arial"/>
          <w:sz w:val="16"/>
          <w:szCs w:val="16"/>
          <w:b w:val="1"/>
          <w:bCs w:val="1"/>
          <w:color w:val="auto"/>
        </w:rPr>
      </w:pPr>
    </w:p>
    <w:p>
      <w:pPr>
        <w:jc w:val="both"/>
        <w:ind w:left="-656" w:firstLine="656"/>
        <w:spacing w:after="0" w:line="287" w:lineRule="auto"/>
        <w:tabs>
          <w:tab w:leader="none" w:pos="195"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 Collateral Agent. </w:t>
      </w:r>
      <w:r>
        <w:rPr>
          <w:rFonts w:ascii="Arial" w:cs="Arial" w:eastAsia="Arial" w:hAnsi="Arial"/>
          <w:sz w:val="16"/>
          <w:szCs w:val="16"/>
          <w:color w:val="auto"/>
        </w:rPr>
        <w:t>Collateral Agent may resign at any time by delivering notice of such resignation to the Lenders and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on the date set forth in such notice or, if no such date is set forth therein, upon the date such notice shall be effective, in accordance with the terms of this Section 7 of this Exhibit B. If Collateral Agent delivers any such notice, the Supermajority Lenders shall have the right to appoint a successor Collateral Agent. If, after 30 days after the date of the retiring Collateral Agent’s notice of resignation, no successor Collateral Agent has been appointed by the Supermajority Lenders that has accepted such appointment, then the retiring Collateral Agent may, on behalf of the Lenders, appoint a successor Collateral Agent from among the Lenders. Effective immediately upon its resignation, (a) the retiring Collateral Agent shall be discharged from its duties and obligations under the Loan Documents, (b) the Lenders shall assume and perform all of the duties of Collateral Agent until a successor Collateral Agent shall have accepted a valid appointment hereunder, (c) the retiring Collateral Agent and its Related Persons shall no longer have the benefit of any provision of any Loan Document other than with respect to any actions taken or omitted to be taken while such retiring Collateral Agent was, or because such Collateral Agent had been, validly acting as Collateral Agent under the Loan Documents, and (iv) subject to its rights under Section 2(b) of this Exhibit B, the retiring Collateral Agent shall take such action as may be reasonably necessary to assign to the successor Collateral Agent its rights as Collateral Agent under the Loan Documents. Effective immediately upon its acceptance of a valid appointment as Collateral Agent, a successor Collateral Agent shall succeed to, and become vested with, all the rights, powers, privileges and duties of the retiring Collateral Agent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253365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1" w:right="239" w:bottom="1440" w:gutter="0" w:footer="0" w:header="0"/>
        </w:sectPr>
      </w:pPr>
    </w:p>
    <w:bookmarkStart w:id="53" w:name="page54"/>
    <w:bookmarkEnd w:id="53"/>
    <w:p>
      <w:pPr>
        <w:ind w:firstLine="656"/>
        <w:spacing w:after="0" w:line="282" w:lineRule="auto"/>
        <w:tabs>
          <w:tab w:leader="none" w:pos="837"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of Collateral. </w:t>
      </w:r>
      <w:r>
        <w:rPr>
          <w:rFonts w:ascii="Arial" w:cs="Arial" w:eastAsia="Arial" w:hAnsi="Arial"/>
          <w:sz w:val="18"/>
          <w:szCs w:val="18"/>
          <w:color w:val="auto"/>
        </w:rPr>
        <w:t>Each Lender hereby consents to the release and hereby directs Collateral Agent to release (or in the case of clause (b)(ii)</w:t>
      </w:r>
      <w:r>
        <w:rPr>
          <w:rFonts w:ascii="Arial" w:cs="Arial" w:eastAsia="Arial" w:hAnsi="Arial"/>
          <w:sz w:val="18"/>
          <w:szCs w:val="18"/>
          <w:b w:val="1"/>
          <w:bCs w:val="1"/>
          <w:color w:val="auto"/>
        </w:rPr>
        <w:t xml:space="preserve"> </w:t>
      </w:r>
      <w:r>
        <w:rPr>
          <w:rFonts w:ascii="Arial" w:cs="Arial" w:eastAsia="Arial" w:hAnsi="Arial"/>
          <w:sz w:val="18"/>
          <w:szCs w:val="18"/>
          <w:color w:val="auto"/>
        </w:rPr>
        <w:t>below, release or subordinate) the following:</w:t>
      </w:r>
    </w:p>
    <w:p>
      <w:pPr>
        <w:spacing w:after="0" w:line="165" w:lineRule="exact"/>
        <w:rPr>
          <w:rFonts w:ascii="Arial" w:cs="Arial" w:eastAsia="Arial" w:hAnsi="Arial"/>
          <w:sz w:val="18"/>
          <w:szCs w:val="18"/>
          <w:b w:val="1"/>
          <w:bCs w:val="1"/>
          <w:color w:val="auto"/>
        </w:rPr>
      </w:pPr>
    </w:p>
    <w:p>
      <w:pPr>
        <w:jc w:val="both"/>
        <w:ind w:firstLine="1305"/>
        <w:spacing w:after="0" w:line="264" w:lineRule="auto"/>
        <w:tabs>
          <w:tab w:leader="none" w:pos="155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Guarantor if all of the stock of such Subsidiary owned by Borrower is sold or transferred in a transaction permitted under the Loan Documents (including pursuant to a valid waiver or consent), to the extent that, after giving effect to such transaction, such Subsidiary would not be required to guaranty any Obligations pursuant to any Loan Document; and</w:t>
      </w:r>
    </w:p>
    <w:p>
      <w:pPr>
        <w:spacing w:after="0" w:line="181" w:lineRule="exact"/>
        <w:rPr>
          <w:rFonts w:ascii="Arial" w:cs="Arial" w:eastAsia="Arial" w:hAnsi="Arial"/>
          <w:sz w:val="18"/>
          <w:szCs w:val="18"/>
          <w:color w:val="auto"/>
        </w:rPr>
      </w:pPr>
    </w:p>
    <w:p>
      <w:pPr>
        <w:jc w:val="both"/>
        <w:ind w:firstLine="1305"/>
        <w:spacing w:after="0" w:line="293" w:lineRule="auto"/>
        <w:tabs>
          <w:tab w:leader="none" w:pos="1545"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Lien held by Collateral Agent for the benefit of itself and the Lenders against (i) any Collateral that is sold or otherwise disposed of by Borrower in a transaction permitted by the Loan Documents (including pursuant to a valid waiver or consent), (ii) any Collateral subject to a Lien that is expressly permitted under clause (c) of the definition of the term “Permitted Lien” and (iii) all of the Collateral and Borrower, upon (A) termination of all of the Commitments, (B) payment in full in cash of all of the Obligations that Collateral Agent has theretofore been notified in writing by the holder of such Obligation are then due and payable, and (C) to the extent requested by Collateral Agent, receipt by Collateral Agent and Lenders of liability releases from Borrower in form and substance acceptable to Collateral Agent (the satisfaction of the conditions in this clause (iii), the “</w:t>
      </w:r>
      <w:r>
        <w:rPr>
          <w:rFonts w:ascii="Arial" w:cs="Arial" w:eastAsia="Arial" w:hAnsi="Arial"/>
          <w:sz w:val="16"/>
          <w:szCs w:val="16"/>
          <w:b w:val="1"/>
          <w:bCs w:val="1"/>
          <w:color w:val="auto"/>
        </w:rPr>
        <w:t>Termination Date</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jc w:val="both"/>
        <w:ind w:firstLine="656"/>
        <w:spacing w:after="0" w:line="286" w:lineRule="auto"/>
        <w:tabs>
          <w:tab w:leader="none" w:pos="836"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Setoff and Sharing of Payments. </w:t>
      </w:r>
      <w:r>
        <w:rPr>
          <w:rFonts w:ascii="Arial" w:cs="Arial" w:eastAsia="Arial" w:hAnsi="Arial"/>
          <w:sz w:val="16"/>
          <w:szCs w:val="16"/>
          <w:color w:val="auto"/>
        </w:rPr>
        <w:t>In addition to any rights now or hereafter granted under any applicable requirement of law and not by way of</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of any such rights, upon the occurrence and during the continuance of any Event of Default and subject to Section 10(d) of this Exhibit B, each Lender is hereby authorized at any time or from time to time upon the direction of Collateral Agent, without notice to Borrower or any other Person, any such notice being hereby expressly waived, to setoff and to appropriate and to apply any and all balances held by it at any of its offices for the account of Borrower (regardless of whether such balances are then due to Borrower) and any other properties or assets at any time held or owing by that Lender or that holder to or for the credit or for the account of Borrower against and on account of any of the Obligations that are not paid when due.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of the Obligations. Borrower agrees, to the fullest extent permitted by law, that (a) any Lender may exercise its right to offset with respect to amounts in excess of its Pro Rata Share of the Obligations and may purchase participations in accordance with the preceding sentence and (b) any Lender so purchasing a participation in the Term Loans made or other Obligations held by other Lenders or holders may exercise all rights of offset, bankers’ lien, counterclaim or similar rights with respect to such participation as fully as if such Lender or holder were a direct holder of the Term Loans and the other Obligations in the amount of such participation.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w:t>
      </w:r>
    </w:p>
    <w:p>
      <w:pPr>
        <w:spacing w:after="0" w:line="168" w:lineRule="exact"/>
        <w:rPr>
          <w:rFonts w:ascii="Arial" w:cs="Arial" w:eastAsia="Arial" w:hAnsi="Arial"/>
          <w:sz w:val="16"/>
          <w:szCs w:val="16"/>
          <w:b w:val="1"/>
          <w:bCs w:val="1"/>
          <w:color w:val="auto"/>
        </w:rPr>
      </w:pPr>
    </w:p>
    <w:p>
      <w:pPr>
        <w:ind w:left="920" w:hanging="264"/>
        <w:spacing w:after="0"/>
        <w:tabs>
          <w:tab w:leader="none" w:pos="9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Advances; Payments; Non-Funding Lenders; Actions in Concert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540" w:hanging="235"/>
        <w:spacing w:after="0"/>
        <w:tabs>
          <w:tab w:leader="none" w:pos="1540"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Advances; Payments</w:t>
      </w:r>
      <w:r>
        <w:rPr>
          <w:rFonts w:ascii="Arial" w:cs="Arial" w:eastAsia="Arial" w:hAnsi="Arial"/>
          <w:sz w:val="16"/>
          <w:szCs w:val="16"/>
          <w:color w:val="auto"/>
        </w:rPr>
        <w:t>. If Collateral Agent receives any payment with respect to a Term Loan for the account of Lenders on or prior to</w:t>
      </w:r>
    </w:p>
    <w:p>
      <w:pPr>
        <w:spacing w:after="0" w:line="46" w:lineRule="exact"/>
        <w:rPr>
          <w:rFonts w:ascii="Arial" w:cs="Arial" w:eastAsia="Arial" w:hAnsi="Arial"/>
          <w:sz w:val="16"/>
          <w:szCs w:val="16"/>
          <w:color w:val="auto"/>
        </w:rPr>
      </w:pPr>
    </w:p>
    <w:p>
      <w:pPr>
        <w:jc w:val="both"/>
        <w:spacing w:after="0" w:line="277" w:lineRule="auto"/>
        <w:rPr>
          <w:rFonts w:ascii="Arial" w:cs="Arial" w:eastAsia="Arial" w:hAnsi="Arial"/>
          <w:sz w:val="16"/>
          <w:szCs w:val="16"/>
          <w:color w:val="auto"/>
        </w:rPr>
      </w:pPr>
      <w:r>
        <w:rPr>
          <w:rFonts w:ascii="Arial" w:cs="Arial" w:eastAsia="Arial" w:hAnsi="Arial"/>
          <w:sz w:val="17"/>
          <w:szCs w:val="17"/>
          <w:color w:val="auto"/>
        </w:rPr>
        <w:t>2:00 p.m. (New York time) on any Business Day, Collateral Agent shall pay to each applicable Lender such Lender’s Pro Rata Share of such payment on such Business Day. If Collateral Agent receives any payment with respect to a Term Loan for the account of Lenders after 2:00 p.m. (New York time) on any Business Day, Collateral Agent shall pay to each applicable Lender such Lender’s Pro Rata Share of such payment on the next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ind w:left="360" w:hanging="255"/>
        <w:spacing w:after="0"/>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Return of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00" w:firstLine="2196"/>
        <w:spacing w:after="0" w:line="259" w:lineRule="auto"/>
        <w:tabs>
          <w:tab w:leader="none" w:pos="12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Collateral Agent pays an amount to a Lender under this Agreement in the belief or expectation that a related payment has been or will be received by Collateral Agent from Borrower and such related payment is not received by Collateral Agent, then Collateral Agent will be entitled to recover such amount (including interest accruing on such amount at the rate otherwise applicable to such Obligation) from such Lender on demand without setoff, counterclaim or deduction of any kind.</w:t>
      </w:r>
    </w:p>
    <w:p>
      <w:pPr>
        <w:spacing w:after="0" w:line="186" w:lineRule="exact"/>
        <w:rPr>
          <w:rFonts w:ascii="Arial" w:cs="Arial" w:eastAsia="Arial" w:hAnsi="Arial"/>
          <w:sz w:val="18"/>
          <w:szCs w:val="18"/>
          <w:color w:val="auto"/>
        </w:rPr>
      </w:pPr>
    </w:p>
    <w:p>
      <w:pPr>
        <w:jc w:val="both"/>
        <w:ind w:left="-1200" w:firstLine="2196"/>
        <w:spacing w:after="0" w:line="273" w:lineRule="auto"/>
        <w:tabs>
          <w:tab w:leader="none" w:pos="1253" w:val="left"/>
        </w:tabs>
        <w:numPr>
          <w:ilvl w:val="1"/>
          <w:numId w:val="69"/>
        </w:numPr>
        <w:rPr>
          <w:rFonts w:ascii="Arial" w:cs="Arial" w:eastAsia="Arial" w:hAnsi="Arial"/>
          <w:sz w:val="17"/>
          <w:szCs w:val="17"/>
          <w:color w:val="auto"/>
        </w:rPr>
      </w:pPr>
      <w:r>
        <w:rPr>
          <w:rFonts w:ascii="Arial" w:cs="Arial" w:eastAsia="Arial" w:hAnsi="Arial"/>
          <w:sz w:val="17"/>
          <w:szCs w:val="17"/>
          <w:color w:val="auto"/>
        </w:rPr>
        <w:t>If Collateral Agent determines at any time that any amount received by Collateral Agent under any Loan Document must be returned to Borrower or paid to any other Person pursuant to any insolvency law or otherwise, then, notwithstanding any other term or condition of any Loan Document, Collateral Agent will not be required to distribute any portion thereof to any Lender. In addition, each Lender will repay to Collateral Agent on demand any portion of such amount that Collateral Agent has distributed to such Lender, together with interest at such rate, if any, as Collateral Agent is required to pay to Borrower or such other Person, without setoff, counterclaim or deduction of any kind and Collateral Agent will be entitled to set off against future distributions to such Lender any such amounts (with interest) that are not repaid on demand.</w:t>
      </w:r>
    </w:p>
    <w:p>
      <w:pPr>
        <w:spacing w:after="0" w:line="178" w:lineRule="exact"/>
        <w:rPr>
          <w:rFonts w:ascii="Arial" w:cs="Arial" w:eastAsia="Arial" w:hAnsi="Arial"/>
          <w:sz w:val="17"/>
          <w:szCs w:val="17"/>
          <w:color w:val="auto"/>
        </w:rPr>
      </w:pPr>
    </w:p>
    <w:p>
      <w:pPr>
        <w:ind w:left="340" w:hanging="235"/>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Non-Funding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00" w:firstLine="2196"/>
        <w:spacing w:after="0" w:line="289" w:lineRule="auto"/>
        <w:tabs>
          <w:tab w:leader="none" w:pos="1211" w:val="left"/>
        </w:tabs>
        <w:numPr>
          <w:ilvl w:val="1"/>
          <w:numId w:val="69"/>
        </w:numPr>
        <w:rPr>
          <w:rFonts w:ascii="Arial" w:cs="Arial" w:eastAsia="Arial" w:hAnsi="Arial"/>
          <w:sz w:val="16"/>
          <w:szCs w:val="16"/>
          <w:color w:val="auto"/>
        </w:rPr>
      </w:pPr>
      <w:r>
        <w:rPr>
          <w:rFonts w:ascii="Arial" w:cs="Arial" w:eastAsia="Arial" w:hAnsi="Arial"/>
          <w:sz w:val="16"/>
          <w:szCs w:val="16"/>
          <w:color w:val="auto"/>
        </w:rPr>
        <w:t>Unless Collateral Agent shall have received notice from a Lender prior to the date of any Term Loan that such Lender will not make available to Collateral Agent such Lender’s Pro Rata Share of such Term Loan, Collateral Agent may assume that such Lender will make such amount available to it on the date of such Term Loan in accordance with Section 2(b) of this Exhibit B, and Collateral Agent may (but shall not be obligated to), in reliance upon such assumption, make available a corresponding amount for the account of Borrower on such date. If and to the extent that such Lender shall not have made such amount available to Collateral Agent, such Lender and Borrower severally agree to repay to Collateral Agent forthwith on demand such corresponding amount together with interest thereon, for each day from the day such amount is made available to Borrower until the day such amount is repaid to Collateral Agent, at a rate per annum equal to the interest rate applicable to the Obligation that would have been created when Collateral Agent made available such amount to Borrower had such Lender made a corresponding payment available. If such Lender shall repay such corresponding amount to Collateral Agent, the amount so repaid shall constitute such Lender’s portion of such Term Loan for purposes of this Agreement.</w:t>
      </w:r>
    </w:p>
    <w:p>
      <w:pPr>
        <w:spacing w:after="0" w:line="166" w:lineRule="exact"/>
        <w:rPr>
          <w:rFonts w:ascii="Arial" w:cs="Arial" w:eastAsia="Arial" w:hAnsi="Arial"/>
          <w:sz w:val="16"/>
          <w:szCs w:val="16"/>
          <w:color w:val="auto"/>
        </w:rPr>
      </w:pPr>
    </w:p>
    <w:p>
      <w:pPr>
        <w:jc w:val="both"/>
        <w:ind w:left="-1200" w:firstLine="2196"/>
        <w:spacing w:after="0" w:line="286" w:lineRule="auto"/>
        <w:tabs>
          <w:tab w:leader="none" w:pos="1257" w:val="left"/>
        </w:tabs>
        <w:numPr>
          <w:ilvl w:val="1"/>
          <w:numId w:val="69"/>
        </w:numPr>
        <w:rPr>
          <w:rFonts w:ascii="Arial" w:cs="Arial" w:eastAsia="Arial" w:hAnsi="Arial"/>
          <w:sz w:val="16"/>
          <w:szCs w:val="16"/>
          <w:color w:val="auto"/>
        </w:rPr>
      </w:pPr>
      <w:r>
        <w:rPr>
          <w:rFonts w:ascii="Arial" w:cs="Arial" w:eastAsia="Arial" w:hAnsi="Arial"/>
          <w:sz w:val="16"/>
          <w:szCs w:val="16"/>
          <w:color w:val="auto"/>
        </w:rPr>
        <w:t>To the extent that any Lender has failed to fund any Term Loan or any other payments required to be made by it under the Loan Documents after any such Term Loan is required to be made or such payment is due (a “</w:t>
      </w:r>
      <w:r>
        <w:rPr>
          <w:rFonts w:ascii="Arial" w:cs="Arial" w:eastAsia="Arial" w:hAnsi="Arial"/>
          <w:sz w:val="16"/>
          <w:szCs w:val="16"/>
          <w:b w:val="1"/>
          <w:bCs w:val="1"/>
          <w:color w:val="auto"/>
        </w:rPr>
        <w:t>Non-Funding Lender</w:t>
      </w:r>
      <w:r>
        <w:rPr>
          <w:rFonts w:ascii="Arial" w:cs="Arial" w:eastAsia="Arial" w:hAnsi="Arial"/>
          <w:sz w:val="16"/>
          <w:szCs w:val="16"/>
          <w:color w:val="auto"/>
        </w:rPr>
        <w:t>”), Collateral Agent shall be entitled to set off the funding short-fall against that Non-Funding Lender’s Pro Rata Share of all payments received from Borrower. The failure of any Non-Funding Lender to make any Term Loan or any payment required by it hereunder shall not relieve any other Lender (each such other Lender, an “</w:t>
      </w:r>
      <w:r>
        <w:rPr>
          <w:rFonts w:ascii="Arial" w:cs="Arial" w:eastAsia="Arial" w:hAnsi="Arial"/>
          <w:sz w:val="16"/>
          <w:szCs w:val="16"/>
          <w:b w:val="1"/>
          <w:bCs w:val="1"/>
          <w:color w:val="auto"/>
        </w:rPr>
        <w:t>Other Lender</w:t>
      </w:r>
      <w:r>
        <w:rPr>
          <w:rFonts w:ascii="Arial" w:cs="Arial" w:eastAsia="Arial" w:hAnsi="Arial"/>
          <w:sz w:val="16"/>
          <w:szCs w:val="16"/>
          <w:color w:val="auto"/>
        </w:rPr>
        <w:t>”) of its obligations to make such Term Loan, but neither any Other Lender nor Collateral Agent shall be responsible for the failure of any Non-Funding Lender to make such Term Loan or make any other payment required hereunder. Notwithstanding anything set forth herein to the contrary, a Non-Funding Lender shall not have any voting or consent rights under or with respect to any Loan Document or constitute a “Lender” (or be included in the calculation of “Required Lender” hereunder) for any voting or consent rights under or with respect to any Loan Document. At Borrower’s request, Collateral Agent or a Person reasonably acceptable to Collateral Agent shall have the right with Collateral Agent’s consent and in Collateral Agent’s sole discretion (but Collateral Agent or any such Person shall have no obligation) to purchase from any Non-Funding Lender, and each Lender agrees that if it becomes a Non-Funding Lender it shall, at Collateral Agent’s request, sell and assign to Collateral Agent or such Person, all of the Term Loan Commitment (if any), and all of the outstanding Term Loan of that Non-Funding Lender for an amount equal to the aggregate outstanding principal balance of the Term Loan held by such Non-Funding Lender and all accrued interest with respect thereto through the date of sale, such purchase and sale to be consummated pursuant to an executed assignment agreement in form and substance reasonably satisfactory to, and acknowledged by, Collateral Agent.</w:t>
      </w:r>
    </w:p>
    <w:p>
      <w:pPr>
        <w:spacing w:after="0" w:line="171" w:lineRule="exact"/>
        <w:rPr>
          <w:rFonts w:ascii="Arial" w:cs="Arial" w:eastAsia="Arial" w:hAnsi="Arial"/>
          <w:sz w:val="16"/>
          <w:szCs w:val="16"/>
          <w:color w:val="auto"/>
        </w:rPr>
      </w:pPr>
    </w:p>
    <w:p>
      <w:pPr>
        <w:jc w:val="both"/>
        <w:ind w:left="-1200" w:firstLine="1305"/>
        <w:spacing w:after="0" w:line="279" w:lineRule="auto"/>
        <w:tabs>
          <w:tab w:leader="none" w:pos="351"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Actions in Concert</w:t>
      </w:r>
      <w:r>
        <w:rPr>
          <w:rFonts w:ascii="Arial" w:cs="Arial" w:eastAsia="Arial" w:hAnsi="Arial"/>
          <w:sz w:val="17"/>
          <w:szCs w:val="17"/>
          <w:color w:val="auto"/>
        </w:rPr>
        <w:t>. Anything in this Agreement to the contrary notwithstanding, each Lender hereby agrees with each other Lender that no Lender shall take any action to protect or enforce its rights arising out of any Loan Document (including exercising any rights of setoff) without first obtaining the prior written consent of Collateral Agent or Required Lenders, it being the intent of Lenders that any such action to protect or enforce rights under any Loan Document shall be taken in concert and at the direction or with the consent of Collateral Agent or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255270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920" w:type="dxa"/>
            <w:vAlign w:val="bottom"/>
          </w:tcPr>
          <w:p>
            <w:pPr>
              <w:jc w:val="center"/>
              <w:ind w:right="4390"/>
              <w:spacing w:after="0"/>
              <w:rPr>
                <w:sz w:val="20"/>
                <w:szCs w:val="20"/>
                <w:color w:val="auto"/>
              </w:rPr>
            </w:pPr>
            <w:r>
              <w:rPr>
                <w:rFonts w:ascii="Arial" w:cs="Arial" w:eastAsia="Arial" w:hAnsi="Arial"/>
                <w:sz w:val="18"/>
                <w:szCs w:val="18"/>
                <w:color w:val="auto"/>
                <w:w w:val="99"/>
              </w:rPr>
              <w:t>EXHIBIT C</w:t>
            </w:r>
          </w:p>
        </w:tc>
      </w:tr>
      <w:tr>
        <w:trPr>
          <w:trHeight w:val="432"/>
        </w:trPr>
        <w:tc>
          <w:tcPr>
            <w:tcW w:w="1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920" w:type="dxa"/>
            <w:vAlign w:val="bottom"/>
          </w:tcPr>
          <w:p>
            <w:pPr>
              <w:jc w:val="center"/>
              <w:ind w:right="4410"/>
              <w:spacing w:after="0"/>
              <w:rPr>
                <w:sz w:val="20"/>
                <w:szCs w:val="20"/>
                <w:color w:val="auto"/>
              </w:rPr>
            </w:pPr>
            <w:r>
              <w:rPr>
                <w:rFonts w:ascii="Arial" w:cs="Arial" w:eastAsia="Arial" w:hAnsi="Arial"/>
                <w:sz w:val="18"/>
                <w:szCs w:val="18"/>
                <w:color w:val="auto"/>
                <w:w w:val="89"/>
              </w:rPr>
              <w:t>Loan Payment Request Form</w:t>
            </w: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Fax To:</w:t>
            </w:r>
          </w:p>
        </w:tc>
        <w:tc>
          <w:tcPr>
            <w:tcW w:w="960" w:type="dxa"/>
            <w:vAlign w:val="bottom"/>
          </w:tcPr>
          <w:p>
            <w:pPr>
              <w:spacing w:after="0"/>
              <w:rPr>
                <w:sz w:val="24"/>
                <w:szCs w:val="24"/>
                <w:color w:val="auto"/>
              </w:rPr>
            </w:pPr>
          </w:p>
        </w:tc>
        <w:tc>
          <w:tcPr>
            <w:tcW w:w="6920" w:type="dxa"/>
            <w:vAlign w:val="bottom"/>
          </w:tcPr>
          <w:p>
            <w:pPr>
              <w:ind w:left="1960"/>
              <w:spacing w:after="0"/>
              <w:rPr>
                <w:sz w:val="20"/>
                <w:szCs w:val="20"/>
                <w:color w:val="auto"/>
              </w:rPr>
            </w:pPr>
            <w:r>
              <w:rPr>
                <w:rFonts w:ascii="Arial" w:cs="Arial" w:eastAsia="Arial" w:hAnsi="Arial"/>
                <w:sz w:val="18"/>
                <w:szCs w:val="18"/>
                <w:color w:val="auto"/>
              </w:rPr>
              <w:t>Date: _____________________</w:t>
            </w:r>
          </w:p>
        </w:tc>
      </w:tr>
      <w:tr>
        <w:trPr>
          <w:trHeight w:val="213"/>
        </w:trPr>
        <w:tc>
          <w:tcPr>
            <w:tcW w:w="16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920" w:type="dxa"/>
            <w:vAlign w:val="bottom"/>
            <w:tcBorders>
              <w:bottom w:val="single" w:sz="8" w:color="auto"/>
            </w:tcBorders>
          </w:tcPr>
          <w:p>
            <w:pPr>
              <w:spacing w:after="0"/>
              <w:rPr>
                <w:sz w:val="18"/>
                <w:szCs w:val="18"/>
                <w:color w:val="auto"/>
              </w:rPr>
            </w:pPr>
          </w:p>
        </w:tc>
      </w:tr>
      <w:tr>
        <w:trPr>
          <w:trHeight w:val="234"/>
        </w:trPr>
        <w:tc>
          <w:tcPr>
            <w:tcW w:w="354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920" w:type="dxa"/>
            <w:vAlign w:val="bottom"/>
            <w:tcBorders>
              <w:right w:val="single" w:sz="8" w:color="auto"/>
            </w:tcBorders>
          </w:tcPr>
          <w:p>
            <w:pPr>
              <w:spacing w:after="0"/>
              <w:rPr>
                <w:sz w:val="20"/>
                <w:szCs w:val="20"/>
                <w:color w:val="auto"/>
              </w:rPr>
            </w:pPr>
          </w:p>
        </w:tc>
      </w:tr>
      <w:tr>
        <w:trPr>
          <w:trHeight w:val="411"/>
        </w:trPr>
        <w:tc>
          <w:tcPr>
            <w:tcW w:w="1660" w:type="dxa"/>
            <w:vAlign w:val="bottom"/>
            <w:tcBorders>
              <w:lef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7880" w:type="dxa"/>
            <w:vAlign w:val="bottom"/>
            <w:tcBorders>
              <w:right w:val="single" w:sz="8" w:color="auto"/>
            </w:tcBorders>
            <w:gridSpan w:val="2"/>
          </w:tcPr>
          <w:p>
            <w:pPr>
              <w:jc w:val="center"/>
              <w:ind w:right="3450"/>
              <w:spacing w:after="0"/>
              <w:rPr>
                <w:sz w:val="20"/>
                <w:szCs w:val="20"/>
                <w:color w:val="auto"/>
              </w:rPr>
            </w:pPr>
            <w:r>
              <w:rPr>
                <w:rFonts w:ascii="Arial" w:cs="Arial" w:eastAsia="Arial" w:hAnsi="Arial"/>
                <w:sz w:val="18"/>
                <w:szCs w:val="18"/>
                <w:color w:val="auto"/>
                <w:w w:val="98"/>
              </w:rPr>
              <w:t>IMPRIMIS PHARMACEUTICALS, INC.</w:t>
            </w:r>
          </w:p>
        </w:tc>
      </w:tr>
      <w:tr>
        <w:trPr>
          <w:trHeight w:val="418"/>
        </w:trPr>
        <w:tc>
          <w:tcPr>
            <w:tcW w:w="1142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From Account #________________________________ To Account #_________________________________</w:t>
            </w:r>
          </w:p>
        </w:tc>
      </w:tr>
      <w:tr>
        <w:trPr>
          <w:trHeight w:val="230"/>
        </w:trPr>
        <w:tc>
          <w:tcPr>
            <w:tcW w:w="3540" w:type="dxa"/>
            <w:vAlign w:val="bottom"/>
            <w:tcBorders>
              <w:left w:val="single" w:sz="8" w:color="auto"/>
            </w:tcBorders>
            <w:gridSpan w:val="2"/>
          </w:tcPr>
          <w:p>
            <w:pPr>
              <w:ind w:left="1460"/>
              <w:spacing w:after="0"/>
              <w:rPr>
                <w:sz w:val="20"/>
                <w:szCs w:val="20"/>
                <w:color w:val="auto"/>
              </w:rPr>
            </w:pPr>
            <w:r>
              <w:rPr>
                <w:rFonts w:ascii="Arial" w:cs="Arial" w:eastAsia="Arial" w:hAnsi="Arial"/>
                <w:sz w:val="18"/>
                <w:szCs w:val="18"/>
                <w:color w:val="auto"/>
              </w:rPr>
              <w:t>(Deposit Account #)</w:t>
            </w:r>
          </w:p>
        </w:tc>
        <w:tc>
          <w:tcPr>
            <w:tcW w:w="960" w:type="dxa"/>
            <w:vAlign w:val="bottom"/>
          </w:tcPr>
          <w:p>
            <w:pPr>
              <w:spacing w:after="0"/>
              <w:rPr>
                <w:sz w:val="20"/>
                <w:szCs w:val="20"/>
                <w:color w:val="auto"/>
              </w:rPr>
            </w:pPr>
          </w:p>
        </w:tc>
        <w:tc>
          <w:tcPr>
            <w:tcW w:w="6920" w:type="dxa"/>
            <w:vAlign w:val="bottom"/>
            <w:tcBorders>
              <w:right w:val="single" w:sz="8" w:color="auto"/>
            </w:tcBorders>
          </w:tcPr>
          <w:p>
            <w:pPr>
              <w:ind w:left="1920"/>
              <w:spacing w:after="0"/>
              <w:rPr>
                <w:sz w:val="20"/>
                <w:szCs w:val="20"/>
                <w:color w:val="auto"/>
              </w:rPr>
            </w:pPr>
            <w:r>
              <w:rPr>
                <w:rFonts w:ascii="Arial" w:cs="Arial" w:eastAsia="Arial" w:hAnsi="Arial"/>
                <w:sz w:val="18"/>
                <w:szCs w:val="18"/>
                <w:color w:val="auto"/>
              </w:rPr>
              <w:t>(Loan Account #)</w:t>
            </w:r>
          </w:p>
        </w:tc>
      </w:tr>
      <w:tr>
        <w:trPr>
          <w:trHeight w:val="432"/>
        </w:trPr>
        <w:tc>
          <w:tcPr>
            <w:tcW w:w="1142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Principal $____________________________________ and/or Interest $________________________________</w:t>
            </w:r>
          </w:p>
        </w:tc>
      </w:tr>
      <w:tr>
        <w:trPr>
          <w:trHeight w:val="392"/>
        </w:trPr>
        <w:tc>
          <w:tcPr>
            <w:tcW w:w="16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3"/>
              </w:rPr>
              <w:t>Authorized Signature:</w:t>
            </w:r>
          </w:p>
        </w:tc>
        <w:tc>
          <w:tcPr>
            <w:tcW w:w="18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92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Phone Number:___________________________</w:t>
            </w:r>
          </w:p>
        </w:tc>
      </w:tr>
      <w:tr>
        <w:trPr>
          <w:trHeight w:val="453"/>
        </w:trPr>
        <w:tc>
          <w:tcPr>
            <w:tcW w:w="1142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Print Name/Title:____________________________________</w:t>
            </w:r>
          </w:p>
        </w:tc>
      </w:tr>
      <w:tr>
        <w:trPr>
          <w:trHeight w:val="226"/>
        </w:trPr>
        <w:tc>
          <w:tcPr>
            <w:tcW w:w="1660" w:type="dxa"/>
            <w:vAlign w:val="bottom"/>
            <w:tcBorders>
              <w:left w:val="single" w:sz="8" w:color="auto"/>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920" w:type="dxa"/>
            <w:vAlign w:val="bottom"/>
            <w:tcBorders>
              <w:bottom w:val="single" w:sz="8" w:color="auto"/>
              <w:right w:val="single" w:sz="8" w:color="auto"/>
            </w:tcBorders>
          </w:tcPr>
          <w:p>
            <w:pPr>
              <w:spacing w:after="0"/>
              <w:rPr>
                <w:sz w:val="19"/>
                <w:szCs w:val="19"/>
                <w:color w:val="auto"/>
              </w:rPr>
            </w:pPr>
          </w:p>
        </w:tc>
      </w:tr>
    </w:tbl>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DVANCE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6282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62826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From Account #________________________________ To Account #_________________________________</w:t>
      </w:r>
    </w:p>
    <w:p>
      <w:pPr>
        <w:spacing w:after="0" w:line="23" w:lineRule="exact"/>
        <w:rPr>
          <w:sz w:val="20"/>
          <w:szCs w:val="20"/>
          <w:color w:val="auto"/>
        </w:rPr>
      </w:pPr>
    </w:p>
    <w:p>
      <w:pPr>
        <w:ind w:left="1460"/>
        <w:spacing w:after="0"/>
        <w:tabs>
          <w:tab w:leader="none" w:pos="6220" w:val="left"/>
        </w:tabs>
        <w:rPr>
          <w:sz w:val="20"/>
          <w:szCs w:val="20"/>
          <w:color w:val="auto"/>
        </w:rPr>
      </w:pPr>
      <w:r>
        <w:rPr>
          <w:rFonts w:ascii="Arial" w:cs="Arial" w:eastAsia="Arial" w:hAnsi="Arial"/>
          <w:sz w:val="18"/>
          <w:szCs w:val="18"/>
          <w:color w:val="auto"/>
        </w:rPr>
        <w:t>(Loan Account #)</w:t>
      </w:r>
      <w:r>
        <w:rPr>
          <w:sz w:val="20"/>
          <w:szCs w:val="20"/>
          <w:color w:val="auto"/>
        </w:rPr>
        <w:tab/>
      </w:r>
      <w:r>
        <w:rPr>
          <w:rFonts w:ascii="Arial" w:cs="Arial" w:eastAsia="Arial" w:hAnsi="Arial"/>
          <w:sz w:val="16"/>
          <w:szCs w:val="16"/>
          <w:color w:val="auto"/>
        </w:rPr>
        <w:t>(Deposit Account #)</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 of Advance $___________________________</w:t>
      </w:r>
    </w:p>
    <w:p>
      <w:pPr>
        <w:spacing w:after="0" w:line="225"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3840" w:type="dxa"/>
            <w:vAlign w:val="bottom"/>
          </w:tcPr>
          <w:p>
            <w:pPr>
              <w:ind w:left="760"/>
              <w:spacing w:after="0"/>
              <w:rPr>
                <w:sz w:val="20"/>
                <w:szCs w:val="20"/>
                <w:color w:val="auto"/>
              </w:rPr>
            </w:pPr>
            <w:r>
              <w:rPr>
                <w:rFonts w:ascii="Arial" w:cs="Arial" w:eastAsia="Arial" w:hAnsi="Arial"/>
                <w:sz w:val="18"/>
                <w:szCs w:val="18"/>
                <w:color w:val="auto"/>
                <w:w w:val="89"/>
              </w:rPr>
              <w:t>Phone Number: _____________________</w:t>
            </w:r>
          </w:p>
        </w:tc>
      </w:tr>
      <w:tr>
        <w:trPr>
          <w:trHeight w:val="20"/>
        </w:trPr>
        <w:tc>
          <w:tcPr>
            <w:tcW w:w="16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453"/>
        </w:trPr>
        <w:tc>
          <w:tcPr>
            <w:tcW w:w="4260" w:type="dxa"/>
            <w:vAlign w:val="bottom"/>
            <w:gridSpan w:val="2"/>
          </w:tcPr>
          <w:p>
            <w:pPr>
              <w:spacing w:after="0"/>
              <w:rPr>
                <w:sz w:val="20"/>
                <w:szCs w:val="20"/>
                <w:color w:val="auto"/>
              </w:rPr>
            </w:pPr>
            <w:r>
              <w:rPr>
                <w:rFonts w:ascii="Arial" w:cs="Arial" w:eastAsia="Arial" w:hAnsi="Arial"/>
                <w:sz w:val="18"/>
                <w:szCs w:val="18"/>
                <w:color w:val="auto"/>
                <w:w w:val="99"/>
              </w:rPr>
              <w:t>Print Name/Title:_____________________________</w:t>
            </w:r>
          </w:p>
        </w:tc>
        <w:tc>
          <w:tcPr>
            <w:tcW w:w="3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7250430" cy="37668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76682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EQUEST</w:t>
      </w:r>
      <w:r>
        <w:rPr>
          <w:rFonts w:ascii="Arial" w:cs="Arial" w:eastAsia="Arial" w:hAnsi="Arial"/>
          <w:sz w:val="18"/>
          <w:szCs w:val="18"/>
          <w:b w:val="1"/>
          <w:bCs w:val="1"/>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ectPr>
          <w:pgSz w:w="11900" w:h="16838" w:orient="portrait"/>
          <w:cols w:equalWidth="0" w:num="1">
            <w:col w:w="11420"/>
          </w:cols>
          <w:pgMar w:left="240" w:top="665" w:right="239" w:bottom="1004" w:gutter="0" w:footer="0" w:header="0"/>
        </w:sect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Beneficiary Name: _____________________________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Amount of Wire: $________________________________</w:t>
      </w:r>
    </w:p>
    <w:p>
      <w:pPr>
        <w:spacing w:after="0" w:line="200" w:lineRule="exact"/>
        <w:rPr>
          <w:sz w:val="20"/>
          <w:szCs w:val="20"/>
          <w:color w:val="auto"/>
        </w:rPr>
      </w:pPr>
    </w:p>
    <w:p>
      <w:pPr>
        <w:sectPr>
          <w:pgSz w:w="11900" w:h="16838" w:orient="portrait"/>
          <w:cols w:equalWidth="0" w:num="2">
            <w:col w:w="4040" w:space="180"/>
            <w:col w:w="7200"/>
          </w:cols>
          <w:pgMar w:left="240" w:top="665" w:right="239" w:bottom="1004"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Beneficiary Bank: ______________________________</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Account Number:________________________________</w:t>
      </w:r>
    </w:p>
    <w:p>
      <w:pPr>
        <w:spacing w:after="0" w:line="200" w:lineRule="exact"/>
        <w:rPr>
          <w:sz w:val="20"/>
          <w:szCs w:val="20"/>
          <w:color w:val="auto"/>
        </w:rPr>
      </w:pPr>
    </w:p>
    <w:p>
      <w:pPr>
        <w:sectPr>
          <w:pgSz w:w="11900" w:h="16838" w:orient="portrait"/>
          <w:cols w:equalWidth="0" w:num="2">
            <w:col w:w="4080" w:space="180"/>
            <w:col w:w="7160"/>
          </w:cols>
          <w:pgMar w:left="240" w:top="665" w:right="239" w:bottom="1004"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City and State:________________________________</w:t>
      </w:r>
    </w:p>
    <w:p>
      <w:pPr>
        <w:sectPr>
          <w:pgSz w:w="11900" w:h="16838" w:orient="portrait"/>
          <w:cols w:equalWidth="0" w:num="1">
            <w:col w:w="11420"/>
          </w:cols>
          <w:pgMar w:left="240" w:top="665" w:right="239" w:bottom="1004" w:gutter="0" w:footer="0" w:header="0"/>
          <w:type w:val="continuous"/>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eneficiary Bank Transit (ABA) #: __________________</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Beneficiary Bank Code (Swift, Sort, Chip, etc.):___________</w:t>
      </w:r>
    </w:p>
    <w:p>
      <w:pPr>
        <w:spacing w:after="0" w:line="200" w:lineRule="exact"/>
        <w:rPr>
          <w:sz w:val="20"/>
          <w:szCs w:val="20"/>
          <w:color w:val="auto"/>
        </w:rPr>
      </w:pPr>
    </w:p>
    <w:p>
      <w:pPr>
        <w:sectPr>
          <w:pgSz w:w="11900" w:h="16838" w:orient="portrait"/>
          <w:cols w:equalWidth="0" w:num="2">
            <w:col w:w="4120" w:space="180"/>
            <w:col w:w="7120"/>
          </w:cols>
          <w:pgMar w:left="240" w:top="665" w:right="239" w:bottom="1004" w:gutter="0" w:footer="0" w:header="0"/>
          <w:type w:val="continuous"/>
        </w:sectPr>
      </w:pP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International Wire Only)</w:t>
      </w:r>
    </w:p>
    <w:p>
      <w:pPr>
        <w:sectPr>
          <w:pgSz w:w="11900" w:h="16838" w:orient="portrait"/>
          <w:cols w:equalWidth="0" w:num="1">
            <w:col w:w="11420"/>
          </w:cols>
          <w:pgMar w:left="240" w:top="665" w:right="239" w:bottom="1004" w:gutter="0" w:footer="0" w:header="0"/>
          <w:type w:val="continuous"/>
        </w:sect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Intermediary Bank: ______________________________</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Transit (ABA) #:_________________</w:t>
      </w:r>
    </w:p>
    <w:p>
      <w:pPr>
        <w:spacing w:after="0" w:line="200" w:lineRule="exact"/>
        <w:rPr>
          <w:sz w:val="20"/>
          <w:szCs w:val="20"/>
          <w:color w:val="auto"/>
        </w:rPr>
      </w:pPr>
    </w:p>
    <w:p>
      <w:pPr>
        <w:sectPr>
          <w:pgSz w:w="11900" w:h="16838" w:orient="portrait"/>
          <w:cols w:equalWidth="0" w:num="2">
            <w:col w:w="4180" w:space="120"/>
            <w:col w:w="7120"/>
          </w:cols>
          <w:pgMar w:left="240" w:top="665" w:right="239" w:bottom="1004"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Further Credit to: ____________________________________________________________</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 Instruction:______________________________________________________________</w:t>
      </w:r>
    </w:p>
    <w:p>
      <w:pPr>
        <w:spacing w:after="0" w:line="225" w:lineRule="exact"/>
        <w:rPr>
          <w:sz w:val="20"/>
          <w:szCs w:val="20"/>
          <w:color w:val="auto"/>
        </w:rPr>
      </w:pPr>
    </w:p>
    <w:p>
      <w:pPr>
        <w:ind w:left="20" w:right="2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Signature: ___________________________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Signature (if required): _____________________________</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Name/Title: ______________________________ Print Name/Title: _____________________________________</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 _________________________________Telephone #:_________________________________________</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004"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600" w:type="dxa"/>
            <w:vAlign w:val="bottom"/>
            <w:gridSpan w:val="2"/>
          </w:tcPr>
          <w:p>
            <w:pPr>
              <w:jc w:val="center"/>
              <w:ind w:right="4820"/>
              <w:spacing w:after="0"/>
              <w:rPr>
                <w:sz w:val="20"/>
                <w:szCs w:val="20"/>
                <w:color w:val="auto"/>
              </w:rPr>
            </w:pPr>
            <w:r>
              <w:rPr>
                <w:rFonts w:ascii="Arial" w:cs="Arial" w:eastAsia="Arial" w:hAnsi="Arial"/>
                <w:sz w:val="18"/>
                <w:szCs w:val="18"/>
                <w:b w:val="1"/>
                <w:bCs w:val="1"/>
                <w:color w:val="auto"/>
              </w:rPr>
              <w:t>EXHIBIT D</w:t>
            </w:r>
          </w:p>
        </w:tc>
      </w:tr>
      <w:tr>
        <w:trPr>
          <w:trHeight w:val="392"/>
        </w:trPr>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600" w:type="dxa"/>
            <w:vAlign w:val="bottom"/>
            <w:gridSpan w:val="2"/>
          </w:tcPr>
          <w:p>
            <w:pPr>
              <w:jc w:val="center"/>
              <w:ind w:right="4820"/>
              <w:spacing w:after="0"/>
              <w:rPr>
                <w:sz w:val="20"/>
                <w:szCs w:val="20"/>
                <w:color w:val="auto"/>
              </w:rPr>
            </w:pPr>
            <w:r>
              <w:rPr>
                <w:rFonts w:ascii="Arial" w:cs="Arial" w:eastAsia="Arial" w:hAnsi="Arial"/>
                <w:sz w:val="18"/>
                <w:szCs w:val="18"/>
                <w:b w:val="1"/>
                <w:bCs w:val="1"/>
                <w:color w:val="auto"/>
                <w:w w:val="91"/>
              </w:rPr>
              <w:t>Compliance Certificate</w:t>
            </w:r>
          </w:p>
        </w:tc>
      </w:tr>
      <w:tr>
        <w:trPr>
          <w:trHeight w:val="20"/>
        </w:trPr>
        <w:tc>
          <w:tcPr>
            <w:tcW w:w="7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453"/>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10640" w:type="dxa"/>
            <w:vAlign w:val="bottom"/>
            <w:gridSpan w:val="3"/>
          </w:tcPr>
          <w:p>
            <w:pPr>
              <w:ind w:left="200"/>
              <w:spacing w:after="0"/>
              <w:rPr>
                <w:sz w:val="20"/>
                <w:szCs w:val="20"/>
                <w:color w:val="auto"/>
              </w:rPr>
            </w:pPr>
            <w:r>
              <w:rPr>
                <w:rFonts w:ascii="Arial" w:cs="Arial" w:eastAsia="Arial" w:hAnsi="Arial"/>
                <w:sz w:val="18"/>
                <w:szCs w:val="18"/>
                <w:color w:val="auto"/>
              </w:rPr>
              <w:t>SWK FUNDING LLC, as Collateral Agent and Lender</w:t>
            </w:r>
          </w:p>
        </w:tc>
      </w:tr>
      <w:tr>
        <w:trPr>
          <w:trHeight w:val="432"/>
        </w:trPr>
        <w:tc>
          <w:tcPr>
            <w:tcW w:w="780" w:type="dxa"/>
            <w:vAlign w:val="bottom"/>
          </w:tcPr>
          <w:p>
            <w:pPr>
              <w:spacing w:after="0"/>
              <w:rPr>
                <w:sz w:val="24"/>
                <w:szCs w:val="24"/>
                <w:color w:val="auto"/>
              </w:rPr>
            </w:pPr>
          </w:p>
        </w:tc>
        <w:tc>
          <w:tcPr>
            <w:tcW w:w="10640" w:type="dxa"/>
            <w:vAlign w:val="bottom"/>
            <w:gridSpan w:val="3"/>
          </w:tcPr>
          <w:p>
            <w:pPr>
              <w:ind w:left="200"/>
              <w:spacing w:after="0"/>
              <w:rPr>
                <w:sz w:val="20"/>
                <w:szCs w:val="20"/>
                <w:color w:val="auto"/>
              </w:rPr>
            </w:pPr>
            <w:r>
              <w:rPr>
                <w:rFonts w:ascii="Arial" w:cs="Arial" w:eastAsia="Arial" w:hAnsi="Arial"/>
                <w:sz w:val="18"/>
                <w:szCs w:val="18"/>
                <w:color w:val="auto"/>
              </w:rPr>
              <w:t>HI IMPRIMIS, LLC AND SR-IMPRIMIS, LLC, each as Lender</w:t>
            </w:r>
          </w:p>
        </w:tc>
      </w:tr>
      <w:tr>
        <w:trPr>
          <w:trHeight w:val="414"/>
        </w:trPr>
        <w:tc>
          <w:tcPr>
            <w:tcW w:w="780" w:type="dxa"/>
            <w:vAlign w:val="bottom"/>
          </w:tcPr>
          <w:p>
            <w:pPr>
              <w:spacing w:after="0"/>
              <w:rPr>
                <w:sz w:val="20"/>
                <w:szCs w:val="20"/>
                <w:color w:val="auto"/>
              </w:rPr>
            </w:pPr>
            <w:r>
              <w:rPr>
                <w:rFonts w:ascii="Arial" w:cs="Arial" w:eastAsia="Arial" w:hAnsi="Arial"/>
                <w:sz w:val="18"/>
                <w:szCs w:val="18"/>
                <w:color w:val="auto"/>
              </w:rPr>
              <w:t>FROM:</w:t>
            </w:r>
          </w:p>
        </w:tc>
        <w:tc>
          <w:tcPr>
            <w:tcW w:w="10640" w:type="dxa"/>
            <w:vAlign w:val="bottom"/>
            <w:gridSpan w:val="3"/>
          </w:tcPr>
          <w:p>
            <w:pPr>
              <w:ind w:left="200"/>
              <w:spacing w:after="0"/>
              <w:rPr>
                <w:sz w:val="20"/>
                <w:szCs w:val="20"/>
                <w:color w:val="auto"/>
              </w:rPr>
            </w:pPr>
            <w:r>
              <w:rPr>
                <w:rFonts w:ascii="Arial" w:cs="Arial" w:eastAsia="Arial" w:hAnsi="Arial"/>
                <w:sz w:val="18"/>
                <w:szCs w:val="18"/>
                <w:color w:val="auto"/>
                <w:w w:val="99"/>
              </w:rPr>
              <w:t>IMPRIMIS PHARMACEUTICALS, INC., IMPRIMIS NJOF, LLC, IMPRIMISRX CA, INC. and IMPRIMISRX NJ, LLC (individually and</w:t>
            </w:r>
          </w:p>
        </w:tc>
      </w:tr>
      <w:tr>
        <w:trPr>
          <w:trHeight w:val="234"/>
        </w:trPr>
        <w:tc>
          <w:tcPr>
            <w:tcW w:w="780" w:type="dxa"/>
            <w:vAlign w:val="bottom"/>
          </w:tcPr>
          <w:p>
            <w:pPr>
              <w:spacing w:after="0"/>
              <w:rPr>
                <w:sz w:val="20"/>
                <w:szCs w:val="20"/>
                <w:color w:val="auto"/>
              </w:rPr>
            </w:pPr>
          </w:p>
        </w:tc>
        <w:tc>
          <w:tcPr>
            <w:tcW w:w="10640" w:type="dxa"/>
            <w:vAlign w:val="bottom"/>
            <w:gridSpan w:val="3"/>
          </w:tcPr>
          <w:p>
            <w:pPr>
              <w:ind w:left="200"/>
              <w:spacing w:after="0"/>
              <w:rPr>
                <w:sz w:val="20"/>
                <w:szCs w:val="20"/>
                <w:color w:val="auto"/>
              </w:rPr>
            </w:pPr>
            <w:r>
              <w:rPr>
                <w:rFonts w:ascii="Arial" w:cs="Arial" w:eastAsia="Arial" w:hAnsi="Arial"/>
                <w:sz w:val="18"/>
                <w:szCs w:val="18"/>
                <w:color w:val="auto"/>
              </w:rPr>
              <w:t>collectively, jointly and severally, “</w:t>
            </w:r>
            <w:r>
              <w:rPr>
                <w:rFonts w:ascii="Arial" w:cs="Arial" w:eastAsia="Arial" w:hAnsi="Arial"/>
                <w:sz w:val="18"/>
                <w:szCs w:val="18"/>
                <w:b w:val="1"/>
                <w:bCs w:val="1"/>
                <w:color w:val="auto"/>
              </w:rPr>
              <w:t>Borrower</w:t>
            </w:r>
            <w:r>
              <w:rPr>
                <w:rFonts w:ascii="Arial" w:cs="Arial" w:eastAsia="Arial" w:hAnsi="Arial"/>
                <w:sz w:val="18"/>
                <w:szCs w:val="18"/>
                <w:color w:val="auto"/>
              </w:rPr>
              <w:t>”)</w:t>
            </w: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undersigned authorized officer (“</w:t>
      </w:r>
      <w:r>
        <w:rPr>
          <w:rFonts w:ascii="Arial" w:cs="Arial" w:eastAsia="Arial" w:hAnsi="Arial"/>
          <w:sz w:val="18"/>
          <w:szCs w:val="18"/>
          <w:b w:val="1"/>
          <w:bCs w:val="1"/>
          <w:color w:val="auto"/>
        </w:rPr>
        <w:t>Officer</w:t>
      </w:r>
      <w:r>
        <w:rPr>
          <w:rFonts w:ascii="Arial" w:cs="Arial" w:eastAsia="Arial" w:hAnsi="Arial"/>
          <w:sz w:val="18"/>
          <w:szCs w:val="18"/>
          <w:color w:val="auto"/>
        </w:rPr>
        <w:t>”) of Imprimis Pharmaceuticals, Inc., on behalf of each Borrower hereby certifies that in accordance with the terms and conditions of the Loan and Security Agreement dated as of July 19, 2017,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capitalized terms used but not otherwise defined herein shall have the meanings given them in the Loan Agreement),</w:t>
      </w:r>
    </w:p>
    <w:p>
      <w:pPr>
        <w:spacing w:after="0" w:line="184" w:lineRule="exact"/>
        <w:rPr>
          <w:sz w:val="20"/>
          <w:szCs w:val="20"/>
          <w:color w:val="auto"/>
        </w:rPr>
      </w:pPr>
    </w:p>
    <w:p>
      <w:pPr>
        <w:ind w:left="900" w:hanging="244"/>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Borrower is in complete compliance for the period ending _______________ with all required covenants except as noted below;</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are no Defaults or Events of Default, except as noted below;</w:t>
      </w:r>
    </w:p>
    <w:p>
      <w:pPr>
        <w:spacing w:after="0" w:line="225" w:lineRule="exact"/>
        <w:rPr>
          <w:rFonts w:ascii="Arial" w:cs="Arial" w:eastAsia="Arial" w:hAnsi="Arial"/>
          <w:sz w:val="18"/>
          <w:szCs w:val="18"/>
          <w:color w:val="auto"/>
        </w:rPr>
      </w:pPr>
    </w:p>
    <w:p>
      <w:pPr>
        <w:jc w:val="both"/>
        <w:ind w:firstLine="656"/>
        <w:spacing w:after="0" w:line="279"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jc w:val="both"/>
        <w:ind w:firstLine="656"/>
        <w:spacing w:after="0" w:line="264" w:lineRule="auto"/>
        <w:tabs>
          <w:tab w:leader="none" w:pos="9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1" w:lineRule="exact"/>
        <w:rPr>
          <w:rFonts w:ascii="Arial" w:cs="Arial" w:eastAsia="Arial" w:hAnsi="Arial"/>
          <w:sz w:val="18"/>
          <w:szCs w:val="18"/>
          <w:color w:val="auto"/>
        </w:rPr>
      </w:pPr>
    </w:p>
    <w:p>
      <w:pPr>
        <w:ind w:right="20" w:firstLine="656"/>
        <w:spacing w:after="0" w:line="277" w:lineRule="auto"/>
        <w:tabs>
          <w:tab w:leader="none" w:pos="902"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0" w:type="dxa"/>
            <w:vAlign w:val="bottom"/>
          </w:tcPr>
          <w:p>
            <w:pPr>
              <w:spacing w:after="0"/>
              <w:rPr>
                <w:sz w:val="22"/>
                <w:szCs w:val="22"/>
                <w:color w:val="auto"/>
              </w:rPr>
            </w:pPr>
          </w:p>
        </w:tc>
        <w:tc>
          <w:tcPr>
            <w:tcW w:w="2420" w:type="dxa"/>
            <w:vAlign w:val="bottom"/>
            <w:gridSpan w:val="2"/>
          </w:tcPr>
          <w:p>
            <w:pPr>
              <w:ind w:left="320"/>
              <w:spacing w:after="0"/>
              <w:rPr>
                <w:sz w:val="20"/>
                <w:szCs w:val="20"/>
                <w:color w:val="auto"/>
              </w:rPr>
            </w:pPr>
            <w:r>
              <w:rPr>
                <w:rFonts w:ascii="Arial" w:cs="Arial" w:eastAsia="Arial" w:hAnsi="Arial"/>
                <w:sz w:val="18"/>
                <w:szCs w:val="18"/>
                <w:b w:val="1"/>
                <w:bCs w:val="1"/>
                <w:color w:val="auto"/>
              </w:rPr>
              <w:t>Reporting Covenant</w:t>
            </w:r>
          </w:p>
        </w:tc>
        <w:tc>
          <w:tcPr>
            <w:tcW w:w="3980" w:type="dxa"/>
            <w:vAlign w:val="bottom"/>
          </w:tcPr>
          <w:p>
            <w:pPr>
              <w:ind w:left="1480"/>
              <w:spacing w:after="0"/>
              <w:rPr>
                <w:sz w:val="20"/>
                <w:szCs w:val="20"/>
                <w:color w:val="auto"/>
              </w:rPr>
            </w:pPr>
            <w:r>
              <w:rPr>
                <w:rFonts w:ascii="Arial" w:cs="Arial" w:eastAsia="Arial" w:hAnsi="Arial"/>
                <w:sz w:val="18"/>
                <w:szCs w:val="18"/>
                <w:b w:val="1"/>
                <w:bCs w:val="1"/>
                <w:color w:val="auto"/>
              </w:rPr>
              <w:t>Requirement</w:t>
            </w:r>
          </w:p>
        </w:tc>
        <w:tc>
          <w:tcPr>
            <w:tcW w:w="240" w:type="dxa"/>
            <w:vAlign w:val="bottom"/>
          </w:tcPr>
          <w:p>
            <w:pPr>
              <w:spacing w:after="0"/>
              <w:rPr>
                <w:sz w:val="22"/>
                <w:szCs w:val="22"/>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Actual</w:t>
            </w:r>
          </w:p>
        </w:tc>
        <w:tc>
          <w:tcPr>
            <w:tcW w:w="8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Complies</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right"/>
              <w:ind w:right="670"/>
              <w:spacing w:after="0" w:line="198" w:lineRule="exact"/>
              <w:rPr>
                <w:sz w:val="20"/>
                <w:szCs w:val="20"/>
                <w:color w:val="auto"/>
              </w:rPr>
            </w:pPr>
            <w:r>
              <w:rPr>
                <w:rFonts w:ascii="Arial" w:cs="Arial" w:eastAsia="Arial" w:hAnsi="Arial"/>
                <w:sz w:val="18"/>
                <w:szCs w:val="18"/>
                <w:b w:val="1"/>
                <w:bCs w:val="1"/>
                <w:color w:val="auto"/>
                <w:w w:val="87"/>
              </w:rPr>
              <w:t>1)</w:t>
            </w:r>
          </w:p>
        </w:tc>
        <w:tc>
          <w:tcPr>
            <w:tcW w:w="21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Financial statements</w:t>
            </w:r>
          </w:p>
        </w:tc>
        <w:tc>
          <w:tcPr>
            <w:tcW w:w="240" w:type="dxa"/>
            <w:vAlign w:val="bottom"/>
          </w:tcPr>
          <w:p>
            <w:pPr>
              <w:spacing w:after="0"/>
              <w:rPr>
                <w:sz w:val="17"/>
                <w:szCs w:val="17"/>
                <w:color w:val="auto"/>
              </w:rPr>
            </w:pPr>
          </w:p>
        </w:tc>
        <w:tc>
          <w:tcPr>
            <w:tcW w:w="39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Quarterly within 45 days</w:t>
            </w:r>
          </w:p>
        </w:tc>
        <w:tc>
          <w:tcPr>
            <w:tcW w:w="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ind w:left="320"/>
              <w:spacing w:after="0" w:line="198" w:lineRule="exact"/>
              <w:rPr>
                <w:sz w:val="20"/>
                <w:szCs w:val="20"/>
                <w:color w:val="auto"/>
              </w:rPr>
            </w:pPr>
            <w:r>
              <w:rPr>
                <w:rFonts w:ascii="Arial" w:cs="Arial" w:eastAsia="Arial" w:hAnsi="Arial"/>
                <w:sz w:val="18"/>
                <w:szCs w:val="18"/>
                <w:color w:val="auto"/>
              </w:rPr>
              <w:t>Yes</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5"/>
              </w:rPr>
              <w:t>No</w:t>
            </w:r>
          </w:p>
        </w:tc>
        <w:tc>
          <w:tcPr>
            <w:tcW w:w="800" w:type="dxa"/>
            <w:vAlign w:val="bottom"/>
            <w:tcBorders>
              <w:top w:val="single" w:sz="8" w:color="auto"/>
            </w:tcBorders>
          </w:tcPr>
          <w:p>
            <w:pPr>
              <w:ind w:left="200"/>
              <w:spacing w:after="0" w:line="198"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0"/>
        </w:trPr>
        <w:tc>
          <w:tcPr>
            <w:tcW w:w="920" w:type="dxa"/>
            <w:vAlign w:val="bottom"/>
          </w:tcPr>
          <w:p>
            <w:pPr>
              <w:jc w:val="right"/>
              <w:ind w:right="670"/>
              <w:spacing w:after="0"/>
              <w:rPr>
                <w:sz w:val="20"/>
                <w:szCs w:val="20"/>
                <w:color w:val="auto"/>
              </w:rPr>
            </w:pPr>
            <w:r>
              <w:rPr>
                <w:rFonts w:ascii="Arial" w:cs="Arial" w:eastAsia="Arial" w:hAnsi="Arial"/>
                <w:sz w:val="18"/>
                <w:szCs w:val="18"/>
                <w:b w:val="1"/>
                <w:bCs w:val="1"/>
                <w:color w:val="auto"/>
                <w:w w:val="87"/>
              </w:rPr>
              <w:t>2)</w:t>
            </w:r>
          </w:p>
        </w:tc>
        <w:tc>
          <w:tcPr>
            <w:tcW w:w="2420" w:type="dxa"/>
            <w:vAlign w:val="bottom"/>
            <w:gridSpan w:val="2"/>
          </w:tcPr>
          <w:p>
            <w:pPr>
              <w:spacing w:after="0"/>
              <w:rPr>
                <w:sz w:val="20"/>
                <w:szCs w:val="20"/>
                <w:color w:val="auto"/>
              </w:rPr>
            </w:pPr>
            <w:r>
              <w:rPr>
                <w:rFonts w:ascii="Arial" w:cs="Arial" w:eastAsia="Arial" w:hAnsi="Arial"/>
                <w:sz w:val="18"/>
                <w:szCs w:val="18"/>
                <w:color w:val="auto"/>
              </w:rPr>
              <w:t>Annual (CPA Audited)</w:t>
            </w:r>
          </w:p>
        </w:tc>
        <w:tc>
          <w:tcPr>
            <w:tcW w:w="3980" w:type="dxa"/>
            <w:vAlign w:val="bottom"/>
          </w:tcPr>
          <w:p>
            <w:pPr>
              <w:spacing w:after="0"/>
              <w:rPr>
                <w:sz w:val="20"/>
                <w:szCs w:val="20"/>
                <w:color w:val="auto"/>
              </w:rPr>
            </w:pPr>
            <w:r>
              <w:rPr>
                <w:rFonts w:ascii="Arial" w:cs="Arial" w:eastAsia="Arial" w:hAnsi="Arial"/>
                <w:sz w:val="18"/>
                <w:szCs w:val="18"/>
                <w:color w:val="auto"/>
              </w:rPr>
              <w:t>Within 90 days after FYE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800" w:type="dxa"/>
            <w:vAlign w:val="bottom"/>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92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w w:val="87"/>
              </w:rPr>
              <w:t>3)</w:t>
            </w:r>
          </w:p>
        </w:tc>
        <w:tc>
          <w:tcPr>
            <w:tcW w:w="2420" w:type="dxa"/>
            <w:vAlign w:val="bottom"/>
            <w:gridSpan w:val="2"/>
          </w:tcPr>
          <w:p>
            <w:pPr>
              <w:spacing w:after="0"/>
              <w:rPr>
                <w:sz w:val="20"/>
                <w:szCs w:val="20"/>
                <w:color w:val="auto"/>
              </w:rPr>
            </w:pPr>
            <w:r>
              <w:rPr>
                <w:rFonts w:ascii="Arial" w:cs="Arial" w:eastAsia="Arial" w:hAnsi="Arial"/>
                <w:sz w:val="18"/>
                <w:szCs w:val="18"/>
                <w:color w:val="auto"/>
              </w:rPr>
              <w:t>statements</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Annual Financial</w:t>
            </w:r>
          </w:p>
        </w:tc>
        <w:tc>
          <w:tcPr>
            <w:tcW w:w="3980" w:type="dxa"/>
            <w:vAlign w:val="bottom"/>
          </w:tcPr>
          <w:p>
            <w:pPr>
              <w:spacing w:after="0"/>
              <w:rPr>
                <w:sz w:val="20"/>
                <w:szCs w:val="20"/>
                <w:color w:val="auto"/>
              </w:rPr>
            </w:pPr>
            <w:r>
              <w:rPr>
                <w:rFonts w:ascii="Arial" w:cs="Arial" w:eastAsia="Arial" w:hAnsi="Arial"/>
                <w:sz w:val="18"/>
                <w:szCs w:val="18"/>
                <w:color w:val="auto"/>
              </w:rPr>
              <w:t>Annually (within earlier 10 days of approval or 60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800" w:type="dxa"/>
            <w:vAlign w:val="bottom"/>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Projections/Budget (prepared</w:t>
            </w:r>
          </w:p>
        </w:tc>
        <w:tc>
          <w:tcPr>
            <w:tcW w:w="3980" w:type="dxa"/>
            <w:vAlign w:val="bottom"/>
          </w:tcPr>
          <w:p>
            <w:pPr>
              <w:spacing w:after="0"/>
              <w:rPr>
                <w:sz w:val="20"/>
                <w:szCs w:val="20"/>
                <w:color w:val="auto"/>
              </w:rPr>
            </w:pPr>
            <w:r>
              <w:rPr>
                <w:rFonts w:ascii="Arial" w:cs="Arial" w:eastAsia="Arial" w:hAnsi="Arial"/>
                <w:sz w:val="18"/>
                <w:szCs w:val="18"/>
                <w:color w:val="auto"/>
                <w:w w:val="93"/>
              </w:rPr>
              <w:t>days of FYE), and when revised (no later than 7 days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w w:val="87"/>
              </w:rPr>
              <w:t>4)</w:t>
            </w:r>
          </w:p>
        </w:tc>
        <w:tc>
          <w:tcPr>
            <w:tcW w:w="2420" w:type="dxa"/>
            <w:vAlign w:val="bottom"/>
            <w:gridSpan w:val="2"/>
          </w:tcPr>
          <w:p>
            <w:pPr>
              <w:spacing w:after="0"/>
              <w:rPr>
                <w:sz w:val="20"/>
                <w:szCs w:val="20"/>
                <w:color w:val="auto"/>
              </w:rPr>
            </w:pPr>
            <w:r>
              <w:rPr>
                <w:rFonts w:ascii="Arial" w:cs="Arial" w:eastAsia="Arial" w:hAnsi="Arial"/>
                <w:sz w:val="18"/>
                <w:szCs w:val="18"/>
                <w:color w:val="auto"/>
              </w:rPr>
              <w:t>on a monthly basis)</w:t>
            </w:r>
          </w:p>
        </w:tc>
        <w:tc>
          <w:tcPr>
            <w:tcW w:w="3980" w:type="dxa"/>
            <w:vAlign w:val="bottom"/>
          </w:tcPr>
          <w:p>
            <w:pPr>
              <w:spacing w:after="0"/>
              <w:rPr>
                <w:sz w:val="20"/>
                <w:szCs w:val="20"/>
                <w:color w:val="auto"/>
              </w:rPr>
            </w:pPr>
            <w:r>
              <w:rPr>
                <w:rFonts w:ascii="Arial" w:cs="Arial" w:eastAsia="Arial" w:hAnsi="Arial"/>
                <w:sz w:val="18"/>
                <w:szCs w:val="18"/>
                <w:color w:val="auto"/>
              </w:rPr>
              <w:t>of approval)</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vMerge w:val="continue"/>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8-K, 10-K and 10-Q Filings</w:t>
            </w:r>
          </w:p>
        </w:tc>
        <w:tc>
          <w:tcPr>
            <w:tcW w:w="3980" w:type="dxa"/>
            <w:vAlign w:val="bottom"/>
          </w:tcPr>
          <w:p>
            <w:pPr>
              <w:spacing w:after="0"/>
              <w:rPr>
                <w:sz w:val="20"/>
                <w:szCs w:val="20"/>
                <w:color w:val="auto"/>
              </w:rPr>
            </w:pPr>
            <w:r>
              <w:rPr>
                <w:rFonts w:ascii="Arial" w:cs="Arial" w:eastAsia="Arial" w:hAnsi="Arial"/>
                <w:sz w:val="18"/>
                <w:szCs w:val="18"/>
                <w:color w:val="auto"/>
              </w:rPr>
              <w:t>If applicable, within 5 days of filing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800" w:type="dxa"/>
            <w:vAlign w:val="bottom"/>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920" w:type="dxa"/>
            <w:vAlign w:val="bottom"/>
          </w:tcPr>
          <w:p>
            <w:pPr>
              <w:jc w:val="right"/>
              <w:ind w:right="670"/>
              <w:spacing w:after="0"/>
              <w:rPr>
                <w:sz w:val="20"/>
                <w:szCs w:val="20"/>
                <w:color w:val="auto"/>
              </w:rPr>
            </w:pPr>
            <w:r>
              <w:rPr>
                <w:rFonts w:ascii="Arial" w:cs="Arial" w:eastAsia="Arial" w:hAnsi="Arial"/>
                <w:sz w:val="18"/>
                <w:szCs w:val="18"/>
                <w:b w:val="1"/>
                <w:bCs w:val="1"/>
                <w:color w:val="auto"/>
                <w:w w:val="87"/>
              </w:rPr>
              <w:t>5)</w:t>
            </w:r>
          </w:p>
        </w:tc>
        <w:tc>
          <w:tcPr>
            <w:tcW w:w="2420" w:type="dxa"/>
            <w:vAlign w:val="bottom"/>
            <w:gridSpan w:val="2"/>
          </w:tcPr>
          <w:p>
            <w:pPr>
              <w:spacing w:after="0"/>
              <w:rPr>
                <w:sz w:val="20"/>
                <w:szCs w:val="20"/>
                <w:color w:val="auto"/>
              </w:rPr>
            </w:pPr>
            <w:r>
              <w:rPr>
                <w:rFonts w:ascii="Arial" w:cs="Arial" w:eastAsia="Arial" w:hAnsi="Arial"/>
                <w:sz w:val="18"/>
                <w:szCs w:val="18"/>
                <w:color w:val="auto"/>
              </w:rPr>
              <w:t>Compliance Certificate</w:t>
            </w:r>
          </w:p>
        </w:tc>
        <w:tc>
          <w:tcPr>
            <w:tcW w:w="3980" w:type="dxa"/>
            <w:vAlign w:val="bottom"/>
          </w:tcPr>
          <w:p>
            <w:pPr>
              <w:spacing w:after="0"/>
              <w:rPr>
                <w:sz w:val="20"/>
                <w:szCs w:val="20"/>
                <w:color w:val="auto"/>
              </w:rPr>
            </w:pPr>
            <w:r>
              <w:rPr>
                <w:rFonts w:ascii="Arial" w:cs="Arial" w:eastAsia="Arial" w:hAnsi="Arial"/>
                <w:sz w:val="18"/>
                <w:szCs w:val="18"/>
                <w:color w:val="auto"/>
              </w:rPr>
              <w:t>Quarterly within 45 days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800" w:type="dxa"/>
            <w:vAlign w:val="bottom"/>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920" w:type="dxa"/>
            <w:vAlign w:val="bottom"/>
          </w:tcPr>
          <w:p>
            <w:pPr>
              <w:jc w:val="right"/>
              <w:ind w:right="670"/>
              <w:spacing w:after="0"/>
              <w:rPr>
                <w:sz w:val="20"/>
                <w:szCs w:val="20"/>
                <w:color w:val="auto"/>
              </w:rPr>
            </w:pPr>
            <w:r>
              <w:rPr>
                <w:rFonts w:ascii="Arial" w:cs="Arial" w:eastAsia="Arial" w:hAnsi="Arial"/>
                <w:sz w:val="18"/>
                <w:szCs w:val="18"/>
                <w:b w:val="1"/>
                <w:bCs w:val="1"/>
                <w:color w:val="auto"/>
                <w:w w:val="87"/>
              </w:rPr>
              <w:t>6)</w:t>
            </w:r>
          </w:p>
        </w:tc>
        <w:tc>
          <w:tcPr>
            <w:tcW w:w="2420" w:type="dxa"/>
            <w:vAlign w:val="bottom"/>
            <w:gridSpan w:val="2"/>
          </w:tcPr>
          <w:p>
            <w:pPr>
              <w:spacing w:after="0"/>
              <w:rPr>
                <w:sz w:val="20"/>
                <w:szCs w:val="20"/>
                <w:color w:val="auto"/>
              </w:rPr>
            </w:pPr>
            <w:r>
              <w:rPr>
                <w:rFonts w:ascii="Arial" w:cs="Arial" w:eastAsia="Arial" w:hAnsi="Arial"/>
                <w:sz w:val="18"/>
                <w:szCs w:val="18"/>
                <w:color w:val="auto"/>
              </w:rPr>
              <w:t>IP Report</w:t>
            </w:r>
          </w:p>
        </w:tc>
        <w:tc>
          <w:tcPr>
            <w:tcW w:w="3980" w:type="dxa"/>
            <w:vAlign w:val="bottom"/>
          </w:tcPr>
          <w:p>
            <w:pPr>
              <w:spacing w:after="0"/>
              <w:rPr>
                <w:sz w:val="20"/>
                <w:szCs w:val="20"/>
                <w:color w:val="auto"/>
              </w:rPr>
            </w:pPr>
            <w:r>
              <w:rPr>
                <w:rFonts w:ascii="Arial" w:cs="Arial" w:eastAsia="Arial" w:hAnsi="Arial"/>
                <w:sz w:val="18"/>
                <w:szCs w:val="18"/>
                <w:color w:val="auto"/>
              </w:rPr>
              <w:t>When required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800" w:type="dxa"/>
            <w:vAlign w:val="bottom"/>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0"/>
        </w:trPr>
        <w:tc>
          <w:tcPr>
            <w:tcW w:w="920" w:type="dxa"/>
            <w:vAlign w:val="bottom"/>
          </w:tcPr>
          <w:p>
            <w:pPr>
              <w:jc w:val="right"/>
              <w:ind w:right="670"/>
              <w:spacing w:after="0"/>
              <w:rPr>
                <w:sz w:val="20"/>
                <w:szCs w:val="20"/>
                <w:color w:val="auto"/>
              </w:rPr>
            </w:pPr>
            <w:r>
              <w:rPr>
                <w:rFonts w:ascii="Arial" w:cs="Arial" w:eastAsia="Arial" w:hAnsi="Arial"/>
                <w:sz w:val="18"/>
                <w:szCs w:val="18"/>
                <w:b w:val="1"/>
                <w:bCs w:val="1"/>
                <w:color w:val="auto"/>
                <w:w w:val="87"/>
              </w:rPr>
              <w:t>7)</w:t>
            </w:r>
          </w:p>
        </w:tc>
        <w:tc>
          <w:tcPr>
            <w:tcW w:w="2420" w:type="dxa"/>
            <w:vAlign w:val="bottom"/>
            <w:gridSpan w:val="2"/>
          </w:tcPr>
          <w:p>
            <w:pPr>
              <w:spacing w:after="0"/>
              <w:rPr>
                <w:sz w:val="20"/>
                <w:szCs w:val="20"/>
                <w:color w:val="auto"/>
              </w:rPr>
            </w:pPr>
            <w:r>
              <w:rPr>
                <w:rFonts w:ascii="Arial" w:cs="Arial" w:eastAsia="Arial" w:hAnsi="Arial"/>
                <w:sz w:val="18"/>
                <w:szCs w:val="18"/>
                <w:color w:val="auto"/>
              </w:rPr>
              <w:t>Total amount of Borrower’s</w:t>
            </w:r>
          </w:p>
        </w:tc>
        <w:tc>
          <w:tcPr>
            <w:tcW w:w="398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$________</w:t>
            </w:r>
          </w:p>
        </w:tc>
        <w:tc>
          <w:tcPr>
            <w:tcW w:w="2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800" w:type="dxa"/>
            <w:vAlign w:val="bottom"/>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cash and cash equivalents at</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the last day of the</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w w:val="87"/>
              </w:rPr>
              <w:t>8)</w:t>
            </w:r>
          </w:p>
        </w:tc>
        <w:tc>
          <w:tcPr>
            <w:tcW w:w="2420" w:type="dxa"/>
            <w:vAlign w:val="bottom"/>
            <w:gridSpan w:val="2"/>
          </w:tcPr>
          <w:p>
            <w:pPr>
              <w:spacing w:after="0"/>
              <w:rPr>
                <w:sz w:val="20"/>
                <w:szCs w:val="20"/>
                <w:color w:val="auto"/>
              </w:rPr>
            </w:pPr>
            <w:r>
              <w:rPr>
                <w:rFonts w:ascii="Arial" w:cs="Arial" w:eastAsia="Arial" w:hAnsi="Arial"/>
                <w:sz w:val="18"/>
                <w:szCs w:val="18"/>
                <w:color w:val="auto"/>
              </w:rPr>
              <w:t>measurement period</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Total amount of Borrower’s</w:t>
            </w:r>
          </w:p>
        </w:tc>
        <w:tc>
          <w:tcPr>
            <w:tcW w:w="398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$________</w:t>
            </w:r>
          </w:p>
        </w:tc>
        <w:tc>
          <w:tcPr>
            <w:tcW w:w="220" w:type="dxa"/>
            <w:vAlign w:val="bottom"/>
          </w:tcPr>
          <w:p>
            <w:pPr>
              <w:spacing w:after="0"/>
              <w:rPr>
                <w:sz w:val="18"/>
                <w:szCs w:val="18"/>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800" w:type="dxa"/>
            <w:vAlign w:val="bottom"/>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Subsidiaries’ cash and cash</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equivalents at the last day of</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the measurement period</w:t>
            </w: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00" w:type="dxa"/>
            <w:vAlign w:val="bottom"/>
            <w:gridSpan w:val="4"/>
          </w:tcPr>
          <w:p>
            <w:pPr>
              <w:spacing w:after="0"/>
              <w:rPr>
                <w:sz w:val="20"/>
                <w:szCs w:val="20"/>
                <w:color w:val="auto"/>
              </w:rPr>
            </w:pPr>
            <w:r>
              <w:rPr>
                <w:rFonts w:ascii="Arial" w:cs="Arial" w:eastAsia="Arial" w:hAnsi="Arial"/>
                <w:sz w:val="18"/>
                <w:szCs w:val="18"/>
                <w:b w:val="1"/>
                <w:bCs w:val="1"/>
                <w:color w:val="auto"/>
              </w:rPr>
              <w:t>Negative Covenant Compliance</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53"/>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40" w:type="dxa"/>
            <w:vAlign w:val="bottom"/>
            <w:gridSpan w:val="2"/>
          </w:tcPr>
          <w:p>
            <w:pPr>
              <w:ind w:left="3280"/>
              <w:spacing w:after="0"/>
              <w:rPr>
                <w:sz w:val="20"/>
                <w:szCs w:val="20"/>
                <w:color w:val="auto"/>
              </w:rPr>
            </w:pPr>
            <w:r>
              <w:rPr>
                <w:rFonts w:ascii="Arial" w:cs="Arial" w:eastAsia="Arial" w:hAnsi="Arial"/>
                <w:sz w:val="18"/>
                <w:szCs w:val="18"/>
                <w:b w:val="1"/>
                <w:bCs w:val="1"/>
                <w:color w:val="auto"/>
              </w:rPr>
              <w:t>Negative Covenant</w:t>
            </w:r>
          </w:p>
        </w:tc>
        <w:tc>
          <w:tcPr>
            <w:tcW w:w="54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8"/>
                <w:szCs w:val="18"/>
                <w:b w:val="1"/>
                <w:bCs w:val="1"/>
                <w:color w:val="auto"/>
                <w:w w:val="96"/>
              </w:rPr>
              <w:t>Complies</w:t>
            </w:r>
          </w:p>
        </w:tc>
        <w:tc>
          <w:tcPr>
            <w:tcW w:w="520" w:type="dxa"/>
            <w:vAlign w:val="bottom"/>
          </w:tcPr>
          <w:p>
            <w:pPr>
              <w:spacing w:after="0"/>
              <w:rPr>
                <w:sz w:val="24"/>
                <w:szCs w:val="24"/>
                <w:color w:val="auto"/>
              </w:rPr>
            </w:pPr>
          </w:p>
        </w:tc>
      </w:tr>
      <w:tr>
        <w:trPr>
          <w:trHeight w:val="198"/>
        </w:trPr>
        <w:tc>
          <w:tcPr>
            <w:tcW w:w="360" w:type="dxa"/>
            <w:vAlign w:val="bottom"/>
          </w:tcPr>
          <w:p>
            <w:pPr>
              <w:spacing w:after="0" w:line="198" w:lineRule="exact"/>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7"/>
                <w:szCs w:val="17"/>
                <w:color w:val="auto"/>
              </w:rPr>
            </w:pPr>
          </w:p>
        </w:tc>
        <w:tc>
          <w:tcPr>
            <w:tcW w:w="800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Dispositions (§ 7.1)</w:t>
            </w:r>
          </w:p>
        </w:tc>
        <w:tc>
          <w:tcPr>
            <w:tcW w:w="1040" w:type="dxa"/>
            <w:vAlign w:val="bottom"/>
          </w:tcPr>
          <w:p>
            <w:pPr>
              <w:spacing w:after="0"/>
              <w:rPr>
                <w:sz w:val="17"/>
                <w:szCs w:val="17"/>
                <w:color w:val="auto"/>
              </w:rPr>
            </w:pPr>
          </w:p>
        </w:tc>
        <w:tc>
          <w:tcPr>
            <w:tcW w:w="540" w:type="dxa"/>
            <w:vAlign w:val="bottom"/>
            <w:tcBorders>
              <w:top w:val="single" w:sz="8" w:color="auto"/>
            </w:tcBorders>
          </w:tcPr>
          <w:p>
            <w:pPr>
              <w:ind w:left="200"/>
              <w:spacing w:after="0" w:line="198" w:lineRule="exact"/>
              <w:rPr>
                <w:sz w:val="20"/>
                <w:szCs w:val="20"/>
                <w:color w:val="auto"/>
              </w:rPr>
            </w:pPr>
            <w:r>
              <w:rPr>
                <w:rFonts w:ascii="Arial" w:cs="Arial" w:eastAsia="Arial" w:hAnsi="Arial"/>
                <w:sz w:val="18"/>
                <w:szCs w:val="18"/>
                <w:color w:val="auto"/>
              </w:rPr>
              <w:t>Yes</w:t>
            </w:r>
          </w:p>
        </w:tc>
        <w:tc>
          <w:tcPr>
            <w:tcW w:w="860" w:type="dxa"/>
            <w:vAlign w:val="bottom"/>
            <w:tcBorders>
              <w:top w:val="single" w:sz="8" w:color="auto"/>
            </w:tcBorders>
          </w:tcPr>
          <w:p>
            <w:pPr>
              <w:ind w:left="360"/>
              <w:spacing w:after="0" w:line="198" w:lineRule="exact"/>
              <w:rPr>
                <w:sz w:val="20"/>
                <w:szCs w:val="20"/>
                <w:color w:val="auto"/>
              </w:rPr>
            </w:pPr>
            <w:r>
              <w:rPr>
                <w:rFonts w:ascii="Arial" w:cs="Arial" w:eastAsia="Arial" w:hAnsi="Arial"/>
                <w:sz w:val="18"/>
                <w:szCs w:val="18"/>
                <w:color w:val="auto"/>
              </w:rPr>
              <w:t>No</w:t>
            </w:r>
          </w:p>
        </w:tc>
        <w:tc>
          <w:tcPr>
            <w:tcW w:w="520" w:type="dxa"/>
            <w:vAlign w:val="bottom"/>
            <w:tcBorders>
              <w:top w:val="single" w:sz="8" w:color="auto"/>
            </w:tcBorders>
          </w:tcPr>
          <w:p>
            <w:pPr>
              <w:ind w:left="80"/>
              <w:spacing w:after="0" w:line="198" w:lineRule="exact"/>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2)</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Changes in Business, Management, Ownership, or Business Locations (§ 7.2)</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3)</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Mergers or Acquisitions (§ 7.3)</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4)</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Indebtedness (§ 7.4)</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5)</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Encumbrance (§ 7.5)</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6)</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Maintenance of Collateral Accounts (§ 7.6)</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7)</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Restricted Payments (§ 7.7)</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8)</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Investments (§ 7.8)</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9)</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Transactions with Affiliates (§ 7.9)</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Subordinated Debt (§ 7.10)</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Compliance (§ 7.11)</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12)</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Compliance with Anti-Terrorism Laws (§ 7.12)</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13)</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Material Agreements (§ 7.13)</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14)</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Minimum Cash (§ 7.14) (please provide documentation)</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9140" w:type="dxa"/>
            <w:vAlign w:val="bottom"/>
            <w:gridSpan w:val="3"/>
          </w:tcPr>
          <w:p>
            <w:pPr>
              <w:ind w:left="100"/>
              <w:spacing w:after="0"/>
              <w:rPr>
                <w:sz w:val="20"/>
                <w:szCs w:val="20"/>
                <w:color w:val="auto"/>
              </w:rPr>
            </w:pPr>
            <w:r>
              <w:rPr>
                <w:rFonts w:ascii="Arial" w:cs="Arial" w:eastAsia="Arial" w:hAnsi="Arial"/>
                <w:sz w:val="18"/>
                <w:szCs w:val="18"/>
                <w:color w:val="auto"/>
              </w:rPr>
              <w:t>Minimum EBITDA (§ 7.15) (please provide documentation)</w:t>
            </w:r>
          </w:p>
        </w:tc>
        <w:tc>
          <w:tcPr>
            <w:tcW w:w="540" w:type="dxa"/>
            <w:vAlign w:val="bottom"/>
          </w:tcPr>
          <w:p>
            <w:pPr>
              <w:ind w:left="200"/>
              <w:spacing w:after="0"/>
              <w:rPr>
                <w:sz w:val="20"/>
                <w:szCs w:val="20"/>
                <w:color w:val="auto"/>
              </w:rPr>
            </w:pPr>
            <w:r>
              <w:rPr>
                <w:rFonts w:ascii="Arial" w:cs="Arial" w:eastAsia="Arial" w:hAnsi="Arial"/>
                <w:sz w:val="18"/>
                <w:szCs w:val="18"/>
                <w:color w:val="auto"/>
              </w:rPr>
              <w:t>Yes</w:t>
            </w:r>
          </w:p>
        </w:tc>
        <w:tc>
          <w:tcPr>
            <w:tcW w:w="860" w:type="dxa"/>
            <w:vAlign w:val="bottom"/>
          </w:tcPr>
          <w:p>
            <w:pPr>
              <w:ind w:left="360"/>
              <w:spacing w:after="0"/>
              <w:rPr>
                <w:sz w:val="20"/>
                <w:szCs w:val="20"/>
                <w:color w:val="auto"/>
              </w:rPr>
            </w:pPr>
            <w:r>
              <w:rPr>
                <w:rFonts w:ascii="Arial" w:cs="Arial" w:eastAsia="Arial" w:hAnsi="Arial"/>
                <w:sz w:val="18"/>
                <w:szCs w:val="18"/>
                <w:color w:val="auto"/>
              </w:rPr>
              <w:t>No</w:t>
            </w:r>
          </w:p>
        </w:tc>
        <w:tc>
          <w:tcPr>
            <w:tcW w:w="52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9"/>
        </w:trPr>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Deposit and Securities Accounts</w:t>
            </w:r>
          </w:p>
        </w:tc>
        <w:tc>
          <w:tcPr>
            <w:tcW w:w="8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06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5"/>
              </w:rPr>
              <w:t>(Please list all accounts; attach separate sheet if additional space needed)</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1)</w:t>
            </w:r>
          </w:p>
        </w:tc>
        <w:tc>
          <w:tcPr>
            <w:tcW w:w="272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Institution Name</w:t>
            </w:r>
          </w:p>
        </w:tc>
        <w:tc>
          <w:tcPr>
            <w:tcW w:w="27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Account Number</w:t>
            </w:r>
          </w:p>
        </w:tc>
        <w:tc>
          <w:tcPr>
            <w:tcW w:w="196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New Account?</w:t>
            </w:r>
          </w:p>
        </w:tc>
        <w:tc>
          <w:tcPr>
            <w:tcW w:w="34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97"/>
              </w:rPr>
              <w:t>Account Control Agreement in place?</w:t>
            </w:r>
          </w:p>
        </w:tc>
        <w:tc>
          <w:tcPr>
            <w:tcW w:w="0" w:type="dxa"/>
            <w:vAlign w:val="bottom"/>
          </w:tcPr>
          <w:p>
            <w:pPr>
              <w:spacing w:after="0"/>
              <w:rPr>
                <w:sz w:val="1"/>
                <w:szCs w:val="1"/>
                <w:color w:val="auto"/>
              </w:rPr>
            </w:pPr>
          </w:p>
        </w:tc>
      </w:tr>
      <w:tr>
        <w:trPr>
          <w:trHeight w:val="198"/>
        </w:trPr>
        <w:tc>
          <w:tcPr>
            <w:tcW w:w="58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80" w:type="dxa"/>
            <w:vAlign w:val="bottom"/>
          </w:tcPr>
          <w:p>
            <w:pPr>
              <w:ind w:left="640"/>
              <w:spacing w:after="0" w:line="198" w:lineRule="exact"/>
              <w:rPr>
                <w:sz w:val="20"/>
                <w:szCs w:val="20"/>
                <w:color w:val="auto"/>
              </w:rPr>
            </w:pPr>
            <w:r>
              <w:rPr>
                <w:rFonts w:ascii="Arial" w:cs="Arial" w:eastAsia="Arial" w:hAnsi="Arial"/>
                <w:sz w:val="18"/>
                <w:szCs w:val="18"/>
                <w:color w:val="auto"/>
              </w:rPr>
              <w:t>Yes</w:t>
            </w:r>
          </w:p>
        </w:tc>
        <w:tc>
          <w:tcPr>
            <w:tcW w:w="780" w:type="dxa"/>
            <w:vAlign w:val="bottom"/>
          </w:tcPr>
          <w:p>
            <w:pPr>
              <w:ind w:left="260"/>
              <w:spacing w:after="0" w:line="198" w:lineRule="exact"/>
              <w:rPr>
                <w:sz w:val="20"/>
                <w:szCs w:val="20"/>
                <w:color w:val="auto"/>
              </w:rPr>
            </w:pPr>
            <w:r>
              <w:rPr>
                <w:rFonts w:ascii="Arial" w:cs="Arial" w:eastAsia="Arial" w:hAnsi="Arial"/>
                <w:sz w:val="18"/>
                <w:szCs w:val="18"/>
                <w:color w:val="auto"/>
              </w:rPr>
              <w:t>No</w:t>
            </w:r>
          </w:p>
        </w:tc>
        <w:tc>
          <w:tcPr>
            <w:tcW w:w="1820" w:type="dxa"/>
            <w:vAlign w:val="bottom"/>
          </w:tcPr>
          <w:p>
            <w:pPr>
              <w:ind w:left="840"/>
              <w:spacing w:after="0" w:line="198" w:lineRule="exact"/>
              <w:rPr>
                <w:sz w:val="20"/>
                <w:szCs w:val="20"/>
                <w:color w:val="auto"/>
              </w:rPr>
            </w:pPr>
            <w:r>
              <w:rPr>
                <w:rFonts w:ascii="Arial" w:cs="Arial" w:eastAsia="Arial" w:hAnsi="Arial"/>
                <w:sz w:val="18"/>
                <w:szCs w:val="18"/>
                <w:color w:val="auto"/>
              </w:rPr>
              <w:t>Yes</w:t>
            </w:r>
          </w:p>
        </w:tc>
        <w:tc>
          <w:tcPr>
            <w:tcW w:w="1580" w:type="dxa"/>
            <w:vAlign w:val="bottom"/>
          </w:tcPr>
          <w:p>
            <w:pPr>
              <w:ind w:left="740"/>
              <w:spacing w:after="0" w:line="198" w:lineRule="exact"/>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b w:val="1"/>
                <w:bCs w:val="1"/>
                <w:color w:val="auto"/>
              </w:rPr>
              <w:t>2)</w:t>
            </w: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80" w:type="dxa"/>
            <w:vAlign w:val="bottom"/>
          </w:tcPr>
          <w:p>
            <w:pPr>
              <w:ind w:left="640"/>
              <w:spacing w:after="0"/>
              <w:rPr>
                <w:sz w:val="20"/>
                <w:szCs w:val="20"/>
                <w:color w:val="auto"/>
              </w:rPr>
            </w:pPr>
            <w:r>
              <w:rPr>
                <w:rFonts w:ascii="Arial" w:cs="Arial" w:eastAsia="Arial" w:hAnsi="Arial"/>
                <w:sz w:val="18"/>
                <w:szCs w:val="18"/>
                <w:color w:val="auto"/>
              </w:rPr>
              <w:t>Yes</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1820" w:type="dxa"/>
            <w:vAlign w:val="bottom"/>
          </w:tcPr>
          <w:p>
            <w:pPr>
              <w:ind w:left="840"/>
              <w:spacing w:after="0"/>
              <w:rPr>
                <w:sz w:val="20"/>
                <w:szCs w:val="20"/>
                <w:color w:val="auto"/>
              </w:rPr>
            </w:pPr>
            <w:r>
              <w:rPr>
                <w:rFonts w:ascii="Arial" w:cs="Arial" w:eastAsia="Arial" w:hAnsi="Arial"/>
                <w:sz w:val="18"/>
                <w:szCs w:val="18"/>
                <w:color w:val="auto"/>
              </w:rPr>
              <w:t>Yes</w:t>
            </w:r>
          </w:p>
        </w:tc>
        <w:tc>
          <w:tcPr>
            <w:tcW w:w="1580" w:type="dxa"/>
            <w:vAlign w:val="bottom"/>
          </w:tcPr>
          <w:p>
            <w:pPr>
              <w:ind w:left="7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b w:val="1"/>
                <w:bCs w:val="1"/>
                <w:color w:val="auto"/>
              </w:rPr>
              <w:t>3)</w:t>
            </w: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80" w:type="dxa"/>
            <w:vAlign w:val="bottom"/>
          </w:tcPr>
          <w:p>
            <w:pPr>
              <w:ind w:left="640"/>
              <w:spacing w:after="0"/>
              <w:rPr>
                <w:sz w:val="20"/>
                <w:szCs w:val="20"/>
                <w:color w:val="auto"/>
              </w:rPr>
            </w:pPr>
            <w:r>
              <w:rPr>
                <w:rFonts w:ascii="Arial" w:cs="Arial" w:eastAsia="Arial" w:hAnsi="Arial"/>
                <w:sz w:val="18"/>
                <w:szCs w:val="18"/>
                <w:color w:val="auto"/>
              </w:rPr>
              <w:t>Yes</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1820" w:type="dxa"/>
            <w:vAlign w:val="bottom"/>
          </w:tcPr>
          <w:p>
            <w:pPr>
              <w:ind w:left="840"/>
              <w:spacing w:after="0"/>
              <w:rPr>
                <w:sz w:val="20"/>
                <w:szCs w:val="20"/>
                <w:color w:val="auto"/>
              </w:rPr>
            </w:pPr>
            <w:r>
              <w:rPr>
                <w:rFonts w:ascii="Arial" w:cs="Arial" w:eastAsia="Arial" w:hAnsi="Arial"/>
                <w:sz w:val="18"/>
                <w:szCs w:val="18"/>
                <w:color w:val="auto"/>
              </w:rPr>
              <w:t>Yes</w:t>
            </w:r>
          </w:p>
        </w:tc>
        <w:tc>
          <w:tcPr>
            <w:tcW w:w="1580" w:type="dxa"/>
            <w:vAlign w:val="bottom"/>
          </w:tcPr>
          <w:p>
            <w:pPr>
              <w:ind w:left="7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4)</w:t>
            </w:r>
          </w:p>
        </w:tc>
        <w:tc>
          <w:tcPr>
            <w:tcW w:w="1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180" w:type="dxa"/>
            <w:vAlign w:val="bottom"/>
          </w:tcPr>
          <w:p>
            <w:pPr>
              <w:ind w:left="640"/>
              <w:spacing w:after="0"/>
              <w:rPr>
                <w:sz w:val="20"/>
                <w:szCs w:val="20"/>
                <w:color w:val="auto"/>
              </w:rPr>
            </w:pPr>
            <w:r>
              <w:rPr>
                <w:rFonts w:ascii="Arial" w:cs="Arial" w:eastAsia="Arial" w:hAnsi="Arial"/>
                <w:sz w:val="18"/>
                <w:szCs w:val="18"/>
                <w:color w:val="auto"/>
              </w:rPr>
              <w:t>Yes</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1820" w:type="dxa"/>
            <w:vAlign w:val="bottom"/>
          </w:tcPr>
          <w:p>
            <w:pPr>
              <w:ind w:left="840"/>
              <w:spacing w:after="0"/>
              <w:rPr>
                <w:sz w:val="20"/>
                <w:szCs w:val="20"/>
                <w:color w:val="auto"/>
              </w:rPr>
            </w:pPr>
            <w:r>
              <w:rPr>
                <w:rFonts w:ascii="Arial" w:cs="Arial" w:eastAsia="Arial" w:hAnsi="Arial"/>
                <w:sz w:val="18"/>
                <w:szCs w:val="18"/>
                <w:color w:val="auto"/>
              </w:rPr>
              <w:t>Yes</w:t>
            </w:r>
          </w:p>
        </w:tc>
        <w:tc>
          <w:tcPr>
            <w:tcW w:w="1580" w:type="dxa"/>
            <w:vAlign w:val="bottom"/>
          </w:tcPr>
          <w:p>
            <w:pPr>
              <w:ind w:left="7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ectPr>
          <w:pgSz w:w="11900" w:h="16838" w:orient="portrait"/>
          <w:cols w:equalWidth="0" w:num="1">
            <w:col w:w="11420"/>
          </w:cols>
          <w:pgMar w:left="240" w:top="648" w:right="239" w:bottom="1440" w:gutter="0" w:footer="0" w:header="0"/>
        </w:sectPr>
      </w:pPr>
    </w:p>
    <w:p>
      <w:pPr>
        <w:spacing w:after="0" w:line="229" w:lineRule="exact"/>
        <w:rPr>
          <w:sz w:val="20"/>
          <w:szCs w:val="20"/>
          <w:color w:val="auto"/>
        </w:rPr>
      </w:pPr>
    </w:p>
    <w:p>
      <w:pPr>
        <w:ind w:left="820" w:hanging="812"/>
        <w:spacing w:after="0"/>
        <w:tabs>
          <w:tab w:leader="none" w:pos="82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Have there been any changes in any Key Person since the last Compliance Certificate?</w:t>
      </w:r>
    </w:p>
    <w:p>
      <w:pPr>
        <w:spacing w:after="0" w:line="225" w:lineRule="exact"/>
        <w:rPr>
          <w:rFonts w:ascii="Arial" w:cs="Arial" w:eastAsia="Arial" w:hAnsi="Arial"/>
          <w:sz w:val="18"/>
          <w:szCs w:val="18"/>
          <w:b w:val="1"/>
          <w:bCs w:val="1"/>
          <w:color w:val="auto"/>
        </w:rPr>
      </w:pPr>
    </w:p>
    <w:p>
      <w:pPr>
        <w:ind w:left="820" w:hanging="812"/>
        <w:spacing w:after="0"/>
        <w:tabs>
          <w:tab w:leader="none" w:pos="820"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Have there been any transfers/sales/disposals/retirement of Collateral or IP prohibited by the Loan Agreement?</w:t>
      </w:r>
    </w:p>
    <w:p>
      <w:pPr>
        <w:spacing w:after="0" w:line="248" w:lineRule="exact"/>
        <w:rPr>
          <w:rFonts w:ascii="Arial" w:cs="Arial" w:eastAsia="Arial" w:hAnsi="Arial"/>
          <w:sz w:val="16"/>
          <w:szCs w:val="16"/>
          <w:b w:val="1"/>
          <w:bCs w:val="1"/>
          <w:color w:val="auto"/>
        </w:rPr>
      </w:pPr>
    </w:p>
    <w:p>
      <w:pPr>
        <w:ind w:left="820" w:right="420" w:hanging="812"/>
        <w:spacing w:after="0" w:line="182" w:lineRule="auto"/>
        <w:tabs>
          <w:tab w:leader="none" w:pos="820" w:val="left"/>
        </w:tabs>
        <w:numPr>
          <w:ilvl w:val="0"/>
          <w:numId w:val="71"/>
        </w:numPr>
        <w:rPr>
          <w:rFonts w:ascii="Arial" w:cs="Arial" w:eastAsia="Arial" w:hAnsi="Arial"/>
          <w:sz w:val="34"/>
          <w:szCs w:val="34"/>
          <w:b w:val="1"/>
          <w:bCs w:val="1"/>
          <w:color w:val="auto"/>
          <w:vertAlign w:val="subscript"/>
        </w:rPr>
      </w:pPr>
      <w:r>
        <w:rPr>
          <w:rFonts w:ascii="Arial" w:cs="Arial" w:eastAsia="Arial" w:hAnsi="Arial"/>
          <w:sz w:val="17"/>
          <w:szCs w:val="17"/>
          <w:color w:val="auto"/>
        </w:rPr>
        <w:t>Have there been any new or pending claims or causes of action against Borrower that involve more than Two Hundred Fifty Thousand Dollars ($250,000.00)?</w:t>
      </w:r>
    </w:p>
    <w:p>
      <w:pPr>
        <w:spacing w:after="0" w:line="203" w:lineRule="exact"/>
        <w:rPr>
          <w:rFonts w:ascii="Arial" w:cs="Arial" w:eastAsia="Arial" w:hAnsi="Arial"/>
          <w:sz w:val="34"/>
          <w:szCs w:val="34"/>
          <w:b w:val="1"/>
          <w:bCs w:val="1"/>
          <w:color w:val="auto"/>
          <w:vertAlign w:val="subscript"/>
        </w:rPr>
      </w:pPr>
    </w:p>
    <w:p>
      <w:pPr>
        <w:ind w:left="820"/>
        <w:spacing w:after="0"/>
        <w:rPr>
          <w:rFonts w:ascii="Arial" w:cs="Arial" w:eastAsia="Arial" w:hAnsi="Arial"/>
          <w:sz w:val="34"/>
          <w:szCs w:val="34"/>
          <w:b w:val="1"/>
          <w:bCs w:val="1"/>
          <w:color w:val="auto"/>
          <w:vertAlign w:val="subscript"/>
        </w:rPr>
      </w:pPr>
      <w:r>
        <w:rPr>
          <w:rFonts w:ascii="Arial" w:cs="Arial" w:eastAsia="Arial" w:hAnsi="Arial"/>
          <w:sz w:val="16"/>
          <w:szCs w:val="16"/>
          <w:color w:val="auto"/>
        </w:rPr>
        <w:t>Have there been any amendments of or other changes to the capitalization table of Borrower and to the Operating</w:t>
      </w:r>
    </w:p>
    <w:p>
      <w:pPr>
        <w:spacing w:after="0" w:line="46" w:lineRule="exact"/>
        <w:rPr>
          <w:rFonts w:ascii="Arial" w:cs="Arial" w:eastAsia="Arial" w:hAnsi="Arial"/>
          <w:sz w:val="34"/>
          <w:szCs w:val="34"/>
          <w:b w:val="1"/>
          <w:bCs w:val="1"/>
          <w:color w:val="auto"/>
          <w:vertAlign w:val="subscript"/>
        </w:rPr>
      </w:pPr>
    </w:p>
    <w:p>
      <w:pPr>
        <w:ind w:left="820" w:hanging="812"/>
        <w:spacing w:after="0" w:line="261" w:lineRule="auto"/>
        <w:tabs>
          <w:tab w:leader="none" w:pos="82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Documents of Borrower or any of its Subsidiaries? If yes, provide copies of any such amendments or changes with this Compliance Certificate.</w:t>
      </w:r>
    </w:p>
    <w:p>
      <w:pPr>
        <w:spacing w:after="0" w:line="183" w:lineRule="exact"/>
        <w:rPr>
          <w:rFonts w:ascii="Arial" w:cs="Arial" w:eastAsia="Arial" w:hAnsi="Arial"/>
          <w:sz w:val="18"/>
          <w:szCs w:val="18"/>
          <w:b w:val="1"/>
          <w:bCs w:val="1"/>
          <w:color w:val="auto"/>
        </w:rPr>
      </w:pPr>
    </w:p>
    <w:p>
      <w:pPr>
        <w:ind w:left="820" w:right="400" w:hanging="812"/>
        <w:spacing w:after="0" w:line="182" w:lineRule="auto"/>
        <w:tabs>
          <w:tab w:leader="none" w:pos="820" w:val="left"/>
        </w:tabs>
        <w:numPr>
          <w:ilvl w:val="0"/>
          <w:numId w:val="71"/>
        </w:numPr>
        <w:rPr>
          <w:rFonts w:ascii="Arial" w:cs="Arial" w:eastAsia="Arial" w:hAnsi="Arial"/>
          <w:sz w:val="34"/>
          <w:szCs w:val="34"/>
          <w:b w:val="1"/>
          <w:bCs w:val="1"/>
          <w:color w:val="auto"/>
          <w:vertAlign w:val="subscript"/>
        </w:rPr>
      </w:pPr>
      <w:r>
        <w:rPr>
          <w:rFonts w:ascii="Arial" w:cs="Arial" w:eastAsia="Arial" w:hAnsi="Arial"/>
          <w:sz w:val="17"/>
          <w:szCs w:val="17"/>
          <w:color w:val="auto"/>
        </w:rPr>
        <w:t>Has Borrower or any Subsidiary entered into or amended any Material Agreement? If yes, please explain and provide a copy of the Material Agreement(s) and/or amendment(s).</w:t>
      </w:r>
    </w:p>
    <w:p>
      <w:pPr>
        <w:spacing w:after="0" w:line="203" w:lineRule="exact"/>
        <w:rPr>
          <w:rFonts w:ascii="Arial" w:cs="Arial" w:eastAsia="Arial" w:hAnsi="Arial"/>
          <w:sz w:val="34"/>
          <w:szCs w:val="34"/>
          <w:b w:val="1"/>
          <w:bCs w:val="1"/>
          <w:color w:val="auto"/>
          <w:vertAlign w:val="subscript"/>
        </w:rPr>
      </w:pPr>
    </w:p>
    <w:p>
      <w:pPr>
        <w:ind w:left="820" w:right="280" w:hanging="812"/>
        <w:spacing w:after="0" w:line="182" w:lineRule="auto"/>
        <w:tabs>
          <w:tab w:leader="none" w:pos="820" w:val="left"/>
        </w:tabs>
        <w:numPr>
          <w:ilvl w:val="0"/>
          <w:numId w:val="71"/>
        </w:numPr>
        <w:rPr>
          <w:rFonts w:ascii="Arial" w:cs="Arial" w:eastAsia="Arial" w:hAnsi="Arial"/>
          <w:sz w:val="34"/>
          <w:szCs w:val="34"/>
          <w:b w:val="1"/>
          <w:bCs w:val="1"/>
          <w:color w:val="auto"/>
          <w:vertAlign w:val="subscript"/>
        </w:rPr>
      </w:pPr>
      <w:r>
        <w:rPr>
          <w:rFonts w:ascii="Arial" w:cs="Arial" w:eastAsia="Arial" w:hAnsi="Arial"/>
          <w:sz w:val="17"/>
          <w:szCs w:val="17"/>
          <w:color w:val="auto"/>
        </w:rPr>
        <w:t>Has Borrower provided the Collateral Agent with all notices required to be delivered under Sections 6.2(a) and 6.2(b) of the Loan Agreement?</w:t>
      </w:r>
    </w:p>
    <w:p>
      <w:pPr>
        <w:spacing w:after="0" w:line="203" w:lineRule="exact"/>
        <w:rPr>
          <w:rFonts w:ascii="Arial" w:cs="Arial" w:eastAsia="Arial" w:hAnsi="Arial"/>
          <w:sz w:val="34"/>
          <w:szCs w:val="34"/>
          <w:b w:val="1"/>
          <w:bCs w:val="1"/>
          <w:color w:val="auto"/>
          <w:vertAlign w:val="subscript"/>
        </w:rPr>
      </w:pPr>
    </w:p>
    <w:p>
      <w:pPr>
        <w:ind w:left="820" w:right="360" w:hanging="812"/>
        <w:spacing w:after="0" w:line="182" w:lineRule="auto"/>
        <w:tabs>
          <w:tab w:leader="none" w:pos="820" w:val="left"/>
        </w:tabs>
        <w:numPr>
          <w:ilvl w:val="0"/>
          <w:numId w:val="71"/>
        </w:numPr>
        <w:rPr>
          <w:rFonts w:ascii="Arial" w:cs="Arial" w:eastAsia="Arial" w:hAnsi="Arial"/>
          <w:sz w:val="34"/>
          <w:szCs w:val="34"/>
          <w:b w:val="1"/>
          <w:bCs w:val="1"/>
          <w:color w:val="auto"/>
          <w:vertAlign w:val="subscript"/>
        </w:rPr>
      </w:pPr>
      <w:r>
        <w:rPr>
          <w:rFonts w:ascii="Arial" w:cs="Arial" w:eastAsia="Arial" w:hAnsi="Arial"/>
          <w:sz w:val="17"/>
          <w:szCs w:val="17"/>
          <w:color w:val="auto"/>
        </w:rPr>
        <w:t>Have there been any material updates to the contents of the Perfection Certificate last delivered? If yes, please explain.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37"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345"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361"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361"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253"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253"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ectPr>
          <w:pgSz w:w="11900" w:h="16838" w:orient="portrait"/>
          <w:cols w:equalWidth="0" w:num="2">
            <w:col w:w="9100" w:space="540"/>
            <w:col w:w="1780"/>
          </w:cols>
          <w:pgMar w:left="240" w:top="648"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Exceptions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 on behalf of each 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COLLATERAL AGENT USE ONLY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5720"/>
              <w:spacing w:after="0"/>
              <w:rPr>
                <w:sz w:val="20"/>
                <w:szCs w:val="20"/>
                <w:color w:val="auto"/>
              </w:rPr>
            </w:pPr>
            <w:r>
              <w:rPr>
                <w:rFonts w:ascii="Arial" w:cs="Arial" w:eastAsia="Arial" w:hAnsi="Arial"/>
                <w:sz w:val="18"/>
                <w:szCs w:val="18"/>
                <w:color w:val="auto"/>
                <w:w w:val="98"/>
              </w:rPr>
              <w:t>Received by: __________</w:t>
            </w:r>
          </w:p>
        </w:tc>
        <w:tc>
          <w:tcPr>
            <w:tcW w:w="3620" w:type="dxa"/>
            <w:vAlign w:val="bottom"/>
          </w:tcPr>
          <w:p>
            <w:pPr>
              <w:ind w:left="780"/>
              <w:spacing w:after="0"/>
              <w:rPr>
                <w:sz w:val="20"/>
                <w:szCs w:val="20"/>
                <w:color w:val="auto"/>
              </w:rPr>
            </w:pPr>
            <w:r>
              <w:rPr>
                <w:rFonts w:ascii="Arial" w:cs="Arial" w:eastAsia="Arial" w:hAnsi="Arial"/>
                <w:sz w:val="18"/>
                <w:szCs w:val="18"/>
                <w:color w:val="auto"/>
              </w:rPr>
              <w:t>Date: __________</w:t>
            </w:r>
          </w:p>
        </w:tc>
      </w:tr>
      <w:tr>
        <w:trPr>
          <w:trHeight w:val="432"/>
        </w:trPr>
        <w:tc>
          <w:tcPr>
            <w:tcW w:w="7800" w:type="dxa"/>
            <w:vAlign w:val="bottom"/>
          </w:tcPr>
          <w:p>
            <w:pPr>
              <w:ind w:left="5720"/>
              <w:spacing w:after="0"/>
              <w:rPr>
                <w:sz w:val="20"/>
                <w:szCs w:val="20"/>
                <w:color w:val="auto"/>
              </w:rPr>
            </w:pPr>
            <w:r>
              <w:rPr>
                <w:rFonts w:ascii="Arial" w:cs="Arial" w:eastAsia="Arial" w:hAnsi="Arial"/>
                <w:sz w:val="18"/>
                <w:szCs w:val="18"/>
                <w:color w:val="auto"/>
              </w:rPr>
              <w:t>Verified by: ___________</w:t>
            </w:r>
          </w:p>
        </w:tc>
        <w:tc>
          <w:tcPr>
            <w:tcW w:w="3620" w:type="dxa"/>
            <w:vAlign w:val="bottom"/>
          </w:tcPr>
          <w:p>
            <w:pPr>
              <w:ind w:left="780"/>
              <w:spacing w:after="0"/>
              <w:rPr>
                <w:sz w:val="20"/>
                <w:szCs w:val="20"/>
                <w:color w:val="auto"/>
              </w:rPr>
            </w:pPr>
            <w:r>
              <w:rPr>
                <w:rFonts w:ascii="Arial" w:cs="Arial" w:eastAsia="Arial" w:hAnsi="Arial"/>
                <w:sz w:val="18"/>
                <w:szCs w:val="18"/>
                <w:color w:val="auto"/>
              </w:rPr>
              <w:t>Date: __________</w:t>
            </w:r>
          </w:p>
        </w:tc>
      </w:tr>
      <w:tr>
        <w:trPr>
          <w:trHeight w:val="432"/>
        </w:trPr>
        <w:tc>
          <w:tcPr>
            <w:tcW w:w="7800" w:type="dxa"/>
            <w:vAlign w:val="bottom"/>
          </w:tcPr>
          <w:p>
            <w:pPr>
              <w:ind w:left="5720"/>
              <w:spacing w:after="0"/>
              <w:rPr>
                <w:sz w:val="20"/>
                <w:szCs w:val="20"/>
                <w:color w:val="auto"/>
              </w:rPr>
            </w:pPr>
            <w:r>
              <w:rPr>
                <w:rFonts w:ascii="Arial" w:cs="Arial" w:eastAsia="Arial" w:hAnsi="Arial"/>
                <w:sz w:val="18"/>
                <w:szCs w:val="18"/>
                <w:color w:val="auto"/>
              </w:rPr>
              <w:t>Compliance Status: Yes</w:t>
            </w:r>
          </w:p>
        </w:tc>
        <w:tc>
          <w:tcPr>
            <w:tcW w:w="3620" w:type="dxa"/>
            <w:vAlign w:val="bottom"/>
          </w:tcPr>
          <w:p>
            <w:pPr>
              <w:ind w:left="180"/>
              <w:spacing w:after="0"/>
              <w:rPr>
                <w:sz w:val="20"/>
                <w:szCs w:val="20"/>
                <w:color w:val="auto"/>
              </w:rPr>
            </w:pPr>
            <w:r>
              <w:rPr>
                <w:rFonts w:ascii="Arial" w:cs="Arial" w:eastAsia="Arial" w:hAnsi="Arial"/>
                <w:sz w:val="18"/>
                <w:szCs w:val="18"/>
                <w:color w:val="auto"/>
              </w:rPr>
              <w:t>No</w:t>
            </w:r>
          </w:p>
        </w:tc>
      </w:tr>
      <w:tr>
        <w:trPr>
          <w:trHeight w:val="439"/>
        </w:trPr>
        <w:tc>
          <w:tcPr>
            <w:tcW w:w="78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735580" cy="12261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273558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$16 Million Debt Facility with SWK Holdings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San Diego, CA – July 20, 2017 — Imprimis Pharmaceuticals, Inc. (NASDAQ: IMMY), an ophthalmology-focused pharmaceutical company, today announced it has entered into a $16 million senior secured non-dilutive term loan agreement with SWK Funding LLC and its partners. SWK Funding LLC is a subsidiary of SWK Holdings Corporation, a healthcare focused investment firm. The company plans to use the proceeds to retire its existing $13 million term loan with an affiliate of Life Sciences Alternative Funding LLC, and provide additional working capital for its growing ophthalmic formulation pipeline.</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loan was fully funded at closing with a five-year term bearing interest, initially, at 12 percent per annum with interest-only payments for up to the first eighteen months (payable quarterly). The interest-only period may be adjusted based upon Imprimis meeting certain revenue requirements.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Winston Black, CEO of SWK Holdings stated, “We have enjoyed working with the Imprimis team during our extensive due diligence process and look forward to supporting the company as it continues to execute its growth strategy. Imprimis’ innovative ophthalmic formulations have significant opportunities in large markets and we believe in the company’s ability to achieve their vision of delivering innovative medicines to physicians and patients at affordable prices.”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Mark L. Baum, CEO of Imprimis, said, “We are pleased to partner with the SWK team, a firm renowned for its healthcare investing expertise, and appreciate their thorough understanding of our business and the confidence they have placed in our long-term growth potential. This debt facility provides us with a non-dilutive source of capital at favorable terms and we believe adequate working capital to enable us to reach expected profitability in the near term.”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WestCape Advisors, a division of KEMA Partners LLC, served as exclusive financial advisor to Imprimis in connection with the financing.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SWK Holdings Corporation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SWK Holdings Corporation (SWKH.OB) is a specialized finance company with a focus on the global healthcare sector. SWK partners with ethical product marketers and royalty holders to provide flexible financing solutions at an attractive cost of capital to create long-term value for both SWK’s business partners and its investors. SWK believes its financing structures achieve an optimal partnership for companies, institutions and inventors seeking capital for expansion or capital and estate planning by allowing its partners to monetize future cash flow with minimal dilution to their equity stakes. Additional information is available on the company’s website at www.swkhold.com.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Imprimis Pharmaceuticals, Inc. (NASDAQ: IMMY)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three production and dispensing facilities located in California, and New Jersey. For more information about Imprimis, please visit the corporate website at </w:t>
      </w:r>
      <w:r>
        <w:rPr>
          <w:rFonts w:ascii="Arial" w:cs="Arial" w:eastAsia="Arial" w:hAnsi="Arial"/>
          <w:sz w:val="18"/>
          <w:szCs w:val="18"/>
          <w:u w:val="single" w:color="auto"/>
          <w:color w:val="auto"/>
        </w:rPr>
        <w:t>www.ImprimisRx.com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than drugs compounded at a registered outsourcing facility, all Imprimis compounded formulations may only be prescribed pursuant to a physician prescription for an individually identified patient consistent with federal and state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jpatton@imprimispharma.com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1."/>
      <w:numFmt w:val="decimal"/>
      <w:start w:val="1"/>
    </w:lvl>
  </w:abstractNum>
  <w:abstractNum w:abstractNumId="2">
    <w:nsid w:val="77465F01"/>
    <w:multiLevelType w:val="hybridMultilevel"/>
    <w:lvl w:ilvl="0">
      <w:lvlJc w:val="left"/>
      <w:lvlText w:val="(%1)"/>
      <w:numFmt w:val="lowerLetter"/>
      <w:start w:val="1"/>
    </w:lvl>
  </w:abstractNum>
  <w:abstractNum w:abstractNumId="3">
    <w:nsid w:val="7724C67E"/>
    <w:multiLevelType w:val="hybridMultilevel"/>
    <w:lvl w:ilvl="0">
      <w:lvlJc w:val="left"/>
      <w:lvlText w:val="(%1)"/>
      <w:numFmt w:val="lowerLetter"/>
      <w:start w:val="3"/>
    </w:lvl>
  </w:abstractNum>
  <w:abstractNum w:abstractNumId="4">
    <w:nsid w:val="5C482A97"/>
    <w:multiLevelType w:val="hybridMultilevel"/>
    <w:lvl w:ilvl="0">
      <w:lvlJc w:val="left"/>
      <w:lvlText w:val="(%1)"/>
      <w:numFmt w:val="lowerLetter"/>
      <w:start w:val="1"/>
    </w:lvl>
  </w:abstractNum>
  <w:abstractNum w:abstractNumId="5">
    <w:nsid w:val="2463B9EA"/>
    <w:multiLevelType w:val="hybridMultilevel"/>
    <w:lvl w:ilvl="0">
      <w:lvlJc w:val="left"/>
      <w:lvlText w:val="(%1)"/>
      <w:numFmt w:val="lowerLetter"/>
      <w:start w:val="11"/>
    </w:lvl>
  </w:abstractNum>
  <w:abstractNum w:abstractNumId="6">
    <w:nsid w:val="5E884ADC"/>
    <w:multiLevelType w:val="hybridMultilevel"/>
    <w:lvl w:ilvl="0">
      <w:lvlJc w:val="left"/>
      <w:lvlText w:val="(%1)"/>
      <w:numFmt w:val="lowerLetter"/>
      <w:start w:val="1"/>
    </w:lvl>
  </w:abstractNum>
  <w:abstractNum w:abstractNumId="7">
    <w:nsid w:val="51EAD36B"/>
    <w:multiLevelType w:val="hybridMultilevel"/>
    <w:lvl w:ilvl="0">
      <w:lvlJc w:val="left"/>
      <w:lvlText w:val="(%1)"/>
      <w:numFmt w:val="lowerRoman"/>
      <w:start w:val="2"/>
    </w:lvl>
  </w:abstractNum>
  <w:abstractNum w:abstractNumId="8">
    <w:nsid w:val="2D517796"/>
    <w:multiLevelType w:val="hybridMultilevel"/>
    <w:lvl w:ilvl="0">
      <w:lvlJc w:val="left"/>
      <w:lvlText w:val="(%1)"/>
      <w:numFmt w:val="lowerLetter"/>
      <w:start w:val="2"/>
    </w:lvl>
  </w:abstractNum>
  <w:abstractNum w:abstractNumId="9">
    <w:nsid w:val="580BD78F"/>
    <w:multiLevelType w:val="hybridMultilevel"/>
    <w:lvl w:ilvl="0">
      <w:lvlJc w:val="left"/>
      <w:lvlText w:val="%1"/>
      <w:numFmt w:val="upperLetter"/>
      <w:start w:val="1"/>
    </w:lvl>
    <w:lvl w:ilvl="1">
      <w:lvlJc w:val="left"/>
      <w:lvlText w:val="(%2)"/>
      <w:numFmt w:val="lowerLetter"/>
      <w:start w:val="9"/>
    </w:lvl>
  </w:abstractNum>
  <w:abstractNum w:abstractNumId="10">
    <w:nsid w:val="153EA438"/>
    <w:multiLevelType w:val="hybridMultilevel"/>
    <w:lvl w:ilvl="0">
      <w:lvlJc w:val="left"/>
      <w:lvlText w:val="(%1)"/>
      <w:numFmt w:val="upperLetter"/>
      <w:start w:val="2"/>
    </w:lvl>
    <w:lvl w:ilvl="1">
      <w:lvlJc w:val="left"/>
      <w:lvlText w:val="%2"/>
      <w:numFmt w:val="lowerLetter"/>
      <w:start w:val="1"/>
    </w:lvl>
  </w:abstractNum>
  <w:abstractNum w:abstractNumId="11">
    <w:nsid w:val="3855585C"/>
    <w:multiLevelType w:val="hybridMultilevel"/>
    <w:lvl w:ilvl="0">
      <w:lvlJc w:val="left"/>
      <w:lvlText w:val="%1."/>
      <w:numFmt w:val="decimal"/>
      <w:start w:val="2"/>
    </w:lvl>
  </w:abstractNum>
  <w:abstractNum w:abstractNumId="12">
    <w:nsid w:val="70A64E2A"/>
    <w:multiLevelType w:val="hybridMultilevel"/>
    <w:lvl w:ilvl="0">
      <w:lvlJc w:val="left"/>
      <w:lvlText w:val="(%1)"/>
      <w:numFmt w:val="lowerLetter"/>
      <w:start w:val="1"/>
    </w:lvl>
    <w:lvl w:ilvl="1">
      <w:lvlJc w:val="left"/>
      <w:lvlText w:val="(%2)"/>
      <w:numFmt w:val="lowerLetter"/>
      <w:start w:val="9"/>
    </w:lvl>
  </w:abstractNum>
  <w:abstractNum w:abstractNumId="13">
    <w:nsid w:val="6A2342EC"/>
    <w:multiLevelType w:val="hybridMultilevel"/>
    <w:lvl w:ilvl="0">
      <w:lvlJc w:val="left"/>
      <w:lvlText w:val="%1"/>
      <w:numFmt w:val="lowerLetter"/>
      <w:start w:val="1"/>
    </w:lvl>
    <w:lvl w:ilvl="1">
      <w:lvlJc w:val="left"/>
      <w:lvlText w:val="(%2)"/>
      <w:numFmt w:val="lowerLetter"/>
      <w:start w:val="35"/>
    </w:lvl>
  </w:abstractNum>
  <w:abstractNum w:abstractNumId="14">
    <w:nsid w:val="2A487CB0"/>
    <w:multiLevelType w:val="hybridMultilevel"/>
    <w:lvl w:ilvl="0">
      <w:lvlJc w:val="left"/>
      <w:lvlText w:val="(%1)"/>
      <w:numFmt w:val="lowerLetter"/>
      <w:start w:val="3"/>
    </w:lvl>
    <w:lvl w:ilvl="1">
      <w:lvlJc w:val="left"/>
      <w:lvlText w:val="%2"/>
      <w:numFmt w:val="lowerLetter"/>
      <w:start w:val="1"/>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lowerLetter"/>
      <w:start w:val="1"/>
    </w:lvl>
  </w:abstractNum>
  <w:abstractNum w:abstractNumId="17">
    <w:nsid w:val="2CD89A32"/>
    <w:multiLevelType w:val="hybridMultilevel"/>
    <w:lvl w:ilvl="0">
      <w:lvlJc w:val="left"/>
      <w:lvlText w:val="(%1)"/>
      <w:numFmt w:val="lowerLetter"/>
      <w:start w:val="4"/>
    </w:lvl>
  </w:abstractNum>
  <w:abstractNum w:abstractNumId="18">
    <w:nsid w:val="57E4CCAF"/>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19">
    <w:nsid w:val="7A6D8D3C"/>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1"/>
    </w:lvl>
  </w:abstractNum>
  <w:abstractNum w:abstractNumId="20">
    <w:nsid w:val="4B588F5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lvl w:ilvl="3">
      <w:lvlJc w:val="left"/>
      <w:lvlText w:val="%4"/>
      <w:numFmt w:val="lowerLetter"/>
      <w:start w:val="1"/>
    </w:lvl>
    <w:lvl w:ilvl="4">
      <w:lvlJc w:val="left"/>
      <w:lvlText w:val="%5"/>
      <w:numFmt w:val="lowerRoman"/>
      <w:start w:val="1"/>
    </w:lvl>
  </w:abstractNum>
  <w:abstractNum w:abstractNumId="21">
    <w:nsid w:val="542289EC"/>
    <w:multiLevelType w:val="hybridMultilevel"/>
    <w:lvl w:ilvl="0">
      <w:lvlJc w:val="left"/>
      <w:lvlText w:val="%1"/>
      <w:numFmt w:val="decimal"/>
      <w:start w:val="1"/>
    </w:lvl>
    <w:lvl w:ilvl="1">
      <w:lvlJc w:val="left"/>
      <w:lvlText w:val="(%2)"/>
      <w:numFmt w:val="lowerLetter"/>
      <w:start w:val="35"/>
    </w:lvl>
    <w:lvl w:ilvl="2">
      <w:lvlJc w:val="left"/>
      <w:lvlText w:val="%3"/>
      <w:numFmt w:val="upperLetter"/>
      <w:start w:val="1"/>
    </w:lvl>
    <w:lvl w:ilvl="3">
      <w:lvlJc w:val="left"/>
      <w:lvlText w:val="(%4)"/>
      <w:numFmt w:val="lowerLetter"/>
      <w:start w:val="3"/>
    </w:lvl>
    <w:lvl w:ilvl="4">
      <w:lvlJc w:val="left"/>
      <w:lvlText w:val="(%5)"/>
      <w:numFmt w:val="lowerRoman"/>
      <w:start w:val="1"/>
    </w:lvl>
  </w:abstractNum>
  <w:abstractNum w:abstractNumId="22">
    <w:nsid w:val="6DE91B18"/>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lvl w:ilvl="3">
      <w:lvlJc w:val="left"/>
      <w:lvlText w:val="%4"/>
      <w:numFmt w:val="lowerLetter"/>
      <w:start w:val="1"/>
    </w:lvl>
    <w:lvl w:ilvl="4">
      <w:lvlJc w:val="left"/>
      <w:lvlText w:val="%5"/>
      <w:numFmt w:val="lowerRoman"/>
      <w:start w:val="1"/>
    </w:lvl>
  </w:abstractNum>
  <w:abstractNum w:abstractNumId="23">
    <w:nsid w:val="38437FDB"/>
    <w:multiLevelType w:val="hybridMultilevel"/>
    <w:lvl w:ilvl="0">
      <w:lvlJc w:val="left"/>
      <w:lvlText w:val="(%1)"/>
      <w:numFmt w:val="lowerLetter"/>
      <w:start w:val="1"/>
    </w:lvl>
  </w:abstractNum>
  <w:abstractNum w:abstractNumId="24">
    <w:nsid w:val="7644A45C"/>
    <w:multiLevelType w:val="hybridMultilevel"/>
    <w:lvl w:ilvl="0">
      <w:lvlJc w:val="left"/>
      <w:lvlText w:val="(%1)"/>
      <w:numFmt w:val="lowerLetter"/>
      <w:start w:val="2"/>
    </w:lvl>
  </w:abstractNum>
  <w:abstractNum w:abstractNumId="25">
    <w:nsid w:val="32FFF902"/>
    <w:multiLevelType w:val="hybridMultilevel"/>
    <w:lvl w:ilvl="0">
      <w:lvlJc w:val="left"/>
      <w:lvlText w:val="(%1)"/>
      <w:numFmt w:val="lowerLetter"/>
      <w:start w:val="1"/>
    </w:lvl>
  </w:abstractNum>
  <w:abstractNum w:abstractNumId="26">
    <w:nsid w:val="684A481A"/>
    <w:multiLevelType w:val="hybridMultilevel"/>
    <w:lvl w:ilvl="0">
      <w:lvlJc w:val="left"/>
      <w:lvlText w:val="%1."/>
      <w:numFmt w:val="decimal"/>
      <w:start w:val="4"/>
    </w:lvl>
  </w:abstractNum>
  <w:abstractNum w:abstractNumId="27">
    <w:nsid w:val="579478FE"/>
    <w:multiLevelType w:val="hybridMultilevel"/>
    <w:lvl w:ilvl="0">
      <w:lvlJc w:val="left"/>
      <w:lvlText w:val="%1."/>
      <w:numFmt w:val="decimal"/>
      <w:start w:val="5"/>
    </w:lvl>
  </w:abstractNum>
  <w:abstractNum w:abstractNumId="28">
    <w:nsid w:val="749ABB43"/>
    <w:multiLevelType w:val="hybridMultilevel"/>
    <w:lvl w:ilvl="0">
      <w:lvlJc w:val="left"/>
      <w:lvlText w:val="(%1)"/>
      <w:numFmt w:val="lowerLetter"/>
      <w:start w:val="1"/>
    </w:lvl>
  </w:abstractNum>
  <w:abstractNum w:abstractNumId="29">
    <w:nsid w:val="3DC240FB"/>
    <w:multiLevelType w:val="hybridMultilevel"/>
    <w:lvl w:ilvl="0">
      <w:lvlJc w:val="left"/>
      <w:lvlText w:val="%1."/>
      <w:numFmt w:val="decimal"/>
      <w:start w:val="6"/>
    </w:lvl>
  </w:abstractNum>
  <w:abstractNum w:abstractNumId="30">
    <w:nsid w:val="1BA026FA"/>
    <w:multiLevelType w:val="hybridMultilevel"/>
    <w:lvl w:ilvl="0">
      <w:lvlJc w:val="left"/>
      <w:lvlText w:val="(%1)"/>
      <w:numFmt w:val="lowerLetter"/>
      <w:start w:val="1"/>
    </w:lvl>
  </w:abstractNum>
  <w:abstractNum w:abstractNumId="31">
    <w:nsid w:val="79A1DEAA"/>
    <w:multiLevelType w:val="hybridMultilevel"/>
    <w:lvl w:ilvl="0">
      <w:lvlJc w:val="left"/>
      <w:lvlText w:val="(%1)"/>
      <w:numFmt w:val="lowerLetter"/>
      <w:start w:val="1"/>
    </w:lvl>
    <w:lvl w:ilvl="1">
      <w:lvlJc w:val="left"/>
      <w:lvlText w:val="(%2)"/>
      <w:numFmt w:val="lowerRoman"/>
      <w:start w:val="1"/>
    </w:lvl>
  </w:abstractNum>
  <w:abstractNum w:abstractNumId="32">
    <w:nsid w:val="75C6C33A"/>
    <w:multiLevelType w:val="hybridMultilevel"/>
    <w:lvl w:ilvl="0">
      <w:lvlJc w:val="left"/>
      <w:lvlText w:val="%1"/>
      <w:numFmt w:val="upperLetter"/>
      <w:start w:val="1"/>
    </w:lvl>
    <w:lvl w:ilvl="1">
      <w:lvlJc w:val="left"/>
      <w:lvlText w:val="(%2)"/>
      <w:numFmt w:val="lowerRoman"/>
      <w:start w:val="8"/>
    </w:lvl>
  </w:abstractNum>
  <w:abstractNum w:abstractNumId="33">
    <w:nsid w:val="12E685FB"/>
    <w:multiLevelType w:val="hybridMultilevel"/>
    <w:lvl w:ilvl="0">
      <w:lvlJc w:val="left"/>
      <w:lvlText w:val="(%1)"/>
      <w:numFmt w:val="upperLetter"/>
      <w:start w:val="5"/>
    </w:lvl>
    <w:lvl w:ilvl="1">
      <w:lvlJc w:val="left"/>
      <w:lvlText w:val="(%2)"/>
      <w:numFmt w:val="lowerRoman"/>
      <w:start w:val="12"/>
    </w:lvl>
  </w:abstractNum>
  <w:abstractNum w:abstractNumId="34">
    <w:nsid w:val="70C6A529"/>
    <w:multiLevelType w:val="hybridMultilevel"/>
    <w:lvl w:ilvl="0">
      <w:lvlJc w:val="left"/>
      <w:lvlText w:val="(%1)"/>
      <w:numFmt w:val="lowerLetter"/>
      <w:start w:val="2"/>
    </w:lvl>
    <w:lvl w:ilvl="1">
      <w:lvlJc w:val="left"/>
      <w:lvlText w:val="(%2)"/>
      <w:numFmt w:val="lowerRoman"/>
      <w:start w:val="1"/>
    </w:lvl>
  </w:abstractNum>
  <w:abstractNum w:abstractNumId="35">
    <w:nsid w:val="520EEDD1"/>
    <w:multiLevelType w:val="hybridMultilevel"/>
    <w:lvl w:ilvl="0">
      <w:lvlJc w:val="left"/>
      <w:lvlText w:val="(%1)"/>
      <w:numFmt w:val="lowerLetter"/>
      <w:start w:val="1"/>
    </w:lvl>
  </w:abstractNum>
  <w:abstractNum w:abstractNumId="36">
    <w:nsid w:val="374A3FE6"/>
    <w:multiLevelType w:val="hybridMultilevel"/>
    <w:lvl w:ilvl="0">
      <w:lvlJc w:val="left"/>
      <w:lvlText w:val="%1."/>
      <w:numFmt w:val="decimal"/>
      <w:start w:val="7"/>
    </w:lvl>
  </w:abstractNum>
  <w:abstractNum w:abstractNumId="37">
    <w:nsid w:val="4F4EF005"/>
    <w:multiLevelType w:val="hybridMultilevel"/>
    <w:lvl w:ilvl="0">
      <w:lvlJc w:val="left"/>
      <w:lvlText w:val="%1"/>
      <w:numFmt w:val="decimal"/>
      <w:start w:val="1"/>
    </w:lvl>
    <w:lvl w:ilvl="1">
      <w:lvlJc w:val="left"/>
      <w:lvlText w:val="(%2)"/>
      <w:numFmt w:val="lowerLetter"/>
      <w:start w:val="1"/>
    </w:lvl>
  </w:abstractNum>
  <w:abstractNum w:abstractNumId="38">
    <w:nsid w:val="23F9C13C"/>
    <w:multiLevelType w:val="hybridMultilevel"/>
    <w:lvl w:ilvl="0">
      <w:lvlJc w:val="left"/>
      <w:lvlText w:val="%1."/>
      <w:numFmt w:val="decimal"/>
      <w:start w:val="8"/>
    </w:lvl>
    <w:lvl w:ilvl="1">
      <w:lvlJc w:val="left"/>
      <w:lvlText w:val="%2"/>
      <w:numFmt w:val="lowerLetter"/>
      <w:start w:val="1"/>
    </w:lvl>
  </w:abstractNum>
  <w:abstractNum w:abstractNumId="39">
    <w:nsid w:val="649BB77C"/>
    <w:multiLevelType w:val="hybridMultilevel"/>
    <w:lvl w:ilvl="0">
      <w:lvlJc w:val="left"/>
      <w:lvlText w:val="(%1)"/>
      <w:numFmt w:val="lowerLetter"/>
      <w:start w:val="1"/>
    </w:lvl>
  </w:abstractNum>
  <w:abstractNum w:abstractNumId="40">
    <w:nsid w:val="275AC794"/>
    <w:multiLevelType w:val="hybridMultilevel"/>
    <w:lvl w:ilvl="0">
      <w:lvlJc w:val="left"/>
      <w:lvlText w:val="(%1)"/>
      <w:numFmt w:val="lowerLetter"/>
      <w:start w:val="1"/>
    </w:lvl>
  </w:abstractNum>
  <w:abstractNum w:abstractNumId="41">
    <w:nsid w:val="39386575"/>
    <w:multiLevelType w:val="hybridMultilevel"/>
    <w:lvl w:ilvl="0">
      <w:lvlJc w:val="left"/>
      <w:lvlText w:val="%1."/>
      <w:numFmt w:val="decimal"/>
      <w:start w:val="9"/>
    </w:lvl>
  </w:abstractNum>
  <w:abstractNum w:abstractNumId="42">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3">
    <w:nsid w:val="180115BE"/>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4">
    <w:nsid w:val="235BA861"/>
    <w:multiLevelType w:val="hybridMultilevel"/>
    <w:lvl w:ilvl="0">
      <w:lvlJc w:val="left"/>
      <w:lvlText w:val="%1"/>
      <w:numFmt w:val="lowerLetter"/>
      <w:start w:val="1"/>
    </w:lvl>
    <w:lvl w:ilvl="1">
      <w:lvlJc w:val="left"/>
      <w:lvlText w:val="(%2)"/>
      <w:numFmt w:val="lowerLetter"/>
      <w:start w:val="61"/>
    </w:lvl>
  </w:abstractNum>
  <w:abstractNum w:abstractNumId="45">
    <w:nsid w:val="47398C89"/>
    <w:multiLevelType w:val="hybridMultilevel"/>
    <w:lvl w:ilvl="0">
      <w:lvlJc w:val="left"/>
      <w:lvlText w:val="(%1)"/>
      <w:numFmt w:val="lowerLetter"/>
      <w:start w:val="3"/>
    </w:lvl>
    <w:lvl w:ilvl="1">
      <w:lvlJc w:val="left"/>
      <w:lvlText w:val="(%2)"/>
      <w:numFmt w:val="lowerLetter"/>
      <w:start w:val="9"/>
    </w:lvl>
  </w:abstractNum>
  <w:abstractNum w:abstractNumId="46">
    <w:nsid w:val="354FE9F9"/>
    <w:multiLevelType w:val="hybridMultilevel"/>
    <w:lvl w:ilvl="0">
      <w:lvlJc w:val="left"/>
      <w:lvlText w:val="(%1)"/>
      <w:numFmt w:val="lowerRoman"/>
      <w:start w:val="2"/>
    </w:lvl>
  </w:abstractNum>
  <w:abstractNum w:abstractNumId="47">
    <w:nsid w:val="15B5AF5C"/>
    <w:multiLevelType w:val="hybridMultilevel"/>
    <w:lvl w:ilvl="0">
      <w:lvlJc w:val="left"/>
      <w:lvlText w:val="(%1)"/>
      <w:numFmt w:val="lowerLetter"/>
      <w:start w:val="1"/>
    </w:lvl>
  </w:abstractNum>
  <w:abstractNum w:abstractNumId="48">
    <w:nsid w:val="741226BB"/>
    <w:multiLevelType w:val="hybridMultilevel"/>
    <w:lvl w:ilvl="0">
      <w:lvlJc w:val="left"/>
      <w:lvlText w:val="%1."/>
      <w:numFmt w:val="decimal"/>
      <w:start w:val="10"/>
    </w:lvl>
  </w:abstractNum>
  <w:abstractNum w:abstractNumId="49">
    <w:nsid w:val="D34B6A8"/>
    <w:multiLevelType w:val="hybridMultilevel"/>
    <w:lvl w:ilvl="0">
      <w:lvlJc w:val="left"/>
      <w:lvlText w:val="(%1)"/>
      <w:numFmt w:val="lowerLetter"/>
      <w:start w:val="4"/>
    </w:lvl>
  </w:abstractNum>
  <w:abstractNum w:abstractNumId="50">
    <w:nsid w:val="10233C99"/>
    <w:multiLevelType w:val="hybridMultilevel"/>
    <w:lvl w:ilvl="0">
      <w:lvlJc w:val="left"/>
      <w:lvlText w:val="%1."/>
      <w:numFmt w:val="decimal"/>
      <w:start w:val="11"/>
    </w:lvl>
  </w:abstractNum>
  <w:abstractNum w:abstractNumId="51">
    <w:nsid w:val="3F6AB60F"/>
    <w:multiLevelType w:val="hybridMultilevel"/>
    <w:lvl w:ilvl="0">
      <w:lvlJc w:val="left"/>
      <w:lvlText w:val="(%1)"/>
      <w:numFmt w:val="lowerLetter"/>
      <w:start w:val="1"/>
    </w:lvl>
    <w:lvl w:ilvl="1">
      <w:lvlJc w:val="left"/>
      <w:lvlText w:val="(%2)"/>
      <w:numFmt w:val="lowerLetter"/>
      <w:start w:val="2"/>
    </w:lvl>
  </w:abstractNum>
  <w:abstractNum w:abstractNumId="52">
    <w:nsid w:val="61574095"/>
    <w:multiLevelType w:val="hybridMultilevel"/>
    <w:lvl w:ilvl="0">
      <w:lvlJc w:val="left"/>
      <w:lvlText w:val="%1."/>
      <w:numFmt w:val="decimal"/>
      <w:start w:val="12"/>
    </w:lvl>
  </w:abstractNum>
  <w:abstractNum w:abstractNumId="53">
    <w:nsid w:val="7E0C57B1"/>
    <w:multiLevelType w:val="hybridMultilevel"/>
    <w:lvl w:ilvl="0">
      <w:lvlJc w:val="left"/>
      <w:lvlText w:val="%1"/>
      <w:numFmt w:val="lowerLetter"/>
      <w:start w:val="1"/>
    </w:lvl>
    <w:lvl w:ilvl="1">
      <w:lvlJc w:val="left"/>
      <w:lvlText w:val="(%2)"/>
      <w:numFmt w:val="lowerRoman"/>
      <w:start w:val="1"/>
    </w:lvl>
  </w:abstractNum>
  <w:abstractNum w:abstractNumId="54">
    <w:nsid w:val="77AE35EB"/>
    <w:multiLevelType w:val="hybridMultilevel"/>
    <w:lvl w:ilvl="0">
      <w:lvlJc w:val="left"/>
      <w:lvlText w:val="(%1)"/>
      <w:numFmt w:val="lowerLetter"/>
      <w:start w:val="2"/>
    </w:lvl>
    <w:lvl w:ilvl="1">
      <w:lvlJc w:val="left"/>
      <w:lvlText w:val="%2"/>
      <w:numFmt w:val="lowerRoman"/>
      <w:start w:val="1"/>
    </w:lvl>
  </w:abstractNum>
  <w:abstractNum w:abstractNumId="55">
    <w:nsid w:val="579BE4F1"/>
    <w:multiLevelType w:val="hybridMultilevel"/>
    <w:lvl w:ilvl="0">
      <w:lvlJc w:val="left"/>
      <w:lvlText w:val="(%1)"/>
      <w:numFmt w:val="lowerLetter"/>
      <w:start w:val="5"/>
    </w:lvl>
  </w:abstractNum>
  <w:abstractNum w:abstractNumId="56">
    <w:nsid w:val="310C50B3"/>
    <w:multiLevelType w:val="hybridMultilevel"/>
    <w:lvl w:ilvl="0">
      <w:lvlJc w:val="left"/>
      <w:lvlText w:val="(%1)"/>
      <w:numFmt w:val="lowerLetter"/>
      <w:start w:val="1"/>
    </w:lvl>
  </w:abstractNum>
  <w:abstractNum w:abstractNumId="57">
    <w:nsid w:val="5FF87E05"/>
    <w:multiLevelType w:val="hybridMultilevel"/>
    <w:lvl w:ilvl="0">
      <w:lvlJc w:val="left"/>
      <w:lvlText w:val="(%1)"/>
      <w:numFmt w:val="lowerLetter"/>
      <w:start w:val="3"/>
    </w:lvl>
  </w:abstractNum>
  <w:abstractNum w:abstractNumId="58">
    <w:nsid w:val="2F305DEF"/>
    <w:multiLevelType w:val="hybridMultilevel"/>
    <w:lvl w:ilvl="0">
      <w:lvlJc w:val="left"/>
      <w:lvlText w:val="%1"/>
      <w:numFmt w:val="lowerLetter"/>
      <w:start w:val="1"/>
    </w:lvl>
    <w:lvl w:ilvl="1">
      <w:lvlJc w:val="left"/>
      <w:lvlText w:val="(%2)"/>
      <w:numFmt w:val="lowerLetter"/>
      <w:start w:val="1"/>
    </w:lvl>
  </w:abstractNum>
  <w:abstractNum w:abstractNumId="59">
    <w:nsid w:val="25A70BF7"/>
    <w:multiLevelType w:val="hybridMultilevel"/>
    <w:lvl w:ilvl="0">
      <w:lvlJc w:val="left"/>
      <w:lvlText w:val="(%1)"/>
      <w:numFmt w:val="lowerLetter"/>
      <w:start w:val="61"/>
    </w:lvl>
    <w:lvl w:ilvl="1">
      <w:lvlJc w:val="left"/>
      <w:lvlText w:val="%2"/>
      <w:numFmt w:val="lowerLetter"/>
      <w:start w:val="1"/>
    </w:lvl>
  </w:abstractNum>
  <w:abstractNum w:abstractNumId="60">
    <w:nsid w:val="1DBABF00"/>
    <w:multiLevelType w:val="hybridMultilevel"/>
    <w:lvl w:ilvl="0">
      <w:lvlJc w:val="left"/>
      <w:lvlText w:val="%1."/>
      <w:numFmt w:val="decimal"/>
      <w:start w:val="2"/>
    </w:lvl>
    <w:lvl w:ilvl="1">
      <w:lvlJc w:val="left"/>
      <w:lvlText w:val="(%2)"/>
      <w:numFmt w:val="lowerLetter"/>
      <w:start w:val="1"/>
    </w:lvl>
  </w:abstractNum>
  <w:abstractNum w:abstractNumId="61">
    <w:nsid w:val="4AD084E9"/>
    <w:multiLevelType w:val="hybridMultilevel"/>
    <w:lvl w:ilvl="0">
      <w:lvlJc w:val="left"/>
      <w:lvlText w:val="%1"/>
      <w:numFmt w:val="lowerLetter"/>
      <w:start w:val="1"/>
    </w:lvl>
    <w:lvl w:ilvl="1">
      <w:lvlJc w:val="left"/>
      <w:lvlText w:val="%2."/>
      <w:numFmt w:val="decimal"/>
      <w:start w:val="3"/>
    </w:lvl>
  </w:abstractNum>
  <w:abstractNum w:abstractNumId="62">
    <w:nsid w:val="1F48EAA1"/>
    <w:multiLevelType w:val="hybridMultilevel"/>
    <w:lvl w:ilvl="0">
      <w:lvlJc w:val="left"/>
      <w:lvlText w:val="(%1)"/>
      <w:numFmt w:val="lowerLetter"/>
      <w:start w:val="2"/>
    </w:lvl>
    <w:lvl w:ilvl="1">
      <w:lvlJc w:val="left"/>
      <w:lvlText w:val="%2."/>
      <w:numFmt w:val="decimal"/>
      <w:start w:val="4"/>
    </w:lvl>
  </w:abstractNum>
  <w:abstractNum w:abstractNumId="63">
    <w:nsid w:val="1381823A"/>
    <w:multiLevelType w:val="hybridMultilevel"/>
    <w:lvl w:ilvl="0">
      <w:lvlJc w:val="left"/>
      <w:lvlText w:val="%1"/>
      <w:numFmt w:val="lowerRoman"/>
      <w:start w:val="1"/>
    </w:lvl>
    <w:lvl w:ilvl="1">
      <w:lvlJc w:val="left"/>
      <w:lvlText w:val="%2."/>
      <w:numFmt w:val="decimal"/>
      <w:start w:val="5"/>
    </w:lvl>
  </w:abstractNum>
  <w:abstractNum w:abstractNumId="64">
    <w:nsid w:val="5DB70AE5"/>
    <w:multiLevelType w:val="hybridMultilevel"/>
    <w:lvl w:ilvl="0">
      <w:lvlJc w:val="left"/>
      <w:lvlText w:val="(%1)"/>
      <w:numFmt w:val="lowerRoman"/>
      <w:start w:val="4"/>
    </w:lvl>
    <w:lvl w:ilvl="1">
      <w:lvlJc w:val="left"/>
      <w:lvlText w:val="%2"/>
      <w:numFmt w:val="decimal"/>
      <w:start w:val="1"/>
    </w:lvl>
  </w:abstractNum>
  <w:abstractNum w:abstractNumId="65">
    <w:nsid w:val="100F8FCA"/>
    <w:multiLevelType w:val="hybridMultilevel"/>
    <w:lvl w:ilvl="0">
      <w:lvlJc w:val="left"/>
      <w:lvlText w:val="%1."/>
      <w:numFmt w:val="decimal"/>
      <w:start w:val="6"/>
    </w:lvl>
  </w:abstractNum>
  <w:abstractNum w:abstractNumId="66">
    <w:nsid w:val="6590700B"/>
    <w:multiLevelType w:val="hybridMultilevel"/>
    <w:lvl w:ilvl="0">
      <w:lvlJc w:val="left"/>
      <w:lvlText w:val="%1."/>
      <w:numFmt w:val="decimal"/>
      <w:start w:val="8"/>
    </w:lvl>
    <w:lvl w:ilvl="1">
      <w:lvlJc w:val="left"/>
      <w:lvlText w:val="(%2)"/>
      <w:numFmt w:val="lowerLetter"/>
      <w:start w:val="4"/>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lowerLetter"/>
      <w:start w:val="2"/>
    </w:lvl>
    <w:lvl w:ilvl="1">
      <w:lvlJc w:val="left"/>
      <w:lvlText w:val="(%2)"/>
      <w:numFmt w:val="lowerRoman"/>
      <w:start w:val="1"/>
    </w:lvl>
  </w:abstractNum>
  <w:abstractNum w:abstractNumId="69">
    <w:nsid w:val="98A3148"/>
    <w:multiLevelType w:val="hybridMultilevel"/>
    <w:lvl w:ilvl="0">
      <w:lvlJc w:val="left"/>
      <w:lvlText w:val="(%1)"/>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2020-01-17T19:48:13Z</dcterms:created>
  <dcterms:modified xsi:type="dcterms:W3CDTF">2020-01-17T19:48:13Z</dcterms:modified>
</cp:coreProperties>
</file>