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SAHAREK JOHN P.</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HEALTH,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HARROW HEALTH,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02/19/2021</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President, ImprimisRx</w:t>
      </w:r>
    </w:p>
    <w:p>
      <w:pPr>
        <w:spacing w:after="0" w:line="38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37205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02/19/2021</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02/19/2024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-2783205</wp:posOffset>
            </wp:positionV>
            <wp:extent cx="7033895" cy="2792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792095"/>
                    </a:xfrm>
                    <a:prstGeom prst="rect">
                      <a:avLst/>
                    </a:prstGeom>
                    <a:noFill/>
                  </pic:spPr>
                </pic:pic>
              </a:graphicData>
            </a:graphic>
          </wp:anchor>
        </w:drawing>
      </w:r>
    </w:p>
    <w:p>
      <w:pPr>
        <w:spacing w:after="0" w:line="1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Issuer's 2017 Stock Incentive and Awards Plan. Each RSU represents a contingent right to receive one share of common stock of the Issuer upon the vesting and settlement of the RSU. The RSUs vest and settle in full on the third anniversary of the date of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P. Saharek</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02/23/2021</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2091"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2021-02-23T19:19:12Z</dcterms:created>
  <dcterms:modified xsi:type="dcterms:W3CDTF">2021-02-23T19:19:12Z</dcterms:modified>
</cp:coreProperties>
</file>