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14,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17145</wp:posOffset>
            </wp:positionV>
            <wp:extent cx="25298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14, 2017, Imprimis Pharmaceuticals, Inc. (the “Company”) issued a press release announcing its financial results for the quarter ended September 30, 2017.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6"/>
            <w:szCs w:val="16"/>
            <w:u w:val="single" w:color="auto"/>
            <w:color w:val="0000EE"/>
          </w:rPr>
          <w:t>Press release dated November 14, 2017 issued by Imprimis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November 14,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99.1 </w:t>
      </w:r>
      <w:hyperlink w:anchor="page6">
        <w:r>
          <w:rPr>
            <w:rFonts w:ascii="Arial" w:cs="Arial" w:eastAsia="Arial" w:hAnsi="Arial"/>
            <w:sz w:val="16"/>
            <w:szCs w:val="16"/>
            <w:u w:val="single" w:color="auto"/>
            <w:color w:val="0000EE"/>
          </w:rPr>
          <w:t>Press release date November 14, 2017 issued by Imprimis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2058035" cy="900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900430"/>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Third Quarter 2017 Results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San Diego, CA – November 14, 2017 — Imprimis Pharmaceuticals, Inc. (NASDAQ: IMMY), an ophthalmology-focused pharmaceutical company, today reported financial results for the third quarter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2017 and Recent Financial Highlights: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ophthalmology-related revenue of $4.9 million, up over 60%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503B revenue up to $2.6M for the quarter, up 14% quarter-over-quarter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503B order exceeded $1,300 for the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503B gross margin exceeded internal target of 60%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$6.5 million, up 34%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loss of $1.6 million, a 45% improvement year-over-year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L. Baum, CEO of Imprimis stated, “We continued to narrow our Adjusted EBITDA loss on a quarter-over-quarter basis, even with the third quarter historically being our slowest from a revenue standpoint. We expect the narrowing of our Adjusted EBITDA loss to continue going forward and to reach profitability in the near future. We now estimate only 19% growth is needed from our sales levels during the month of October to reach break-even. I believe this is attainable based on our historical revenue growth of 19% between the third and fourth quarters last year. Adding to our opportunity to reach profitability in the near term is the momentum we see in our Simple Drops program, the launch of our new cyclosporine-based Dry Eye Disease formulations and the record number of new account leads we have following the most successful American Academy of Ophthalmology meeting in our company’s history.”</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Baum concluded, “We continue to focus on our ophthalmology business, making our formulary more compelling and investing in production efficiency, inventory management and other systems that will serve us well over the longer term. Also, growth from our expanding ophthalmology surgical offerings and momentum from our new glaucoma and dry eye formulations, support my belief that we are at the beginning of what should be a multi-year growth cycle.”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Commercialization and Corporate Developments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Simple Drops™ glaucoma formulations continued to gain momentum, with refill rates in excess of 95%.</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Began dispensing patent-pending Klarity + cyclosporine formulations, which target a market of 4 million existing annual prescriptions for a dramatically underserved dry eye disease patient population.</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Exceeded our goals at the recently concluded American Academy of Ophthalmology meeting by capturing a company record of over 400 new product request leads.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Received first patent for our Dropless Therapy® formulations from the Australian Patent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June 2017 spin-off, Eton Pharmaceuticals, made significant development progress with its branded 505(b)(2) and DESI drug development programs.</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Launched Surface Pharmaceuticals, Inc., focused on 505(b)(2) development of branded, ocular surface disease treatments, with three proprietary drug candidates with up to five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Current Studies of Imprimis Ophthalmic Formulations:</w:t>
      </w:r>
    </w:p>
    <w:p>
      <w:pPr>
        <w:spacing w:after="0" w:line="229"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investigator initiated study of our patent-pending Simple Drops™ glaucoma formulations is ongoing. The study is evaluating 75 patients, with each patient being followed for six months after beginning a Simple Drops formulation regimen. The primary endpoint is a comparison of historical intraocular pressure before and after use of Simple Drops formulations. The secondary endpoint is a patient satisfaction measure. The study is expected to be completed by the end of 2017 with results reported during 2018.</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investigator initiated study of our patent-pending oral Omega 3 and low dose Doxycycline formulation is underway at sites in Texas, Georgia and Nevada to investigate improvements of the signs and symptoms of refractory dry eye disease. The target patient populations consist of individuals with existing systemic diseases (high blood pressure, MS, autoimmune diseases, etc.). Enrolled patients have generally utilized most to all available therapies. Data is being collected through validated subjective, including in certain cases, objective measures. Presentation of results of this evaluation are expected during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Selected highlights regarding operating results for the three and nine months ended September 30, 2017 and for the same periods in 2016 are as follows (in thousands, except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For the three months ended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For the three months ended</w:t>
            </w:r>
          </w:p>
        </w:tc>
      </w:tr>
      <w:tr>
        <w:trPr>
          <w:trHeight w:val="223"/>
        </w:trPr>
        <w:tc>
          <w:tcPr>
            <w:tcW w:w="5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September 30, 2016</w:t>
            </w:r>
          </w:p>
        </w:tc>
        <w:tc>
          <w:tcPr>
            <w:tcW w:w="100" w:type="dxa"/>
            <w:vAlign w:val="bottom"/>
            <w:tcBorders>
              <w:bottom w:val="single" w:sz="8" w:color="CCEEFF"/>
            </w:tcBorders>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4,861</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Cost of Sales</w:t>
            </w:r>
          </w:p>
        </w:tc>
        <w:tc>
          <w:tcPr>
            <w:tcW w:w="180" w:type="dxa"/>
            <w:vAlign w:val="bottom"/>
          </w:tcPr>
          <w:p>
            <w:pPr>
              <w:spacing w:after="0"/>
              <w:rPr>
                <w:sz w:val="17"/>
                <w:szCs w:val="17"/>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6"/>
                <w:szCs w:val="16"/>
                <w:color w:val="auto"/>
              </w:rPr>
              <w:t>(3,403)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color w:val="auto"/>
              </w:rPr>
              <w:t>(2,339)</w:t>
            </w:r>
          </w:p>
        </w:tc>
      </w:tr>
      <w:tr>
        <w:trPr>
          <w:trHeight w:val="203"/>
        </w:trPr>
        <w:tc>
          <w:tcPr>
            <w:tcW w:w="59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2,522</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Selling &amp; Marketing Expenses</w:t>
            </w:r>
          </w:p>
        </w:tc>
        <w:tc>
          <w:tcPr>
            <w:tcW w:w="180" w:type="dxa"/>
            <w:vAlign w:val="bottom"/>
          </w:tcPr>
          <w:p>
            <w:pPr>
              <w:spacing w:after="0"/>
              <w:rPr>
                <w:sz w:val="17"/>
                <w:szCs w:val="17"/>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6"/>
                <w:szCs w:val="16"/>
                <w:color w:val="auto"/>
              </w:rPr>
              <w:t>(1,288)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color w:val="auto"/>
              </w:rPr>
              <w:t>(1,797)</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General &amp; Administrative Expenses</w:t>
            </w:r>
          </w:p>
        </w:tc>
        <w:tc>
          <w:tcPr>
            <w:tcW w:w="1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(5,018)</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Research &amp; Development Expenses</w:t>
            </w:r>
          </w:p>
        </w:tc>
        <w:tc>
          <w:tcPr>
            <w:tcW w:w="180" w:type="dxa"/>
            <w:vAlign w:val="bottom"/>
          </w:tcPr>
          <w:p>
            <w:pPr>
              <w:spacing w:after="0"/>
              <w:rPr>
                <w:sz w:val="17"/>
                <w:szCs w:val="17"/>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459</w:t>
            </w:r>
          </w:p>
        </w:tc>
      </w:tr>
      <w:tr>
        <w:trPr>
          <w:trHeight w:val="203"/>
        </w:trPr>
        <w:tc>
          <w:tcPr>
            <w:tcW w:w="59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2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(5,692)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4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(3,850)</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per Common Share, Basic and Diluted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(0.28)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(0.29)</w:t>
            </w:r>
          </w:p>
        </w:tc>
      </w:tr>
      <w:tr>
        <w:trPr>
          <w:trHeight w:val="405"/>
        </w:trPr>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For the nine months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For the nine months ended</w:t>
            </w:r>
          </w:p>
        </w:tc>
      </w:tr>
      <w:tr>
        <w:trPr>
          <w:trHeight w:val="223"/>
        </w:trPr>
        <w:tc>
          <w:tcPr>
            <w:tcW w:w="5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September 30, 2017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September 30, 2016</w:t>
            </w:r>
          </w:p>
        </w:tc>
        <w:tc>
          <w:tcPr>
            <w:tcW w:w="100" w:type="dxa"/>
            <w:vAlign w:val="bottom"/>
            <w:tcBorders>
              <w:bottom w:val="single" w:sz="8" w:color="CCEEFF"/>
            </w:tcBorders>
          </w:tcPr>
          <w:p>
            <w:pPr>
              <w:spacing w:after="0"/>
              <w:rPr>
                <w:sz w:val="19"/>
                <w:szCs w:val="19"/>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14,149</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Cost of Sales</w:t>
            </w:r>
          </w:p>
        </w:tc>
        <w:tc>
          <w:tcPr>
            <w:tcW w:w="180" w:type="dxa"/>
            <w:vAlign w:val="bottom"/>
          </w:tcPr>
          <w:p>
            <w:pPr>
              <w:spacing w:after="0"/>
              <w:rPr>
                <w:sz w:val="17"/>
                <w:szCs w:val="17"/>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6"/>
                <w:szCs w:val="16"/>
                <w:color w:val="auto"/>
              </w:rPr>
              <w:t>(10,048)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color w:val="auto"/>
              </w:rPr>
              <w:t>(6,760)</w:t>
            </w:r>
          </w:p>
        </w:tc>
      </w:tr>
      <w:tr>
        <w:trPr>
          <w:trHeight w:val="203"/>
        </w:trPr>
        <w:tc>
          <w:tcPr>
            <w:tcW w:w="59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9,389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7,389</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Selling &amp; Marketing Expenses</w:t>
            </w:r>
          </w:p>
        </w:tc>
        <w:tc>
          <w:tcPr>
            <w:tcW w:w="180" w:type="dxa"/>
            <w:vAlign w:val="bottom"/>
          </w:tcPr>
          <w:p>
            <w:pPr>
              <w:spacing w:after="0"/>
              <w:rPr>
                <w:sz w:val="17"/>
                <w:szCs w:val="17"/>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6"/>
                <w:szCs w:val="16"/>
                <w:color w:val="auto"/>
              </w:rPr>
              <w:t>(5,727)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color w:val="auto"/>
              </w:rPr>
              <w:t>(5,967)</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General &amp; Administrative Expenses</w:t>
            </w:r>
          </w:p>
        </w:tc>
        <w:tc>
          <w:tcPr>
            <w:tcW w:w="1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(13,350)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(13,355)</w:t>
            </w:r>
          </w:p>
        </w:tc>
      </w:tr>
      <w:tr>
        <w:trPr>
          <w:trHeight w:val="203"/>
        </w:trPr>
        <w:tc>
          <w:tcPr>
            <w:tcW w:w="5960" w:type="dxa"/>
            <w:vAlign w:val="bottom"/>
          </w:tcPr>
          <w:p>
            <w:pPr>
              <w:spacing w:after="0"/>
              <w:rPr>
                <w:sz w:val="20"/>
                <w:szCs w:val="20"/>
                <w:color w:val="auto"/>
              </w:rPr>
            </w:pPr>
            <w:r>
              <w:rPr>
                <w:rFonts w:ascii="Arial" w:cs="Arial" w:eastAsia="Arial" w:hAnsi="Arial"/>
                <w:sz w:val="16"/>
                <w:szCs w:val="16"/>
                <w:color w:val="auto"/>
              </w:rPr>
              <w:t>Research &amp; Development Expenses</w:t>
            </w:r>
          </w:p>
        </w:tc>
        <w:tc>
          <w:tcPr>
            <w:tcW w:w="180" w:type="dxa"/>
            <w:vAlign w:val="bottom"/>
          </w:tcPr>
          <w:p>
            <w:pPr>
              <w:spacing w:after="0"/>
              <w:rPr>
                <w:sz w:val="17"/>
                <w:szCs w:val="17"/>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6"/>
                <w:szCs w:val="16"/>
                <w:color w:val="auto"/>
              </w:rPr>
              <w:t>(324)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2"/>
          </w:tcPr>
          <w:p>
            <w:pPr>
              <w:jc w:val="right"/>
              <w:ind w:right="60"/>
              <w:spacing w:after="0"/>
              <w:rPr>
                <w:sz w:val="20"/>
                <w:szCs w:val="20"/>
                <w:color w:val="auto"/>
              </w:rPr>
            </w:pPr>
            <w:r>
              <w:rPr>
                <w:rFonts w:ascii="Arial" w:cs="Arial" w:eastAsia="Arial" w:hAnsi="Arial"/>
                <w:sz w:val="16"/>
                <w:szCs w:val="16"/>
                <w:color w:val="auto"/>
              </w:rPr>
              <w:t>(138)</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(914)</w:t>
            </w:r>
          </w:p>
        </w:tc>
      </w:tr>
      <w:tr>
        <w:trPr>
          <w:trHeight w:val="203"/>
        </w:trPr>
        <w:tc>
          <w:tcPr>
            <w:tcW w:w="596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2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(9,214)</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4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(12,985)</w:t>
            </w:r>
          </w:p>
        </w:tc>
      </w:tr>
      <w:tr>
        <w:trPr>
          <w:trHeight w:val="203"/>
        </w:trPr>
        <w:tc>
          <w:tcPr>
            <w:tcW w:w="5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per Common Share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2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(0.47)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(1.05)</w:t>
            </w:r>
          </w:p>
        </w:tc>
      </w:tr>
      <w:tr>
        <w:trPr>
          <w:trHeight w:val="439"/>
        </w:trPr>
        <w:tc>
          <w:tcPr>
            <w:tcW w:w="5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For the three months ended</w:t>
            </w:r>
          </w:p>
        </w:tc>
        <w:tc>
          <w:tcPr>
            <w:tcW w:w="580" w:type="dxa"/>
            <w:vAlign w:val="bottom"/>
          </w:tcPr>
          <w:p>
            <w:pPr>
              <w:spacing w:after="0"/>
              <w:rPr>
                <w:sz w:val="17"/>
                <w:szCs w:val="17"/>
                <w:color w:val="auto"/>
              </w:rPr>
            </w:pPr>
          </w:p>
        </w:tc>
      </w:tr>
      <w:tr>
        <w:trPr>
          <w:trHeight w:val="223"/>
        </w:trPr>
        <w:tc>
          <w:tcPr>
            <w:tcW w:w="56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September 30, 2017</w:t>
            </w:r>
          </w:p>
        </w:tc>
        <w:tc>
          <w:tcPr>
            <w:tcW w:w="580" w:type="dxa"/>
            <w:vAlign w:val="bottom"/>
          </w:tcPr>
          <w:p>
            <w:pPr>
              <w:spacing w:after="0"/>
              <w:rPr>
                <w:sz w:val="19"/>
                <w:szCs w:val="19"/>
                <w:color w:val="auto"/>
              </w:rPr>
            </w:pPr>
          </w:p>
        </w:tc>
      </w:tr>
      <w:tr>
        <w:trPr>
          <w:trHeight w:val="216"/>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2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(5,692)</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03"/>
        </w:trPr>
        <w:tc>
          <w:tcPr>
            <w:tcW w:w="568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6"/>
                <w:szCs w:val="16"/>
                <w:color w:val="auto"/>
              </w:rPr>
              <w:t>648</w:t>
            </w:r>
          </w:p>
        </w:tc>
        <w:tc>
          <w:tcPr>
            <w:tcW w:w="580" w:type="dxa"/>
            <w:vAlign w:val="bottom"/>
          </w:tcPr>
          <w:p>
            <w:pPr>
              <w:spacing w:after="0"/>
              <w:rPr>
                <w:sz w:val="17"/>
                <w:szCs w:val="17"/>
                <w:color w:val="auto"/>
              </w:rPr>
            </w:pPr>
          </w:p>
        </w:tc>
      </w:tr>
      <w:tr>
        <w:trPr>
          <w:trHeight w:val="203"/>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w:t>
            </w: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793</w:t>
            </w:r>
          </w:p>
        </w:tc>
        <w:tc>
          <w:tcPr>
            <w:tcW w:w="580" w:type="dxa"/>
            <w:vAlign w:val="bottom"/>
          </w:tcPr>
          <w:p>
            <w:pPr>
              <w:spacing w:after="0"/>
              <w:rPr>
                <w:sz w:val="17"/>
                <w:szCs w:val="17"/>
                <w:color w:val="auto"/>
              </w:rPr>
            </w:pPr>
          </w:p>
        </w:tc>
      </w:tr>
      <w:tr>
        <w:trPr>
          <w:trHeight w:val="203"/>
        </w:trPr>
        <w:tc>
          <w:tcPr>
            <w:tcW w:w="5680" w:type="dxa"/>
            <w:vAlign w:val="bottom"/>
          </w:tcPr>
          <w:p>
            <w:pPr>
              <w:ind w:left="180"/>
              <w:spacing w:after="0"/>
              <w:rPr>
                <w:sz w:val="20"/>
                <w:szCs w:val="20"/>
                <w:color w:val="auto"/>
              </w:rPr>
            </w:pPr>
            <w:r>
              <w:rPr>
                <w:rFonts w:ascii="Arial" w:cs="Arial" w:eastAsia="Arial" w:hAnsi="Arial"/>
                <w:sz w:val="16"/>
                <w:szCs w:val="16"/>
                <w:color w:val="auto"/>
              </w:rPr>
              <w:t>Taxes</w:t>
            </w: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right"/>
              <w:ind w:right="60"/>
              <w:spacing w:after="0"/>
              <w:rPr>
                <w:sz w:val="20"/>
                <w:szCs w:val="20"/>
                <w:color w:val="auto"/>
              </w:rPr>
            </w:pPr>
            <w:r>
              <w:rPr>
                <w:rFonts w:ascii="Arial" w:cs="Arial" w:eastAsia="Arial" w:hAnsi="Arial"/>
                <w:sz w:val="16"/>
                <w:szCs w:val="16"/>
                <w:color w:val="auto"/>
              </w:rPr>
              <w:t>(28)</w:t>
            </w:r>
          </w:p>
        </w:tc>
        <w:tc>
          <w:tcPr>
            <w:tcW w:w="580" w:type="dxa"/>
            <w:vAlign w:val="bottom"/>
          </w:tcPr>
          <w:p>
            <w:pPr>
              <w:spacing w:after="0"/>
              <w:rPr>
                <w:sz w:val="17"/>
                <w:szCs w:val="17"/>
                <w:color w:val="auto"/>
              </w:rPr>
            </w:pPr>
          </w:p>
        </w:tc>
      </w:tr>
      <w:tr>
        <w:trPr>
          <w:trHeight w:val="203"/>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382</w:t>
            </w:r>
          </w:p>
        </w:tc>
        <w:tc>
          <w:tcPr>
            <w:tcW w:w="580" w:type="dxa"/>
            <w:vAlign w:val="bottom"/>
          </w:tcPr>
          <w:p>
            <w:pPr>
              <w:spacing w:after="0"/>
              <w:rPr>
                <w:sz w:val="17"/>
                <w:szCs w:val="17"/>
                <w:color w:val="auto"/>
              </w:rPr>
            </w:pPr>
          </w:p>
        </w:tc>
      </w:tr>
      <w:tr>
        <w:trPr>
          <w:trHeight w:val="203"/>
        </w:trPr>
        <w:tc>
          <w:tcPr>
            <w:tcW w:w="56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6"/>
                <w:szCs w:val="16"/>
                <w:color w:val="auto"/>
              </w:rPr>
              <w:t>91</w:t>
            </w:r>
          </w:p>
        </w:tc>
        <w:tc>
          <w:tcPr>
            <w:tcW w:w="580" w:type="dxa"/>
            <w:vAlign w:val="bottom"/>
          </w:tcPr>
          <w:p>
            <w:pPr>
              <w:spacing w:after="0"/>
              <w:rPr>
                <w:sz w:val="17"/>
                <w:szCs w:val="17"/>
                <w:color w:val="auto"/>
              </w:rPr>
            </w:pPr>
          </w:p>
        </w:tc>
      </w:tr>
      <w:tr>
        <w:trPr>
          <w:trHeight w:val="203"/>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Early extinguishment of debt</w:t>
            </w: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884</w:t>
            </w:r>
          </w:p>
        </w:tc>
        <w:tc>
          <w:tcPr>
            <w:tcW w:w="580" w:type="dxa"/>
            <w:vAlign w:val="bottom"/>
          </w:tcPr>
          <w:p>
            <w:pPr>
              <w:spacing w:after="0"/>
              <w:rPr>
                <w:sz w:val="17"/>
                <w:szCs w:val="17"/>
                <w:color w:val="auto"/>
              </w:rPr>
            </w:pPr>
          </w:p>
        </w:tc>
      </w:tr>
      <w:tr>
        <w:trPr>
          <w:trHeight w:val="203"/>
        </w:trPr>
        <w:tc>
          <w:tcPr>
            <w:tcW w:w="5680" w:type="dxa"/>
            <w:vAlign w:val="bottom"/>
          </w:tcPr>
          <w:p>
            <w:pPr>
              <w:ind w:left="180"/>
              <w:spacing w:after="0"/>
              <w:rPr>
                <w:sz w:val="20"/>
                <w:szCs w:val="20"/>
                <w:color w:val="auto"/>
              </w:rPr>
            </w:pPr>
            <w:r>
              <w:rPr>
                <w:rFonts w:ascii="Arial" w:cs="Arial" w:eastAsia="Arial" w:hAnsi="Arial"/>
                <w:sz w:val="16"/>
                <w:szCs w:val="16"/>
                <w:color w:val="auto"/>
              </w:rPr>
              <w:t>Investment loss from Eton Pharmaceuticals</w:t>
            </w: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2"/>
          </w:tcPr>
          <w:p>
            <w:pPr>
              <w:jc w:val="right"/>
              <w:ind w:right="100"/>
              <w:spacing w:after="0"/>
              <w:rPr>
                <w:sz w:val="20"/>
                <w:szCs w:val="20"/>
                <w:color w:val="auto"/>
              </w:rPr>
            </w:pPr>
            <w:r>
              <w:rPr>
                <w:rFonts w:ascii="Arial" w:cs="Arial" w:eastAsia="Arial" w:hAnsi="Arial"/>
                <w:sz w:val="16"/>
                <w:szCs w:val="16"/>
                <w:color w:val="auto"/>
              </w:rPr>
              <w:t>1,237</w:t>
            </w:r>
          </w:p>
        </w:tc>
        <w:tc>
          <w:tcPr>
            <w:tcW w:w="580" w:type="dxa"/>
            <w:vAlign w:val="bottom"/>
          </w:tcPr>
          <w:p>
            <w:pPr>
              <w:spacing w:after="0"/>
              <w:rPr>
                <w:sz w:val="17"/>
                <w:szCs w:val="17"/>
                <w:color w:val="auto"/>
              </w:rPr>
            </w:pPr>
          </w:p>
        </w:tc>
      </w:tr>
      <w:tr>
        <w:trPr>
          <w:trHeight w:val="203"/>
        </w:trPr>
        <w:tc>
          <w:tcPr>
            <w:tcW w:w="5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expenses/loss</w:t>
            </w:r>
          </w:p>
        </w:tc>
        <w:tc>
          <w:tcPr>
            <w:tcW w:w="2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580" w:type="dxa"/>
            <w:vAlign w:val="bottom"/>
          </w:tcPr>
          <w:p>
            <w:pPr>
              <w:spacing w:after="0"/>
              <w:rPr>
                <w:sz w:val="17"/>
                <w:szCs w:val="17"/>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284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rPr>
              <w:t>$</w:t>
            </w:r>
          </w:p>
        </w:tc>
        <w:tc>
          <w:tcPr>
            <w:tcW w:w="23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(1,643)</w:t>
            </w:r>
          </w:p>
        </w:tc>
        <w:tc>
          <w:tcPr>
            <w:tcW w:w="580" w:type="dxa"/>
            <w:vAlign w:val="bottom"/>
          </w:tcPr>
          <w:p>
            <w:pPr>
              <w:spacing w:after="0"/>
              <w:rPr>
                <w:sz w:val="18"/>
                <w:szCs w:val="18"/>
                <w:color w:val="auto"/>
              </w:rPr>
            </w:pPr>
          </w:p>
        </w:tc>
      </w:tr>
      <w:tr>
        <w:trPr>
          <w:trHeight w:val="431"/>
        </w:trPr>
        <w:tc>
          <w:tcPr>
            <w:tcW w:w="5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4:15 p.m. EST (1:15 p.m. PST) to discuss the financial results and recent developments. To participate in the call, dial (877) 407-8035 for domestic callers or (201) 689-8035 for international callers. To listen to the webcast,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visit the investor relations section of the Imprimis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 A replay of the call will be available until December 14, 2017. To access the replay, dial (877) 481-4010 domestically or (919) 882-2331 internationally and reference Conference ID: 22220. The webcast replay will be available until February 14,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Imprimis Pharmaceuticals, Inc. (NASDAQ: IMMY) is a pharmaceutical company that produces and dispenses high quality innovative medications in all 50 states. Imprimis is dedicated to patient access and affordability to many critical medicines. Headquartered in San Diego, California, Imprimis produces and dispenses from both California and New Jersey. Imprimis is the largest shareholder of Eton Pharmaceuticals, Inc. (</w:t>
      </w:r>
      <w:r>
        <w:rPr>
          <w:rFonts w:ascii="Arial" w:cs="Arial" w:eastAsia="Arial" w:hAnsi="Arial"/>
          <w:sz w:val="16"/>
          <w:szCs w:val="16"/>
          <w:u w:val="single" w:color="auto"/>
          <w:color w:val="auto"/>
        </w:rPr>
        <w:t>www.etonpharma.com</w:t>
      </w:r>
      <w:r>
        <w:rPr>
          <w:rFonts w:ascii="Arial" w:cs="Arial" w:eastAsia="Arial" w:hAnsi="Arial"/>
          <w:sz w:val="16"/>
          <w:szCs w:val="16"/>
          <w:color w:val="auto"/>
        </w:rPr>
        <w:t xml:space="preserve">), a company it spun out in 2017. For more information about Imprimis, please visit the corporate website at </w:t>
      </w:r>
      <w:r>
        <w:rPr>
          <w:rFonts w:ascii="Arial" w:cs="Arial" w:eastAsia="Arial" w:hAnsi="Arial"/>
          <w:sz w:val="16"/>
          <w:szCs w:val="16"/>
          <w:u w:val="single" w:color="auto"/>
          <w:color w:val="auto"/>
        </w:rPr>
        <w:t>www.ImprimisRx.com.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2020-01-18T20:53:40Z</dcterms:created>
  <dcterms:modified xsi:type="dcterms:W3CDTF">2020-01-18T20:53:40Z</dcterms:modified>
</cp:coreProperties>
</file>