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2063115</wp:posOffset>
            </wp:positionH>
            <wp:positionV relativeFrom="paragraph">
              <wp:posOffset>133350</wp:posOffset>
            </wp:positionV>
            <wp:extent cx="31299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29915" cy="17145"/>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4020" w:right="2240" w:hanging="4012"/>
        <w:spacing w:after="0" w:line="501" w:lineRule="auto"/>
        <w:tabs>
          <w:tab w:leader="none" w:pos="392"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2017</w:t>
      </w:r>
    </w:p>
    <w:p>
      <w:pPr>
        <w:ind w:left="55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 ]</w:t>
      </w:r>
      <w:r>
        <w:rPr>
          <w:sz w:val="20"/>
          <w:szCs w:val="20"/>
          <w:color w:val="auto"/>
        </w:rPr>
        <w:tab/>
      </w:r>
      <w:r>
        <w:rPr>
          <w:rFonts w:ascii="Arial" w:cs="Arial" w:eastAsia="Arial" w:hAnsi="Arial"/>
          <w:sz w:val="17"/>
          <w:szCs w:val="17"/>
          <w:b w:val="1"/>
          <w:bCs w:val="1"/>
          <w:color w:val="auto"/>
        </w:rPr>
        <w:t>TRANSITION REPORT PURSUANT TO SECTION 13 OR 15(d) OF THE SECURITIES EXCHANGE ACT OF 1934</w:t>
      </w:r>
    </w:p>
    <w:p>
      <w:pPr>
        <w:spacing w:after="0" w:line="225" w:lineRule="exact"/>
        <w:rPr>
          <w:sz w:val="24"/>
          <w:szCs w:val="24"/>
          <w:color w:val="auto"/>
        </w:rPr>
      </w:pPr>
    </w:p>
    <w:p>
      <w:pPr>
        <w:ind w:left="37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Delaware</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1"/>
              </w:rPr>
              <w:t>45-0567010</w:t>
            </w:r>
          </w:p>
        </w:tc>
      </w:tr>
      <w:tr>
        <w:trPr>
          <w:trHeight w:val="202"/>
        </w:trPr>
        <w:tc>
          <w:tcPr>
            <w:tcW w:w="5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00" w:type="dxa"/>
            <w:vAlign w:val="bottom"/>
          </w:tcPr>
          <w:p>
            <w:pPr>
              <w:spacing w:after="0"/>
              <w:rPr>
                <w:sz w:val="17"/>
                <w:szCs w:val="17"/>
                <w:color w:val="auto"/>
              </w:rPr>
            </w:pPr>
          </w:p>
        </w:tc>
        <w:tc>
          <w:tcPr>
            <w:tcW w:w="5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incorporation or organization)</w:t>
            </w: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704-4040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Title of Each Class</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 ] </w:t>
      </w:r>
      <w:r>
        <w:rPr>
          <w:rFonts w:ascii="Arial" w:cs="Arial" w:eastAsia="Arial" w:hAnsi="Arial"/>
          <w:sz w:val="18"/>
          <w:szCs w:val="18"/>
          <w:b w:val="1"/>
          <w:bCs w:val="1"/>
          <w:color w:val="auto"/>
        </w:rPr>
        <w:t>No</w:t>
      </w:r>
      <w:r>
        <w:rPr>
          <w:rFonts w:ascii="Arial" w:cs="Arial" w:eastAsia="Arial" w:hAnsi="Arial"/>
          <w:sz w:val="18"/>
          <w:szCs w:val="18"/>
          <w:color w:val="auto"/>
        </w:rPr>
        <w:t xml:space="preserve">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 ] </w:t>
      </w:r>
      <w:r>
        <w:rPr>
          <w:rFonts w:ascii="Arial" w:cs="Arial" w:eastAsia="Arial" w:hAnsi="Arial"/>
          <w:sz w:val="18"/>
          <w:szCs w:val="18"/>
          <w:b w:val="1"/>
          <w:bCs w:val="1"/>
          <w:color w:val="auto"/>
        </w:rPr>
        <w:t>No</w:t>
      </w:r>
      <w:r>
        <w:rPr>
          <w:rFonts w:ascii="Arial" w:cs="Arial" w:eastAsia="Arial" w:hAnsi="Arial"/>
          <w:sz w:val="18"/>
          <w:szCs w:val="18"/>
          <w:color w:val="auto"/>
        </w:rPr>
        <w:t xml:space="preserve"> [X]</w:t>
      </w:r>
    </w:p>
    <w:p>
      <w:pPr>
        <w:spacing w:after="0" w:line="22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 ]</w:t>
      </w:r>
    </w:p>
    <w:p>
      <w:pPr>
        <w:spacing w:after="0" w:line="181"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81"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747" w:right="239" w:bottom="0" w:gutter="0" w:footer="0" w:header="0"/>
        </w:sectPr>
      </w:pP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 [ ]</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16" w:lineRule="exact"/>
        <w:rPr>
          <w:sz w:val="24"/>
          <w:szCs w:val="24"/>
          <w:color w:val="auto"/>
        </w:rPr>
      </w:pPr>
    </w:p>
    <w:p>
      <w:pPr>
        <w:sectPr>
          <w:pgSz w:w="11900" w:h="16838" w:orient="portrait"/>
          <w:cols w:equalWidth="0" w:num="2">
            <w:col w:w="5000" w:space="720"/>
            <w:col w:w="5700"/>
          </w:cols>
          <w:pgMar w:left="240" w:top="747" w:right="239" w:bottom="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 ] </w:t>
      </w:r>
      <w:r>
        <w:rPr>
          <w:rFonts w:ascii="Arial" w:cs="Arial" w:eastAsia="Arial" w:hAnsi="Arial"/>
          <w:sz w:val="18"/>
          <w:szCs w:val="18"/>
          <w:b w:val="1"/>
          <w:bCs w:val="1"/>
          <w:color w:val="auto"/>
        </w:rPr>
        <w:t>No</w:t>
      </w:r>
      <w:r>
        <w:rPr>
          <w:rFonts w:ascii="Arial" w:cs="Arial" w:eastAsia="Arial" w:hAnsi="Arial"/>
          <w:sz w:val="18"/>
          <w:szCs w:val="18"/>
          <w:color w:val="auto"/>
        </w:rPr>
        <w:t xml:space="preserve"> [X]</w:t>
      </w:r>
    </w:p>
    <w:p>
      <w:pPr>
        <w:spacing w:after="0" w:line="229" w:lineRule="exact"/>
        <w:rPr>
          <w:sz w:val="24"/>
          <w:szCs w:val="24"/>
          <w:color w:val="auto"/>
        </w:rPr>
      </w:pPr>
    </w:p>
    <w:p>
      <w:pPr>
        <w:jc w:val="both"/>
        <w:spacing w:after="0" w:line="312" w:lineRule="auto"/>
        <w:rPr>
          <w:sz w:val="20"/>
          <w:szCs w:val="20"/>
          <w:color w:val="auto"/>
        </w:rPr>
      </w:pPr>
      <w:r>
        <w:rPr>
          <w:rFonts w:ascii="Arial" w:cs="Arial" w:eastAsia="Arial" w:hAnsi="Arial"/>
          <w:sz w:val="16"/>
          <w:szCs w:val="16"/>
          <w:color w:val="auto"/>
        </w:rPr>
        <w:t>As of June 30, 2017, the last business day of the registrant’s most recently completed second fiscal quarter, the aggregate market value of the common stock held by non-affiliates of the registrant was approximately $59 million, based on the closing price of $3.20 for the registrant’s common stock as quoted on The NASDAQ Capital Market on that date. For purposes of this calculation, it has been assumed that shares of common stock held by each director, each officer</w:t>
      </w:r>
    </w:p>
    <w:p>
      <w:pPr>
        <w:sectPr>
          <w:pgSz w:w="11900" w:h="16838" w:orient="portrait"/>
          <w:cols w:equalWidth="0" w:num="1">
            <w:col w:w="11420"/>
          </w:cols>
          <w:pgMar w:left="240" w:top="747" w:right="239" w:bottom="0" w:gutter="0" w:footer="0" w:header="0"/>
          <w:type w:val="continuous"/>
        </w:sectPr>
      </w:pPr>
    </w:p>
    <w:bookmarkStart w:id="1" w:name="page2"/>
    <w:bookmarkEnd w:id="1"/>
    <w:p>
      <w:pPr>
        <w:spacing w:after="0" w:line="342" w:lineRule="auto"/>
        <w:rPr>
          <w:sz w:val="20"/>
          <w:szCs w:val="20"/>
          <w:color w:val="auto"/>
        </w:rPr>
      </w:pPr>
      <w:r>
        <w:rPr>
          <w:rFonts w:ascii="Arial" w:cs="Arial" w:eastAsia="Arial" w:hAnsi="Arial"/>
          <w:sz w:val="16"/>
          <w:szCs w:val="16"/>
          <w:color w:val="auto"/>
        </w:rPr>
        <w:t>and each person who owns 10% or more of the outstanding common stock of the registrant are held by affiliates of the registrant. The treatment of these persons as affiliates for purposes of this calculation is not conclusive as to whether such persons are, affiliates of the registrant for any other purpose.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of March 7, 2018, there were 20,777,629 shares of the registrant’s common stock outstanding.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the registrant’s definitive proxy statement for its 2017 Annual Meeting of Stockholders (Proxy Statement) are incorporated by reference in Part III of this annual report on Form 10-K (Annual Report),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540" w:type="dxa"/>
            <w:vAlign w:val="bottom"/>
            <w:gridSpan w:val="8"/>
          </w:tcPr>
          <w:p>
            <w:pPr>
              <w:ind w:left="52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8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00" w:type="dxa"/>
            <w:vAlign w:val="bottom"/>
            <w:gridSpan w:val="24"/>
            <w:shd w:val="clear" w:color="auto" w:fill="CCEEFF"/>
          </w:tcPr>
          <w:p>
            <w:pPr>
              <w:ind w:left="140"/>
              <w:spacing w:after="0" w:line="16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10000" w:type="dxa"/>
            <w:vAlign w:val="bottom"/>
            <w:gridSpan w:val="24"/>
          </w:tcPr>
          <w:p>
            <w:pPr>
              <w:ind w:left="14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100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tcPr>
          <w:p>
            <w:pPr>
              <w:spacing w:after="0" w:line="176" w:lineRule="exact"/>
              <w:rPr>
                <w:sz w:val="20"/>
                <w:szCs w:val="20"/>
                <w:color w:val="auto"/>
              </w:rPr>
            </w:pPr>
            <w:r>
              <w:rPr>
                <w:rFonts w:ascii="Arial" w:cs="Arial" w:eastAsia="Arial" w:hAnsi="Arial"/>
                <w:sz w:val="18"/>
                <w:szCs w:val="18"/>
                <w:color w:val="auto"/>
              </w:rPr>
              <w:t>Item 1B.</w:t>
            </w:r>
          </w:p>
        </w:tc>
        <w:tc>
          <w:tcPr>
            <w:tcW w:w="10000" w:type="dxa"/>
            <w:vAlign w:val="bottom"/>
            <w:gridSpan w:val="24"/>
          </w:tcPr>
          <w:p>
            <w:pPr>
              <w:ind w:left="14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Unresolved Staff Comments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100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Properties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10000" w:type="dxa"/>
            <w:vAlign w:val="bottom"/>
            <w:gridSpan w:val="24"/>
          </w:tcPr>
          <w:p>
            <w:pPr>
              <w:ind w:left="14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00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00" w:type="dxa"/>
            <w:vAlign w:val="bottom"/>
            <w:gridSpan w:val="24"/>
            <w:shd w:val="clear" w:color="auto" w:fill="CCEEFF"/>
          </w:tcPr>
          <w:p>
            <w:pPr>
              <w:ind w:left="140"/>
              <w:spacing w:after="0" w:line="17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w:t>
              </w:r>
            </w:hyperlink>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10000" w:type="dxa"/>
            <w:vAlign w:val="bottom"/>
            <w:gridSpan w:val="24"/>
          </w:tcPr>
          <w:p>
            <w:pPr>
              <w:ind w:left="14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Market for Registrant’s Common Equity, Related Stockholder Matters and Issuer Purchases of Equity Securities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100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Selected Financial Data</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tcPr>
          <w:p>
            <w:pPr>
              <w:spacing w:after="0" w:line="176" w:lineRule="exact"/>
              <w:rPr>
                <w:sz w:val="20"/>
                <w:szCs w:val="20"/>
                <w:color w:val="auto"/>
              </w:rPr>
            </w:pPr>
            <w:r>
              <w:rPr>
                <w:rFonts w:ascii="Arial" w:cs="Arial" w:eastAsia="Arial" w:hAnsi="Arial"/>
                <w:sz w:val="18"/>
                <w:szCs w:val="18"/>
                <w:color w:val="auto"/>
              </w:rPr>
              <w:t>Item 7.</w:t>
            </w:r>
          </w:p>
        </w:tc>
        <w:tc>
          <w:tcPr>
            <w:tcW w:w="10000" w:type="dxa"/>
            <w:vAlign w:val="bottom"/>
            <w:gridSpan w:val="24"/>
          </w:tcPr>
          <w:p>
            <w:pPr>
              <w:ind w:left="14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100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 About Market Risk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tcPr>
          <w:p>
            <w:pPr>
              <w:spacing w:after="0" w:line="176" w:lineRule="exact"/>
              <w:rPr>
                <w:sz w:val="20"/>
                <w:szCs w:val="20"/>
                <w:color w:val="auto"/>
              </w:rPr>
            </w:pPr>
            <w:r>
              <w:rPr>
                <w:rFonts w:ascii="Arial" w:cs="Arial" w:eastAsia="Arial" w:hAnsi="Arial"/>
                <w:sz w:val="18"/>
                <w:szCs w:val="18"/>
                <w:color w:val="auto"/>
              </w:rPr>
              <w:t>Item 8.</w:t>
            </w:r>
          </w:p>
        </w:tc>
        <w:tc>
          <w:tcPr>
            <w:tcW w:w="10000" w:type="dxa"/>
            <w:vAlign w:val="bottom"/>
            <w:gridSpan w:val="24"/>
          </w:tcPr>
          <w:p>
            <w:pPr>
              <w:ind w:left="14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Financial Statements and Supplementary Data</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100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Changes in and Disagreements with Accountants on Accounting and Financial Disclosure</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tcPr>
          <w:p>
            <w:pPr>
              <w:spacing w:after="0" w:line="176" w:lineRule="exact"/>
              <w:rPr>
                <w:sz w:val="20"/>
                <w:szCs w:val="20"/>
                <w:color w:val="auto"/>
              </w:rPr>
            </w:pPr>
            <w:r>
              <w:rPr>
                <w:rFonts w:ascii="Arial" w:cs="Arial" w:eastAsia="Arial" w:hAnsi="Arial"/>
                <w:sz w:val="18"/>
                <w:szCs w:val="18"/>
                <w:color w:val="auto"/>
              </w:rPr>
              <w:t>Item 9A.</w:t>
            </w:r>
          </w:p>
        </w:tc>
        <w:tc>
          <w:tcPr>
            <w:tcW w:w="10000" w:type="dxa"/>
            <w:vAlign w:val="bottom"/>
            <w:gridSpan w:val="24"/>
          </w:tcPr>
          <w:p>
            <w:pPr>
              <w:ind w:left="14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100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00" w:type="dxa"/>
            <w:vAlign w:val="bottom"/>
            <w:gridSpan w:val="24"/>
            <w:shd w:val="clear" w:color="auto" w:fill="CCEEFF"/>
          </w:tcPr>
          <w:p>
            <w:pPr>
              <w:ind w:left="140"/>
              <w:spacing w:after="0" w:line="176"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III</w:t>
              </w:r>
            </w:hyperlink>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tcPr>
          <w:p>
            <w:pPr>
              <w:spacing w:after="0" w:line="176" w:lineRule="exact"/>
              <w:rPr>
                <w:sz w:val="20"/>
                <w:szCs w:val="20"/>
                <w:color w:val="auto"/>
              </w:rPr>
            </w:pPr>
            <w:r>
              <w:rPr>
                <w:rFonts w:ascii="Arial" w:cs="Arial" w:eastAsia="Arial" w:hAnsi="Arial"/>
                <w:sz w:val="18"/>
                <w:szCs w:val="18"/>
                <w:color w:val="auto"/>
              </w:rPr>
              <w:t>Item 10.</w:t>
            </w:r>
          </w:p>
        </w:tc>
        <w:tc>
          <w:tcPr>
            <w:tcW w:w="10000" w:type="dxa"/>
            <w:vAlign w:val="bottom"/>
            <w:gridSpan w:val="24"/>
          </w:tcPr>
          <w:p>
            <w:pPr>
              <w:ind w:left="14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Directors, Executive Officers and Corporate Governance</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100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Executive Compensation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tcPr>
          <w:p>
            <w:pPr>
              <w:spacing w:after="0" w:line="176" w:lineRule="exact"/>
              <w:rPr>
                <w:sz w:val="20"/>
                <w:szCs w:val="20"/>
                <w:color w:val="auto"/>
              </w:rPr>
            </w:pPr>
            <w:r>
              <w:rPr>
                <w:rFonts w:ascii="Arial" w:cs="Arial" w:eastAsia="Arial" w:hAnsi="Arial"/>
                <w:sz w:val="18"/>
                <w:szCs w:val="18"/>
                <w:color w:val="auto"/>
              </w:rPr>
              <w:t>Item 12.</w:t>
            </w:r>
          </w:p>
        </w:tc>
        <w:tc>
          <w:tcPr>
            <w:tcW w:w="10000" w:type="dxa"/>
            <w:vAlign w:val="bottom"/>
            <w:gridSpan w:val="24"/>
          </w:tcPr>
          <w:p>
            <w:pPr>
              <w:ind w:left="14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Security Ownership of Certain Beneficial Owners and Management and Related Stockholder Matters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100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Certain Relationships and Related Transactions, and Director Independence</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tcPr>
          <w:p>
            <w:pPr>
              <w:spacing w:after="0" w:line="176" w:lineRule="exact"/>
              <w:rPr>
                <w:sz w:val="20"/>
                <w:szCs w:val="20"/>
                <w:color w:val="auto"/>
              </w:rPr>
            </w:pPr>
            <w:r>
              <w:rPr>
                <w:rFonts w:ascii="Arial" w:cs="Arial" w:eastAsia="Arial" w:hAnsi="Arial"/>
                <w:sz w:val="18"/>
                <w:szCs w:val="18"/>
                <w:color w:val="auto"/>
              </w:rPr>
              <w:t>Item 14.</w:t>
            </w:r>
          </w:p>
        </w:tc>
        <w:tc>
          <w:tcPr>
            <w:tcW w:w="10000" w:type="dxa"/>
            <w:vAlign w:val="bottom"/>
            <w:gridSpan w:val="24"/>
          </w:tcPr>
          <w:p>
            <w:pPr>
              <w:ind w:left="14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Principal Accountant Fees and Services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0" w:type="dxa"/>
            <w:vAlign w:val="bottom"/>
            <w:gridSpan w:val="24"/>
          </w:tcPr>
          <w:p>
            <w:pPr>
              <w:ind w:left="140"/>
              <w:spacing w:after="0" w:line="17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IV</w:t>
              </w:r>
            </w:hyperlink>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100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Exhibits, Financial Statement Schedules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5"/>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SIGNATURES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460"/>
        </w:trPr>
        <w:tc>
          <w:tcPr>
            <w:tcW w:w="20" w:type="dxa"/>
            <w:vAlign w:val="bottom"/>
            <w:tcBorders>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3" w:name="page4"/>
    <w:bookmarkEnd w:id="3"/>
    <w:p>
      <w:pPr>
        <w:jc w:val="both"/>
        <w:ind w:firstLine="648"/>
        <w:spacing w:after="0" w:line="277" w:lineRule="auto"/>
        <w:rPr>
          <w:sz w:val="20"/>
          <w:szCs w:val="20"/>
          <w:color w:val="auto"/>
        </w:rPr>
      </w:pPr>
      <w:r>
        <w:rPr>
          <w:rFonts w:ascii="Arial" w:cs="Arial" w:eastAsia="Arial" w:hAnsi="Arial"/>
          <w:sz w:val="18"/>
          <w:szCs w:val="18"/>
          <w:i w:val="1"/>
          <w:iCs w:val="1"/>
          <w:color w:val="auto"/>
        </w:rPr>
        <w:t>As used in this Annual Report, unless indicated or the context requires otherwise, the terms the “Company”, “Imprimis” “we”, “us” and “our” refer to Imprimis Pharmaceuticals, Inc. and its consolidated subsidiaries.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Annual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prior acquisitions of ImprimisRx NJ, LLC dba ImprimisRx (“RxNJ” and fka Pharmacy Creations, LLC), Park Compounding, Inc (“Park” and fka South Coast Specialty Compounding, Inc.)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Part I, Item 1A of this Annual Report.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79"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16"/>
          <w:szCs w:val="16"/>
          <w:color w:val="auto"/>
        </w:rPr>
        <w:t>We have registered trademarks, copyrights and/or pending trademark and copyright applications for Imprimis</w:t>
      </w:r>
      <w:r>
        <w:rPr>
          <w:rFonts w:ascii="Arial" w:cs="Arial" w:eastAsia="Arial" w:hAnsi="Arial"/>
          <w:sz w:val="26"/>
          <w:szCs w:val="26"/>
          <w:color w:val="auto"/>
          <w:vertAlign w:val="superscript"/>
        </w:rPr>
        <w:t>®</w:t>
      </w:r>
      <w:r>
        <w:rPr>
          <w:rFonts w:ascii="Arial" w:cs="Arial" w:eastAsia="Arial" w:hAnsi="Arial"/>
          <w:sz w:val="16"/>
          <w:szCs w:val="16"/>
          <w:color w:val="auto"/>
        </w:rPr>
        <w:t>, ImprimisRx</w:t>
      </w:r>
      <w:r>
        <w:rPr>
          <w:rFonts w:ascii="Arial" w:cs="Arial" w:eastAsia="Arial" w:hAnsi="Arial"/>
          <w:sz w:val="26"/>
          <w:szCs w:val="26"/>
          <w:color w:val="auto"/>
          <w:vertAlign w:val="superscript"/>
        </w:rPr>
        <w:t>®</w:t>
      </w:r>
      <w:r>
        <w:rPr>
          <w:rFonts w:ascii="Arial" w:cs="Arial" w:eastAsia="Arial" w:hAnsi="Arial"/>
          <w:sz w:val="16"/>
          <w:szCs w:val="16"/>
          <w:color w:val="auto"/>
        </w:rPr>
        <w:t>, Imprimis Pharmaceuticals</w:t>
      </w:r>
      <w:r>
        <w:rPr>
          <w:rFonts w:ascii="Arial" w:cs="Arial" w:eastAsia="Arial" w:hAnsi="Arial"/>
          <w:sz w:val="26"/>
          <w:szCs w:val="26"/>
          <w:color w:val="auto"/>
          <w:vertAlign w:val="superscript"/>
        </w:rPr>
        <w:t>®</w:t>
      </w:r>
      <w:r>
        <w:rPr>
          <w:rFonts w:ascii="Arial" w:cs="Arial" w:eastAsia="Arial" w:hAnsi="Arial"/>
          <w:sz w:val="16"/>
          <w:szCs w:val="16"/>
          <w:color w:val="auto"/>
        </w:rPr>
        <w:t>, Imprimis Cares®, Imprimis Cares!</w:t>
      </w:r>
      <w:r>
        <w:rPr>
          <w:rFonts w:ascii="Arial" w:cs="Arial" w:eastAsia="Arial" w:hAnsi="Arial"/>
          <w:sz w:val="26"/>
          <w:szCs w:val="26"/>
          <w:color w:val="auto"/>
          <w:vertAlign w:val="superscript"/>
        </w:rPr>
        <w:t>®</w:t>
      </w:r>
      <w:r>
        <w:rPr>
          <w:rFonts w:ascii="Arial" w:cs="Arial" w:eastAsia="Arial" w:hAnsi="Arial"/>
          <w:sz w:val="16"/>
          <w:szCs w:val="16"/>
          <w:color w:val="auto"/>
        </w:rPr>
        <w:t>, SSP Technology</w:t>
      </w:r>
      <w:r>
        <w:rPr>
          <w:rFonts w:ascii="Arial" w:cs="Arial" w:eastAsia="Arial" w:hAnsi="Arial"/>
          <w:sz w:val="26"/>
          <w:szCs w:val="26"/>
          <w:color w:val="auto"/>
          <w:vertAlign w:val="superscript"/>
        </w:rPr>
        <w:t>®</w:t>
      </w:r>
      <w:r>
        <w:rPr>
          <w:rFonts w:ascii="Arial" w:cs="Arial" w:eastAsia="Arial" w:hAnsi="Arial"/>
          <w:sz w:val="16"/>
          <w:szCs w:val="16"/>
          <w:color w:val="auto"/>
        </w:rPr>
        <w:t>, Dropless</w:t>
      </w:r>
      <w:r>
        <w:rPr>
          <w:rFonts w:ascii="Arial" w:cs="Arial" w:eastAsia="Arial" w:hAnsi="Arial"/>
          <w:sz w:val="26"/>
          <w:szCs w:val="26"/>
          <w:color w:val="auto"/>
          <w:vertAlign w:val="superscript"/>
        </w:rPr>
        <w:t>®</w:t>
      </w:r>
      <w:r>
        <w:rPr>
          <w:rFonts w:ascii="Arial" w:cs="Arial" w:eastAsia="Arial" w:hAnsi="Arial"/>
          <w:sz w:val="16"/>
          <w:szCs w:val="16"/>
          <w:color w:val="auto"/>
        </w:rPr>
        <w:t>, Go Dropless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Go Dropless! </w:t>
      </w:r>
      <w:r>
        <w:rPr>
          <w:rFonts w:ascii="Arial" w:cs="Arial" w:eastAsia="Arial" w:hAnsi="Arial"/>
          <w:sz w:val="26"/>
          <w:szCs w:val="26"/>
          <w:color w:val="auto"/>
          <w:vertAlign w:val="superscript"/>
        </w:rPr>
        <w:t>®</w:t>
      </w:r>
      <w:r>
        <w:rPr>
          <w:rFonts w:ascii="Arial" w:cs="Arial" w:eastAsia="Arial" w:hAnsi="Arial"/>
          <w:sz w:val="16"/>
          <w:szCs w:val="16"/>
          <w:color w:val="auto"/>
        </w:rPr>
        <w:t>, GoDropless</w:t>
      </w:r>
      <w:r>
        <w:rPr>
          <w:rFonts w:ascii="Arial" w:cs="Arial" w:eastAsia="Arial" w:hAnsi="Arial"/>
          <w:sz w:val="26"/>
          <w:szCs w:val="26"/>
          <w:color w:val="auto"/>
          <w:vertAlign w:val="superscript"/>
        </w:rPr>
        <w:t>®</w:t>
      </w:r>
      <w:r>
        <w:rPr>
          <w:rFonts w:ascii="Arial" w:cs="Arial" w:eastAsia="Arial" w:hAnsi="Arial"/>
          <w:sz w:val="16"/>
          <w:szCs w:val="16"/>
          <w:color w:val="auto"/>
        </w:rPr>
        <w:t>, LessDrops</w:t>
      </w:r>
      <w:r>
        <w:rPr>
          <w:rFonts w:ascii="Arial" w:cs="Arial" w:eastAsia="Arial" w:hAnsi="Arial"/>
          <w:sz w:val="26"/>
          <w:szCs w:val="26"/>
          <w:color w:val="auto"/>
          <w:vertAlign w:val="superscript"/>
        </w:rPr>
        <w:t>®</w:t>
      </w:r>
      <w:r>
        <w:rPr>
          <w:rFonts w:ascii="Arial" w:cs="Arial" w:eastAsia="Arial" w:hAnsi="Arial"/>
          <w:sz w:val="16"/>
          <w:szCs w:val="16"/>
          <w:color w:val="auto"/>
        </w:rPr>
        <w:t>, Dropless Cataract Surgery</w:t>
      </w:r>
      <w:r>
        <w:rPr>
          <w:rFonts w:ascii="Arial" w:cs="Arial" w:eastAsia="Arial" w:hAnsi="Arial"/>
          <w:sz w:val="26"/>
          <w:szCs w:val="26"/>
          <w:color w:val="auto"/>
          <w:vertAlign w:val="superscript"/>
        </w:rPr>
        <w:t>®</w:t>
      </w:r>
      <w:r>
        <w:rPr>
          <w:rFonts w:ascii="Arial" w:cs="Arial" w:eastAsia="Arial" w:hAnsi="Arial"/>
          <w:sz w:val="16"/>
          <w:szCs w:val="16"/>
          <w:color w:val="auto"/>
        </w:rPr>
        <w:t>, Dropless Cataract Therapy</w:t>
      </w:r>
      <w:r>
        <w:rPr>
          <w:rFonts w:ascii="Arial" w:cs="Arial" w:eastAsia="Arial" w:hAnsi="Arial"/>
          <w:sz w:val="26"/>
          <w:szCs w:val="26"/>
          <w:color w:val="auto"/>
          <w:vertAlign w:val="superscript"/>
        </w:rPr>
        <w:t>®</w:t>
      </w:r>
      <w:r>
        <w:rPr>
          <w:rFonts w:ascii="Arial" w:cs="Arial" w:eastAsia="Arial" w:hAnsi="Arial"/>
          <w:sz w:val="16"/>
          <w:szCs w:val="16"/>
          <w:color w:val="auto"/>
        </w:rPr>
        <w:t>, Dropless Therapy</w:t>
      </w:r>
      <w:r>
        <w:rPr>
          <w:rFonts w:ascii="Arial" w:cs="Arial" w:eastAsia="Arial" w:hAnsi="Arial"/>
          <w:sz w:val="26"/>
          <w:szCs w:val="26"/>
          <w:color w:val="auto"/>
          <w:vertAlign w:val="superscript"/>
        </w:rPr>
        <w:t>®</w:t>
      </w:r>
      <w:r>
        <w:rPr>
          <w:rFonts w:ascii="Arial" w:cs="Arial" w:eastAsia="Arial" w:hAnsi="Arial"/>
          <w:sz w:val="16"/>
          <w:szCs w:val="16"/>
          <w:color w:val="auto"/>
        </w:rPr>
        <w:t>, Tri-Moxi</w:t>
      </w:r>
      <w:r>
        <w:rPr>
          <w:rFonts w:ascii="Arial" w:cs="Arial" w:eastAsia="Arial" w:hAnsi="Arial"/>
          <w:sz w:val="26"/>
          <w:szCs w:val="26"/>
          <w:color w:val="auto"/>
          <w:vertAlign w:val="superscript"/>
        </w:rPr>
        <w:t>®</w:t>
      </w:r>
      <w:r>
        <w:rPr>
          <w:rFonts w:ascii="Arial" w:cs="Arial" w:eastAsia="Arial" w:hAnsi="Arial"/>
          <w:sz w:val="16"/>
          <w:szCs w:val="16"/>
          <w:color w:val="auto"/>
        </w:rPr>
        <w:t>, Pred-Moxi</w:t>
      </w:r>
      <w:r>
        <w:rPr>
          <w:rFonts w:ascii="Arial" w:cs="Arial" w:eastAsia="Arial" w:hAnsi="Arial"/>
          <w:sz w:val="26"/>
          <w:szCs w:val="26"/>
          <w:color w:val="auto"/>
          <w:vertAlign w:val="superscript"/>
        </w:rPr>
        <w:t>®</w:t>
      </w:r>
      <w:r>
        <w:rPr>
          <w:rFonts w:ascii="Arial" w:cs="Arial" w:eastAsia="Arial" w:hAnsi="Arial"/>
          <w:sz w:val="16"/>
          <w:szCs w:val="16"/>
          <w:color w:val="auto"/>
        </w:rPr>
        <w:t>, HLA</w:t>
      </w:r>
      <w:r>
        <w:rPr>
          <w:rFonts w:ascii="Arial" w:cs="Arial" w:eastAsia="Arial" w:hAnsi="Arial"/>
          <w:sz w:val="26"/>
          <w:szCs w:val="26"/>
          <w:color w:val="auto"/>
          <w:vertAlign w:val="superscript"/>
        </w:rPr>
        <w:t>®</w:t>
      </w:r>
      <w:r>
        <w:rPr>
          <w:rFonts w:ascii="Arial" w:cs="Arial" w:eastAsia="Arial" w:hAnsi="Arial"/>
          <w:sz w:val="16"/>
          <w:szCs w:val="16"/>
          <w:color w:val="auto"/>
        </w:rPr>
        <w:t>, Triple Drop</w:t>
      </w:r>
      <w:r>
        <w:rPr>
          <w:rFonts w:ascii="Arial" w:cs="Arial" w:eastAsia="Arial" w:hAnsi="Arial"/>
          <w:sz w:val="26"/>
          <w:szCs w:val="26"/>
          <w:color w:val="auto"/>
          <w:vertAlign w:val="superscript"/>
        </w:rPr>
        <w:t>®</w:t>
      </w:r>
      <w:r>
        <w:rPr>
          <w:rFonts w:ascii="Arial" w:cs="Arial" w:eastAsia="Arial" w:hAnsi="Arial"/>
          <w:sz w:val="16"/>
          <w:szCs w:val="16"/>
          <w:color w:val="auto"/>
        </w:rPr>
        <w:t>, ED Free</w:t>
      </w:r>
      <w:r>
        <w:rPr>
          <w:rFonts w:ascii="Arial" w:cs="Arial" w:eastAsia="Arial" w:hAnsi="Arial"/>
          <w:sz w:val="26"/>
          <w:szCs w:val="26"/>
          <w:color w:val="auto"/>
          <w:vertAlign w:val="superscript"/>
        </w:rPr>
        <w:t>®</w:t>
      </w:r>
      <w:r>
        <w:rPr>
          <w:rFonts w:ascii="Arial" w:cs="Arial" w:eastAsia="Arial" w:hAnsi="Arial"/>
          <w:sz w:val="16"/>
          <w:szCs w:val="16"/>
          <w:color w:val="auto"/>
        </w:rPr>
        <w:t>, Defeat IC</w:t>
      </w:r>
      <w:r>
        <w:rPr>
          <w:rFonts w:ascii="Arial" w:cs="Arial" w:eastAsia="Arial" w:hAnsi="Arial"/>
          <w:sz w:val="26"/>
          <w:szCs w:val="26"/>
          <w:color w:val="auto"/>
          <w:vertAlign w:val="superscript"/>
        </w:rPr>
        <w:t>©</w:t>
      </w:r>
      <w:r>
        <w:rPr>
          <w:rFonts w:ascii="Arial" w:cs="Arial" w:eastAsia="Arial" w:hAnsi="Arial"/>
          <w:sz w:val="16"/>
          <w:szCs w:val="16"/>
          <w:color w:val="auto"/>
        </w:rPr>
        <w:t>, Say Goodbye</w:t>
      </w:r>
      <w:r>
        <w:rPr>
          <w:rFonts w:ascii="Arial" w:cs="Arial" w:eastAsia="Arial" w:hAnsi="Arial"/>
          <w:sz w:val="26"/>
          <w:szCs w:val="26"/>
          <w:color w:val="auto"/>
          <w:vertAlign w:val="superscript"/>
        </w:rPr>
        <w:t>©</w:t>
      </w:r>
      <w:r>
        <w:rPr>
          <w:rFonts w:ascii="Arial" w:cs="Arial" w:eastAsia="Arial" w:hAnsi="Arial"/>
          <w:sz w:val="16"/>
          <w:szCs w:val="16"/>
          <w:color w:val="auto"/>
        </w:rPr>
        <w:t>, PPS-DR</w:t>
      </w:r>
      <w:r>
        <w:rPr>
          <w:rFonts w:ascii="Arial" w:cs="Arial" w:eastAsia="Arial" w:hAnsi="Arial"/>
          <w:sz w:val="26"/>
          <w:szCs w:val="26"/>
          <w:color w:val="auto"/>
          <w:vertAlign w:val="superscript"/>
        </w:rPr>
        <w:t>®</w:t>
      </w:r>
      <w:r>
        <w:rPr>
          <w:rFonts w:ascii="Arial" w:cs="Arial" w:eastAsia="Arial" w:hAnsi="Arial"/>
          <w:sz w:val="16"/>
          <w:szCs w:val="16"/>
          <w:color w:val="auto"/>
        </w:rPr>
        <w:t>, Stericheck™, Pred-Moxi-Ketor™, Pred-Moxi-Brom™, Pred-Ketor</w:t>
      </w:r>
      <w:r>
        <w:rPr>
          <w:rFonts w:ascii="Arial" w:cs="Arial" w:eastAsia="Arial" w:hAnsi="Arial"/>
          <w:sz w:val="26"/>
          <w:szCs w:val="26"/>
          <w:color w:val="auto"/>
          <w:vertAlign w:val="superscript"/>
        </w:rPr>
        <w:t>®</w:t>
      </w:r>
      <w:r>
        <w:rPr>
          <w:rFonts w:ascii="Arial" w:cs="Arial" w:eastAsia="Arial" w:hAnsi="Arial"/>
          <w:sz w:val="16"/>
          <w:szCs w:val="16"/>
          <w:color w:val="auto"/>
        </w:rPr>
        <w:t>, Dex-Moxi</w:t>
      </w:r>
      <w:r>
        <w:rPr>
          <w:rFonts w:ascii="Arial" w:cs="Arial" w:eastAsia="Arial" w:hAnsi="Arial"/>
          <w:sz w:val="26"/>
          <w:szCs w:val="26"/>
          <w:color w:val="auto"/>
          <w:vertAlign w:val="superscript"/>
        </w:rPr>
        <w:t>®</w:t>
      </w:r>
      <w:r>
        <w:rPr>
          <w:rFonts w:ascii="Arial" w:cs="Arial" w:eastAsia="Arial" w:hAnsi="Arial"/>
          <w:sz w:val="16"/>
          <w:szCs w:val="16"/>
          <w:color w:val="auto"/>
        </w:rPr>
        <w:t>, Combination Drop Therapy™, Compounded Alternative™, Compounded Choice™, Custom Compounding™, Custom Compounding Choice</w:t>
      </w:r>
      <w:r>
        <w:rPr>
          <w:rFonts w:ascii="Arial" w:cs="Arial" w:eastAsia="Arial" w:hAnsi="Arial"/>
          <w:sz w:val="26"/>
          <w:szCs w:val="26"/>
          <w:color w:val="auto"/>
          <w:vertAlign w:val="superscript"/>
        </w:rPr>
        <w:t>TM</w:t>
      </w:r>
      <w:r>
        <w:rPr>
          <w:rFonts w:ascii="Arial" w:cs="Arial" w:eastAsia="Arial" w:hAnsi="Arial"/>
          <w:sz w:val="16"/>
          <w:szCs w:val="16"/>
          <w:color w:val="auto"/>
        </w:rPr>
        <w:t>, Pred-Gati™, Pred-Gati-Nepaf™, Pred-Nepaf™, Correct Compound™, Making Drugs Affordable Again™, Superbundle™, People-Focused™, MKO Melt™, IV Free™, Imprimis Dropless Cataract Therapy</w:t>
      </w:r>
      <w:r>
        <w:rPr>
          <w:rFonts w:ascii="Arial" w:cs="Arial" w:eastAsia="Arial" w:hAnsi="Arial"/>
          <w:sz w:val="26"/>
          <w:szCs w:val="26"/>
          <w:color w:val="auto"/>
          <w:vertAlign w:val="superscript"/>
        </w:rPr>
        <w:t>®</w:t>
      </w:r>
      <w:r>
        <w:rPr>
          <w:rFonts w:ascii="Arial" w:cs="Arial" w:eastAsia="Arial" w:hAnsi="Arial"/>
          <w:sz w:val="16"/>
          <w:szCs w:val="16"/>
          <w:color w:val="auto"/>
        </w:rPr>
        <w:t>, LessDrops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(logo),</w:t>
      </w:r>
    </w:p>
    <w:p>
      <w:pPr>
        <w:spacing w:after="0" w:line="4"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Imprimis LessDrops</w:t>
      </w:r>
      <w:r>
        <w:rPr>
          <w:rFonts w:ascii="Arial" w:cs="Arial" w:eastAsia="Arial" w:hAnsi="Arial"/>
          <w:sz w:val="30"/>
          <w:szCs w:val="30"/>
          <w:color w:val="auto"/>
          <w:vertAlign w:val="superscript"/>
        </w:rPr>
        <w:t>®</w:t>
      </w:r>
      <w:r>
        <w:rPr>
          <w:rFonts w:ascii="Arial" w:cs="Arial" w:eastAsia="Arial" w:hAnsi="Arial"/>
          <w:sz w:val="18"/>
          <w:szCs w:val="18"/>
          <w:color w:val="auto"/>
        </w:rPr>
        <w:t>, Imprimis Dropless Cataract Surgery</w:t>
      </w:r>
      <w:r>
        <w:rPr>
          <w:rFonts w:ascii="Arial" w:cs="Arial" w:eastAsia="Arial" w:hAnsi="Arial"/>
          <w:sz w:val="30"/>
          <w:szCs w:val="30"/>
          <w:color w:val="auto"/>
          <w:vertAlign w:val="superscript"/>
        </w:rPr>
        <w:t>®</w:t>
      </w:r>
      <w:r>
        <w:rPr>
          <w:rFonts w:ascii="Arial" w:cs="Arial" w:eastAsia="Arial" w:hAnsi="Arial"/>
          <w:sz w:val="18"/>
          <w:szCs w:val="18"/>
          <w:color w:val="auto"/>
        </w:rPr>
        <w:t>, Pred-Gati™, Pred-Gati-Nepaf™, Pred-Nepaf™, Pred-Gati-Brom™, Pred-Gati-Ketor™, Dex-Moxi-Ketor™, Moxi™, Dex-Gati™, Correct Compound™, Lat™, Lat-Ds™, Tim-Lat™, Tim-Dor-Lat™, Tim-Brim-Dor™, Tim-Brim-Dor-Lat™, Pred-Levo-Ketor™, Pred-Levo-Brom™, Pred-Levo-Nepaf™, Tri-Moxi-Vanc™, Smartdrops™, Smarteyedrops™, Serum Tears™, Plasma Tears™, PRP Tears™, Omegadoxy™, Double Drop™, Quad Drop™, Lower Drops™, Simple Drops™, and Glaucoma Care™. We may choose to pursue trademark protection in other jurisdictions for one or more of these or other marks in the future. All other trademarks, service marks and trade names included or incorporated by reference into this Annual Report, are the property of their respective owners.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an ophthalmology-focused pharmaceutical company specialized in the development, production and sale of innovative medications that offer unique competitive advantages and serve unmet needs in the marketplace. We are committed to our company’s mission, of delivering high-quality novel medications to physicians and patients at affordable prices. We currently operate our business through several subsidiaries: ImprimisRx, a leading ophthalmology focused compounding business; Park Compounding, a custom compounding business focused on patient-specific orders; and Surface Pharmaceuticals, Inc. (or Surface), an ocular surface disease-focused 505(b)(2) specialty pharmaceutical subsidiary. We also own a passive interest, with royalty stakes on certain drug candidates, in Eton Pharmaceuticals, Inc. (or Eton), a specialty pharmaceutical business utilizing the 505(b)(2) pathway, which Imprimis spun-out in 2017.</w:t>
      </w:r>
    </w:p>
    <w:p>
      <w:pPr>
        <w:spacing w:after="0" w:line="1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Nearly all of our sales revenue is derived from making, selling and dispensing our prescription drug formulations as cash transactions between us and our end-user customer. As such, the majority of our commercial transactions do not involve distributors, wholesalers, insurance companies, pharmacy benefit managers or other middle parties. By not being reliant on insurance company formulary inclusion and pharmacy benefit manager payment clawbacks, we are able to simplify the prescription transaction process. We believe the outcome of our business model is a simple transaction, involving a patient-in-need, a physician’s diagnosis and a fair price and great service for a quality pharmaceutical product. We sell our products through a network of employees and independent contractors and we dispense our formulations in all 50 states, Puerto Rico and in selected markets outside the United States.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By building relationships with physicians to help them better care for their patients, we have become a trusted partner to a growing network of physician inventors who have relied on us to help develop their ideas into new pharmaceutical formulations. We work collaboratively with our physician inventors to identify and evaluate intellectual property related to their potential pharmaceutical drug candidates, assess relevant markets, and seek to validate any clinical experience they may have with the formulation. Our objective is to commercialize the formulation either as a compounded formulation or as an FDA approved product.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 w:name="page5"/>
    <w:bookmarkEnd w:id="4"/>
    <w:p>
      <w:pPr>
        <w:jc w:val="both"/>
        <w:ind w:firstLine="648"/>
        <w:spacing w:after="0" w:line="302" w:lineRule="auto"/>
        <w:rPr>
          <w:sz w:val="20"/>
          <w:szCs w:val="20"/>
          <w:color w:val="auto"/>
        </w:rPr>
      </w:pPr>
      <w:r>
        <w:rPr>
          <w:rFonts w:ascii="Arial" w:cs="Arial" w:eastAsia="Arial" w:hAnsi="Arial"/>
          <w:sz w:val="16"/>
          <w:szCs w:val="16"/>
          <w:color w:val="auto"/>
        </w:rPr>
        <w:t>We have recurring operating losses and have had negative operating cash flows since July 24, 1998 (inception). In addition, we have an accumulated deficit of approximately $88,836,000 at December 31, 2017. Beginning on April 1, 2014, when we acquired our first compounding pharmacy, we began generating revenue from sales of certain of our proprietary drug formulations and other non-proprietary formulations; however, we expect to incur further losses as we integrate and develop our pharmacy operations, evaluate other programs and continue the development of our formulations.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Compounding Businesses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Compounding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of our commercial products are compounded by combining different active pharmaceutical ingredients (APIs), all of which are FDA-approved (either as a finished form or as a bulk drug ingredient), to create specialized preparations prescribed by a physician to treat an individually identified patient. Physicians prescribe our products because a standard medication approved by the FDA may not be appropriate for a particular patient’s needs. In many cases, compounded drugs such as ours have wide market utility and may be clinically appropriate for large patient populations. Examples of compounded formulations include medications with alternative dosage strengths or unique dosage forms, such as topical creams or gels, suspensions, or solutions with more tolerable drug delivery vehicles.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Compounding Facilities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Pharmaceutical compounding businesses are governed by Sections 503A and 503B of the Federal Food Drug and Cosmetic Act (the “FDCA”). Section 503A of the FDCA provides that a pharmacy is only permitted to compound a drug for an individually identified patient based on a prescription for that patient, and is only permitted to distribute the drug interstate if the pharmacy is licensed to do so in the states where it is compounded and where the medication is received.</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503B of the FDCA provides that a pharmacy engaged in preparing sterile compounded drug formulations may voluntarily elect to register as an “outsourcing facility.” Outsourcing facilities are permitted to compound large quantities of drugs without a prescription and distribute them out of state with certain limitations such as the formulation appearing on the FDA’s drug shortage list or the bulk drug substances contained in the formulations appearing on the FDA’s “clinical need” list. Entities voluntarily registering as outsourcing facilities are subject to additional requirements that do not apply to compounding pharmacies (operating under Section 503A of the FDCA), including adhering to current good manufacturing practices (cGMP) and being subject to regular FDA inspection.</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three compounding facilities. Our New Jersey operations comprises two separate entities and facilities, with one facility registered with the FDA as an outsourcing facility (“NJOF”) under Section 503B of the FDCA. The other New Jersey facility (“RxNJ”), and Park Compounding, Inc. (“Park”), our California based pharmacy, are both licensed pharmacies operating under Sections 503A of the FDCA. All products that we sell, produce and dispense are made in the United States of America.</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with our current compounding pharmacy facilities and licenses and the successful completion and FDA registration of NJOF, we have the infrastructure to scale our business appropriately under the current regulatory landscape and meet the growth in demand we are targeting. We plan to invest in one or more of our pharmacies to further their capacity and efficiencies. Also, we may seek to access greater redundancy and markets through acquisitions, partnerships or other strategic transactions.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ImprimisRx</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ImprimisRx is our core ophthalmology focused compounding business. We offer our 1,700+ physician customers and their patients critical medicines to meet needs that are unmet by commercially available drugs. We make our formulations available at prices that are, in most cases, lower than non-customized commercial drugs. Our current ophthalmology formulary includes over twenty compounded formulations, many of which are patented or patent-pending, and are customized for the specific needs of a patient. Our compounded medications include various unique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facilities, or for in-office use made according to cGMPs in our FDA-registered NJOF outsourcing facility).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Ophthalmology Market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three largest markets in the ophthalmology market in the U.S. are ocular surgery, glaucoma and dry eye disease.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any ocular procedure, a surgeon may require drugs for sedation, dilation, and inflammation and infection prevention. The cataract surgery market continues to experience significant growth. According to a 2013 Market Scope report, 3.8 million cataract surgeries are performed annually in the U.S. and nearly 22 million cataract surgeries were performed globally, with expected annual market growth of approximately 3%. The National Eye Institute estimates that over 24 million Americans currently have cataracts and that this number will grow to 38 million by 2030 and reach more than 50 million by 2050. Transparency Market Research estimates that the ophthalmology drug market will reach an estimated $21.6 billion by 2018. In addition to the 3.8 million cataract surgeries performed annually in the U.S., the American Academy of Ophthalmology (AAO) estimates that over one-half of Americans require some form of vision correction and 43 million of these individuals are candidates for refractive surgery. Nearly 96 percent of the refractive surgery procedures performed are LASIK (laser in situ keratomileusis) surgeries, an outpatient surgical procedure used to treat nearsightedness, farsightedness, and astigmatism. According to Statista, an estimated 600,000 LASIK procedures were performed in the U.S. in 2015.</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 w:name="page6"/>
    <w:bookmarkEnd w:id="5"/>
    <w:p>
      <w:pPr>
        <w:jc w:val="both"/>
        <w:ind w:firstLine="648"/>
        <w:spacing w:after="0" w:line="266" w:lineRule="auto"/>
        <w:rPr>
          <w:sz w:val="20"/>
          <w:szCs w:val="20"/>
          <w:color w:val="auto"/>
        </w:rPr>
      </w:pPr>
      <w:r>
        <w:rPr>
          <w:rFonts w:ascii="Arial" w:cs="Arial" w:eastAsia="Arial" w:hAnsi="Arial"/>
          <w:sz w:val="16"/>
          <w:szCs w:val="16"/>
          <w:color w:val="auto"/>
        </w:rPr>
        <w:t>According to the Glaucoma Research Foundation, there are over 3 million Americans with glaucoma but only half are aware they have it. Open-angle glaucoma (the most common type of glaucoma) is a condition of increased intraocular pressure that causes gradual loss of sight. Glaucoma is incurable, and if not managed can lead to blindness. Generally, the first line of treatment consists of a prostaglandin analogue (PGA) eye drop regimen. As the disease progresses, non-PGA products are generally added as a second line treatment. Topical agents, other than PGAs, include beta blockers, alpha agonists, miotics and steroids. Up to 50 percent of glaucoma patients require more than one drug following a few months of initial treatment, however the FDA has yet to approve a PGA combination product despite combination products including a PGA (Xalacom</w:t>
      </w:r>
      <w:r>
        <w:rPr>
          <w:rFonts w:ascii="Arial" w:cs="Arial" w:eastAsia="Arial" w:hAnsi="Arial"/>
          <w:sz w:val="26"/>
          <w:szCs w:val="26"/>
          <w:color w:val="auto"/>
          <w:vertAlign w:val="superscript"/>
        </w:rPr>
        <w:t>®</w:t>
      </w:r>
      <w:r>
        <w:rPr>
          <w:rFonts w:ascii="Arial" w:cs="Arial" w:eastAsia="Arial" w:hAnsi="Arial"/>
          <w:sz w:val="16"/>
          <w:szCs w:val="16"/>
          <w:color w:val="auto"/>
        </w:rPr>
        <w:t>, DuoTrav</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Ganfort</w:t>
      </w:r>
      <w:r>
        <w:rPr>
          <w:rFonts w:ascii="Arial" w:cs="Arial" w:eastAsia="Arial" w:hAnsi="Arial"/>
          <w:sz w:val="26"/>
          <w:szCs w:val="26"/>
          <w:color w:val="auto"/>
          <w:vertAlign w:val="superscript"/>
        </w:rPr>
        <w:t>®</w:t>
      </w:r>
      <w:r>
        <w:rPr>
          <w:rFonts w:ascii="Arial" w:cs="Arial" w:eastAsia="Arial" w:hAnsi="Arial"/>
          <w:sz w:val="16"/>
          <w:szCs w:val="16"/>
          <w:color w:val="auto"/>
        </w:rPr>
        <w:t>) available outside of the U.S.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According to a 2017 Market Scope report, the glaucoma pharmaceuticals market is expected to reach $5.3 billion in 2022.</w:t>
      </w:r>
    </w:p>
    <w:p>
      <w:pPr>
        <w:spacing w:after="0" w:line="20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Dry eye occurs when the eye does not produce enough tears, or when the tears are not of the correct consistency and evaporate too quickly. Inflammation of the surface of the eye may also occur. We believe that dry eye disease, or DED, affects over 30 million people in the United States, and a major epidemiological study, the Beaver Dam Offspring Study, published in 2014 in the American Journal of Ophthalmology, reported that in a cohort of over 3,000 patients, DED was self-reported by 14.5% of the patients. According to a 2017 Market Scope report, the global dry eye treatments market is expected to grow from $3.7 billion in 2017 to $4.9 billion in 2022. Dry eye is among the most common conditions seen by eye care professionals.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 Compounding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Park, our wholly owned subsidiary pharmacy based in Irvine, California, is focused on customizable pharmaceutical compounding. Park dispenses sterile and non-sterile compounded medications prescribed by licensed practitioners when commercially available choices do not meet a patient’s needs. Park also produces and dispenses certain of our ophthalmology based formulations.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505(b)(2) Specialty Pharmaceuticals Business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2017, through our subsidiary Surface Pharmaceuticals, Inc. and our former subsidiary (currently a passive non-controlling ownership interest in) Eton Pharmaceuticals Inc. we began and continue to, pursue FDA approval to market and sell one or more of our formulations through the FDA’s new drug application (NDA) process. Both Surface and Eton are pursuing FDA approvals for their drug candidates through a traditional approval under the FDCA, including Section 505(b)(2) which permits the submission of an NDA where at least some of the information required for approval comes from studies not conducted by or for the applicant and for which the applicant has not obtained a right of reference.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Surface Pharmaceuticals, Inc.</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Surface is a biopharmaceutical company focused on development and commercialization of innovative therapeutics for ocular surface diseases and is seeking FDA approval for the commercialization of its drug candidates through the Section 505(b)(2) regulatory pathway under the FDCA. In the fourth quarter of 2017, Imprimis transferred to Surface its current drug pipeline, which consists of three proprietary drug candidates. Our patent-pending</w:t>
      </w:r>
    </w:p>
    <w:p>
      <w:pPr>
        <w:jc w:val="both"/>
        <w:spacing w:after="0" w:line="224" w:lineRule="auto"/>
        <w:rPr>
          <w:sz w:val="20"/>
          <w:szCs w:val="20"/>
          <w:color w:val="auto"/>
        </w:rPr>
      </w:pPr>
      <w:r>
        <w:rPr>
          <w:rFonts w:ascii="Arial" w:cs="Arial" w:eastAsia="Arial" w:hAnsi="Arial"/>
          <w:sz w:val="18"/>
          <w:szCs w:val="18"/>
          <w:color w:val="auto"/>
        </w:rPr>
        <w:t>preservative-free topical eye drop drug candidates, SURF-100 and SURF-200, utilize a patented delivery vehicle known as Klarity Drops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(“Klarity”), that was invented by Imprimis board member and Surface’s chairman of the board and renowned ophthalmologist Dr. Richard Lindstrom. Klarity is designed to protect and rehabilitate the ocular surface pathology for patients with DED. Our drug candidate SURF-300 is a patent-pending oral capsule that will target patients also suffering from DED signs &amp; symptoms.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Surface Drug Candidates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DED is a common, but complex disease of the ocular surface. Surface drug candidates have been formulated to target certain patient profiles that suffer from dry eye and the patients who do not respond well to current approved therapies:</w:t>
      </w:r>
    </w:p>
    <w:p>
      <w:pPr>
        <w:spacing w:after="0" w:line="166" w:lineRule="exact"/>
        <w:rPr>
          <w:sz w:val="20"/>
          <w:szCs w:val="20"/>
          <w:color w:val="auto"/>
        </w:rPr>
      </w:pPr>
    </w:p>
    <w:p>
      <w:pPr>
        <w:jc w:val="both"/>
        <w:ind w:left="660" w:hanging="328"/>
        <w:spacing w:after="0" w:line="314"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SURF-100 </w:t>
      </w:r>
      <w:r>
        <w:rPr>
          <w:rFonts w:ascii="Arial" w:cs="Arial" w:eastAsia="Arial" w:hAnsi="Arial"/>
          <w:sz w:val="16"/>
          <w:szCs w:val="16"/>
          <w:color w:val="auto"/>
        </w:rPr>
        <w:t>marries Klarity with mycophenolic acid, an immunosuppressive drug, which we believe has a different mechanism of action to current</w:t>
      </w:r>
      <w:r>
        <w:rPr>
          <w:rFonts w:ascii="Arial" w:cs="Arial" w:eastAsia="Arial" w:hAnsi="Arial"/>
          <w:sz w:val="16"/>
          <w:szCs w:val="16"/>
          <w:b w:val="1"/>
          <w:bCs w:val="1"/>
          <w:color w:val="auto"/>
        </w:rPr>
        <w:t xml:space="preserve"> </w:t>
      </w:r>
      <w:r>
        <w:rPr>
          <w:rFonts w:ascii="Arial" w:cs="Arial" w:eastAsia="Arial" w:hAnsi="Arial"/>
          <w:sz w:val="16"/>
          <w:szCs w:val="16"/>
          <w:color w:val="auto"/>
        </w:rPr>
        <w:t>approved DED therapies but ultimately inhibit t-cell proliferation and replication, which is similar to other approved DED therapies. We believe if approved, SURF-100 may be a first-line therapeutic choice for the nearly 9 million patients suffering from chronic, mild to moderate DED.</w:t>
      </w:r>
    </w:p>
    <w:p>
      <w:pPr>
        <w:spacing w:after="0" w:line="142" w:lineRule="exact"/>
        <w:rPr>
          <w:rFonts w:ascii="Arial" w:cs="Arial" w:eastAsia="Arial" w:hAnsi="Arial"/>
          <w:sz w:val="16"/>
          <w:szCs w:val="16"/>
          <w:color w:val="auto"/>
        </w:rPr>
      </w:pPr>
    </w:p>
    <w:p>
      <w:pPr>
        <w:jc w:val="both"/>
        <w:ind w:left="660" w:hanging="328"/>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SURF-200 </w:t>
      </w:r>
      <w:r>
        <w:rPr>
          <w:rFonts w:ascii="Arial" w:cs="Arial" w:eastAsia="Arial" w:hAnsi="Arial"/>
          <w:sz w:val="18"/>
          <w:szCs w:val="18"/>
          <w:color w:val="auto"/>
        </w:rPr>
        <w:t>is our drug candidate for the estimated 13 million patients suffering from episodic DED, which encompasses flares of moderate to severe</w:t>
      </w:r>
      <w:r>
        <w:rPr>
          <w:rFonts w:ascii="Arial" w:cs="Arial" w:eastAsia="Arial" w:hAnsi="Arial"/>
          <w:sz w:val="18"/>
          <w:szCs w:val="18"/>
          <w:b w:val="1"/>
          <w:bCs w:val="1"/>
          <w:color w:val="auto"/>
        </w:rPr>
        <w:t xml:space="preserve"> </w:t>
      </w:r>
      <w:r>
        <w:rPr>
          <w:rFonts w:ascii="Arial" w:cs="Arial" w:eastAsia="Arial" w:hAnsi="Arial"/>
          <w:sz w:val="18"/>
          <w:szCs w:val="18"/>
          <w:color w:val="auto"/>
        </w:rPr>
        <w:t>signs and symptoms of dry eye and typically disables patients in their daily lives. SURF-200 also utilizes Klarity as its delivery vehicle and a well-known steroid, betamethasone, and will be used for a shorter-duration (e.g. two weeks) of therapy as symptoms are presented. We also believe that SURF-200 may be used to treat ocular inflammation and pain following ocular surgery, and we intend to pursue that label indication as part of our overall development program.</w:t>
      </w:r>
    </w:p>
    <w:p>
      <w:pPr>
        <w:spacing w:after="0" w:line="183" w:lineRule="exact"/>
        <w:rPr>
          <w:rFonts w:ascii="Arial" w:cs="Arial" w:eastAsia="Arial" w:hAnsi="Arial"/>
          <w:sz w:val="18"/>
          <w:szCs w:val="18"/>
          <w:color w:val="auto"/>
        </w:rPr>
      </w:pPr>
    </w:p>
    <w:p>
      <w:pPr>
        <w:jc w:val="both"/>
        <w:ind w:left="660" w:hanging="328"/>
        <w:spacing w:after="0" w:line="272"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SURF-300 </w:t>
      </w:r>
      <w:r>
        <w:rPr>
          <w:rFonts w:ascii="Arial" w:cs="Arial" w:eastAsia="Arial" w:hAnsi="Arial"/>
          <w:sz w:val="17"/>
          <w:szCs w:val="17"/>
          <w:color w:val="auto"/>
        </w:rPr>
        <w:t>is our drug candidate for the estimated 8 million refractory DED patients with chronic DED symptoms who have not yet responded to</w:t>
      </w:r>
      <w:r>
        <w:rPr>
          <w:rFonts w:ascii="Arial" w:cs="Arial" w:eastAsia="Arial" w:hAnsi="Arial"/>
          <w:sz w:val="17"/>
          <w:szCs w:val="17"/>
          <w:b w:val="1"/>
          <w:bCs w:val="1"/>
          <w:color w:val="auto"/>
        </w:rPr>
        <w:t xml:space="preserve"> </w:t>
      </w:r>
      <w:r>
        <w:rPr>
          <w:rFonts w:ascii="Arial" w:cs="Arial" w:eastAsia="Arial" w:hAnsi="Arial"/>
          <w:sz w:val="17"/>
          <w:szCs w:val="17"/>
          <w:color w:val="auto"/>
        </w:rPr>
        <w:t>any of the existing therapies. It is a combination of a low-dose of doxycycline (an antibiotic) and a proprietary powderized, triglyceride Omega-3. Our patent-pending formulation has already demonstrated strong potential as drug candidate for these patients in an uncontrolled, small setting as a compounded drug: out of the 31 patients taking the compounded drug, 29 (94%) reported significant improvement in their DED signs and symptoms after 30 to 60 days. Additionally, investigators reported a marked improvement in Meibomian gland function, which we believe may be a strong implication for a label expansion for blepharitis. Blepharitis, which can also be caused by a bacterial infection, is an inflammation of the eyelid that causes inflamed, irritated, itchy and reddened eyelids, that we believe affects nearly 25 million people in the United States, with an estimated drug market in excess of $500 million and has no FDA approved pharmaceutical therapy.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 w:name="page7"/>
    <w:bookmarkEnd w:id="6"/>
    <w:p>
      <w:pPr>
        <w:jc w:val="both"/>
        <w:ind w:firstLine="648"/>
        <w:spacing w:after="0" w:line="264" w:lineRule="auto"/>
        <w:rPr>
          <w:sz w:val="20"/>
          <w:szCs w:val="20"/>
          <w:color w:val="auto"/>
        </w:rPr>
      </w:pPr>
      <w:r>
        <w:rPr>
          <w:rFonts w:ascii="Arial" w:cs="Arial" w:eastAsia="Arial" w:hAnsi="Arial"/>
          <w:sz w:val="18"/>
          <w:szCs w:val="18"/>
          <w:color w:val="auto"/>
        </w:rPr>
        <w:t>We currently intend to finance Surface as a separate entity, and will likely lose our controlling interest. We are currently in discussions with various investment banks and investors, and we hope to close an initial round of financing for Surface during 2018. If successful in financing Surface, in addition to our equity position, we will maintain a single digit royalty on sales of contributed drug candidates.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Richard Lindstrom’s participation in Surface, Mark L. Baum, our CEO, Andrew R. Boll, our CFO, are members of the Surface board of directors. Mr. Boll and Mr. Baum, along with other Imprimis employees have entered into consulting agreements with Surface.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Eton Pharmaceuticals, Inc.</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Eton is a biopharmaceutical company focused on developing and commercializing innovative products utilizing FDA’s 505(b)(2) regulatory pathway. Its pipeline includes nearly a dozen products in various stages of development across a variety of dosage forms. Eton’s pipeline is focused on innovative 505(b)(2) products and marketed unapproved drugs.</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May 2017, we entered into two asset purchase and license agreements (the “Eton License Agreements”) with our previously wholly owned subsidiary, Eton. Pursuant to the terms of the Eton License Agreements, we assigned and licensed to Eton certain intellectual property and related rights to develop, formulate, make, sell, and sub-license our proprietary formulations of synthetic corticotropin (Eton drug candidate CT-100) and a patented injectable pentoxifylline (collectively, the “Imprimis Products”). Eton intends to seek FDA approval for the commercialization of these drug candidates through the Section 505(b)(2) regulatory pathway. If these drug candidates are approved by the FDA, Eton is required to make royalty payments to us on the Imprimis Products. In addition to the Imprimis Products, Eton has acquired several additional 505(b)(2) drug candidates and ones that qualify under the Drug Efficacy Study Implementation (DESI) program which it plans to develop and commercialize through the 505(b)(2) pathway. Imprimis is only eligible to receive royalties on the Imprimis Products (corticotropin and pentoxifylline), and will not receive royalties on any other drug candidates currently being developed by Eton.</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Eton License Agreements became effective in June 2017, when Eton closed an offering of its Series A Preferred Stock for gross proceeds of approximately $20 million (the “Series A Round”). At the time of closing we lost our controlling interest, and deconsolidated Eton from our consolidated financial statements. We currently own 3.5 million shares of Eton common stock, which is approximately 27% of the equity and voting interests issued and outstanding of Eton following the close of the Series A Round.</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October 2017, Eton had a Pre-IND meeting with FDA to discuss clinical trial requirements for CT-100. The FDA requested Eton run a single efficacy clinical trial. Eton expects to initiate the trial in the second half of 2018. Eton intends to have initial discussions with FDA regarding clinical trial requirements for its pentoxifylline drug candidate some time during 2018.</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Mark L. Baum, our CEO is a member of the Eton board of directors, and Andrew R. Boll, our CFO, was a member of the Eton board of directors until his resignation from the Eton board in July 2017. Mr. Boll and Mr. Baum, along with other Imprimis employees have entered into consulting agreements with Eton.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505(b)(2) New Drug Applications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As discussed in more detail above under the sub-headings </w:t>
      </w:r>
      <w:r>
        <w:rPr>
          <w:rFonts w:ascii="Arial" w:cs="Arial" w:eastAsia="Arial" w:hAnsi="Arial"/>
          <w:sz w:val="16"/>
          <w:szCs w:val="16"/>
          <w:i w:val="1"/>
          <w:iCs w:val="1"/>
          <w:color w:val="auto"/>
        </w:rPr>
        <w:t>Surface Pharmaceuticals, Inc.</w:t>
      </w:r>
      <w:r>
        <w:rPr>
          <w:rFonts w:ascii="Arial" w:cs="Arial" w:eastAsia="Arial" w:hAnsi="Arial"/>
          <w:sz w:val="16"/>
          <w:szCs w:val="16"/>
          <w:color w:val="auto"/>
        </w:rPr>
        <w:t xml:space="preserve"> and </w:t>
      </w:r>
      <w:r>
        <w:rPr>
          <w:rFonts w:ascii="Arial" w:cs="Arial" w:eastAsia="Arial" w:hAnsi="Arial"/>
          <w:sz w:val="16"/>
          <w:szCs w:val="16"/>
          <w:i w:val="1"/>
          <w:iCs w:val="1"/>
          <w:color w:val="auto"/>
        </w:rPr>
        <w:t>Eton Pharmaceuticals</w:t>
      </w:r>
      <w:r>
        <w:rPr>
          <w:rFonts w:ascii="Arial" w:cs="Arial" w:eastAsia="Arial" w:hAnsi="Arial"/>
          <w:sz w:val="16"/>
          <w:szCs w:val="16"/>
          <w:color w:val="auto"/>
        </w:rPr>
        <w:t xml:space="preserve">, </w:t>
      </w:r>
      <w:r>
        <w:rPr>
          <w:rFonts w:ascii="Arial" w:cs="Arial" w:eastAsia="Arial" w:hAnsi="Arial"/>
          <w:sz w:val="16"/>
          <w:szCs w:val="16"/>
          <w:i w:val="1"/>
          <w:iCs w:val="1"/>
          <w:color w:val="auto"/>
        </w:rPr>
        <w:t>Inc.</w:t>
      </w:r>
      <w:r>
        <w:rPr>
          <w:rFonts w:ascii="Arial" w:cs="Arial" w:eastAsia="Arial" w:hAnsi="Arial"/>
          <w:sz w:val="16"/>
          <w:szCs w:val="16"/>
          <w:color w:val="auto"/>
        </w:rPr>
        <w:t xml:space="preserve"> we own equity positions in two pharmaceutical companies and royalty interests in certain of their drug candidates. As an alternate path for FDA approval of new indications or new formulations of previously-approved products, a company may file a Section 505(b)(2) NDA instead of a “stand-alone” or “full” NDA. Section 505(b)(2) of the FDCA, was enacted as part of the Drug Price Competition and Patent Term Restoration Act of 1984, otherwise known as the Hatch-Waxman Amendments. Section 505(b)(2) permits the submission of an NDA where at least some of the information required for approval comes from studies not conducted by or for the applicant and for which the applicant has not obtained a right of reference. Some examples of products that may be allowed to follow a 505(b)(2) path to approval are drugs that have a new dosage form, strength, route of administration, formulation or indication.</w:t>
      </w:r>
    </w:p>
    <w:p>
      <w:pPr>
        <w:spacing w:after="0" w:line="16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Hatch-Waxman Amendments permit the applicant to rely upon certain published nonclinical or clinical studies conducted for an approved product or the FDA’s conclusions from prior review of such studies. The FDA may require companies to perform additional studies or measurements to support any changes from the approved product. The FDA may then approve the new product for all or some of the labeled indications for which the reference product has been approved, as well as for any new indication supported by the Section 505(b)(2) application. While references to nonclinical and clinical data not generated by the applicant or for which the applicant does not have a right of reference are allowed, all development, process, stability, qualification and validation data related to the manufacturing and quality of the new product must be included in an NDA submitted under Section 505(b)(2).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 w:name="page8"/>
    <w:bookmarkEnd w:id="7"/>
    <w:p>
      <w:pPr>
        <w:jc w:val="both"/>
        <w:ind w:firstLine="648"/>
        <w:spacing w:after="0" w:line="284" w:lineRule="auto"/>
        <w:rPr>
          <w:sz w:val="20"/>
          <w:szCs w:val="20"/>
          <w:color w:val="auto"/>
        </w:rPr>
      </w:pPr>
      <w:r>
        <w:rPr>
          <w:rFonts w:ascii="Arial" w:cs="Arial" w:eastAsia="Arial" w:hAnsi="Arial"/>
          <w:sz w:val="16"/>
          <w:szCs w:val="16"/>
          <w:color w:val="auto"/>
        </w:rPr>
        <w:t>To the extent that the Section 505(b)(2) applicant is relying on the FDA’s conclusions regarding studies conducted for an already approved product, the applicant is required to certify to the FDA concerning any patents listed for the approved product in the FDA’s Approved Drug Products with Therapeutic Equivalence Evaluations, or Orange Book.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Section 505(b)(2) application also will not be approved until any non-patent exclusivity, such as exclusivity for obtaining approval of a new chemical entity, listed in the Orange Book for the reference product has expired. Thus, the Section 505(b)</w:t>
      </w:r>
    </w:p>
    <w:p>
      <w:pPr>
        <w:spacing w:after="0" w:line="5" w:lineRule="exact"/>
        <w:rPr>
          <w:sz w:val="20"/>
          <w:szCs w:val="20"/>
          <w:color w:val="auto"/>
        </w:rPr>
      </w:pPr>
    </w:p>
    <w:p>
      <w:pPr>
        <w:jc w:val="both"/>
        <w:ind w:firstLine="8"/>
        <w:spacing w:after="0" w:line="255"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applicant may invest a significant amount of time and expense in the development of its products only to be subject to significant delay and patent litigation before its products may be commercialized. In addition to Surface and Eton, we may develop other subsidiary companies and drug candidates that pursue this approval pathway.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Although we believe that our proprietary drug formulations could have commercial appeal in international markets and we have engaged distributors and entered into out-licensing arrangements for certain of our proprietary formulations in certain non-U.S. markets, including Canada, we expect to continue to focus our sales and marketing efforts on our U.S. commercial opportunities during 2017. Our sales and marketing efforts are currently organized into two teams, the larger of which focuses on our ophthalmology compounding business and the other on our non-ophthalmology compounding business. Our sales and marketing activities consist primarily of efforts to educate doctors, ambulatory surgery centers, healthcare systems, hospitals and other users throughout the U.S. about our compounded formulations. We expect that we may experience growth in the sales of our proprietary compounded formulations in future periods, particularly in light of our current and planned launches of new formulations and commercialization campaigns. However, we may not be successful in doing so, whether due to the safety, quality or availability of our proprietary compounded formulations, the size of the markets for such formulations, which could be smaller than we expect, the timing of market entry relative to competitive products, the availability of alternative compounded formulations or FDA-approved drugs, the price of our compounded formulations relative to alternative products or the success of our sales and marketing efforts, which is dependent on our ability to build and grow a qualified and adequate internal sales function.</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2017 and 2018, we entered various sales and marketing agreements, with certain organizations, including the Cameron Ehlen Group, Inc. dba Precision Lens on April 13, 2017, to provide exclusive sales and marketing representation services to Imprimis in select geographies in the U.S., in connection with our ophthalmic compounded formulations. Under the terms of the sales and marketing agreements, we are required to make commission payments to equal to 10% - 14% of net sales for products above and beyond the initial existing sales amounts. In addition, we are required to make periodic milestone payments to certain organizations in shares of the our restricted common stock if net sales in the assigned territory reach certain future levels by the end of their terms, as applicable. We believe these sales and marketing agreements will accelerate launches of our new ophthalmology programs and limit our initial capital requirements commonly associated with new product launches and increased sizes of sales forces.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pharmaceutical and pharmacy industries are highly competitive. We compete against branded drug companies, generic drug companies, outsourcing facilities and other compounding pharmacies. We are significantly smaller than some of our competitors, and we may lack the financial and other resources needed to develop, produce, distribute, market and commercialize any of our proprietary formulations or compete for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some of our compounded formulations in accordance with cGMP standards and our other formulations are produced according to the standards provided by United States Pharmacopoeia (USP) &lt;795&gt; and USP &lt;797&gt; and applicable state and federal law, our proprietary compounded formulations are not required to be, and have not been, approved for marketing and sale by the FDA. As a result, some physicians may be unwilling to prescribe, and some patients may be unwilling to use, our formulations. Additionally, under federal and state laws applicable to our current compounding pharmacy operations operating under Section 503A of the FDCA,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who can in turn sell to and supply hospitals and retail pharmacies. Even though we have registered NJOF with the FDA, our business may not be scalable on the scope available to our competitors that produce FDA-approved drugs, which may limit our potential for profitable operations. These facets of our operations may subject our business to limitations our competitors offering FDA-approved drugs may not face.</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Biotechnology and related pharmaceutical technologies have undergone and continue to be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developing the products, which may require that we seek to raise additional funds that may or may not be available to continue our operations.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market share or achieve profitability.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success and ability to compete depends upon our ability to protect our intellectual property. We conduct a fulsome analysis of the intellectual property landscape prior to acquiring rights to formulations and filing patent applications. In addition, as of February 19, 2018, we owned and/or licensed 32 U.S. patent applications, including 31 utility (including continuation, continuation-in-part and divisional) and one provisional patent applications, and we owned nine international patent applications filed under the Patent Cooperation Treaty and 30 foreign patent applications. Although our ophthalmology-related patent applications include claims related to non-ophthalmology fields, we have primarily focused our intellectual property development efforts to date on the proprietary compounded formulations in the field of ophthalmology. We presently have 11 U.S. and nine foreign patent applications pending that relate to our SSP Technology. We expect to file additional patent applications in the U.S. and pursue patent protection for certain of our formulations in other important international jurisdictions in the future.</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As of February 19, 2018, we had worldwide 167 issued trademarks, pending trademark and copyright applications, or registered copyright and/or trademarks for Imprimis</w:t>
      </w:r>
      <w:r>
        <w:rPr>
          <w:rFonts w:ascii="Arial" w:cs="Arial" w:eastAsia="Arial" w:hAnsi="Arial"/>
          <w:sz w:val="26"/>
          <w:szCs w:val="26"/>
          <w:color w:val="auto"/>
          <w:vertAlign w:val="superscript"/>
        </w:rPr>
        <w:t>®</w:t>
      </w:r>
      <w:r>
        <w:rPr>
          <w:rFonts w:ascii="Arial" w:cs="Arial" w:eastAsia="Arial" w:hAnsi="Arial"/>
          <w:sz w:val="16"/>
          <w:szCs w:val="16"/>
          <w:color w:val="auto"/>
        </w:rPr>
        <w:t>, ImprimisRx</w:t>
      </w:r>
      <w:r>
        <w:rPr>
          <w:rFonts w:ascii="Arial" w:cs="Arial" w:eastAsia="Arial" w:hAnsi="Arial"/>
          <w:sz w:val="26"/>
          <w:szCs w:val="26"/>
          <w:color w:val="auto"/>
          <w:vertAlign w:val="superscript"/>
        </w:rPr>
        <w:t>®</w:t>
      </w:r>
      <w:r>
        <w:rPr>
          <w:rFonts w:ascii="Arial" w:cs="Arial" w:eastAsia="Arial" w:hAnsi="Arial"/>
          <w:sz w:val="16"/>
          <w:szCs w:val="16"/>
          <w:color w:val="auto"/>
        </w:rPr>
        <w:t>, Imprimis Pharmaceuticals</w:t>
      </w:r>
      <w:r>
        <w:rPr>
          <w:rFonts w:ascii="Arial" w:cs="Arial" w:eastAsia="Arial" w:hAnsi="Arial"/>
          <w:sz w:val="26"/>
          <w:szCs w:val="26"/>
          <w:color w:val="auto"/>
          <w:vertAlign w:val="superscript"/>
        </w:rPr>
        <w:t>®</w:t>
      </w:r>
      <w:r>
        <w:rPr>
          <w:rFonts w:ascii="Arial" w:cs="Arial" w:eastAsia="Arial" w:hAnsi="Arial"/>
          <w:sz w:val="16"/>
          <w:szCs w:val="16"/>
          <w:color w:val="auto"/>
        </w:rPr>
        <w:t>, Imprimis Cares®, Imprimis Cares!</w:t>
      </w:r>
      <w:r>
        <w:rPr>
          <w:rFonts w:ascii="Arial" w:cs="Arial" w:eastAsia="Arial" w:hAnsi="Arial"/>
          <w:sz w:val="26"/>
          <w:szCs w:val="26"/>
          <w:color w:val="auto"/>
          <w:vertAlign w:val="superscript"/>
        </w:rPr>
        <w:t>®</w:t>
      </w:r>
      <w:r>
        <w:rPr>
          <w:rFonts w:ascii="Arial" w:cs="Arial" w:eastAsia="Arial" w:hAnsi="Arial"/>
          <w:sz w:val="16"/>
          <w:szCs w:val="16"/>
          <w:color w:val="auto"/>
        </w:rPr>
        <w:t>, SSP Technology</w:t>
      </w:r>
      <w:r>
        <w:rPr>
          <w:rFonts w:ascii="Arial" w:cs="Arial" w:eastAsia="Arial" w:hAnsi="Arial"/>
          <w:sz w:val="26"/>
          <w:szCs w:val="26"/>
          <w:color w:val="auto"/>
          <w:vertAlign w:val="superscript"/>
        </w:rPr>
        <w:t>®</w:t>
      </w:r>
      <w:r>
        <w:rPr>
          <w:rFonts w:ascii="Arial" w:cs="Arial" w:eastAsia="Arial" w:hAnsi="Arial"/>
          <w:sz w:val="16"/>
          <w:szCs w:val="16"/>
          <w:color w:val="auto"/>
        </w:rPr>
        <w:t>, Dropless</w:t>
      </w:r>
      <w:r>
        <w:rPr>
          <w:rFonts w:ascii="Arial" w:cs="Arial" w:eastAsia="Arial" w:hAnsi="Arial"/>
          <w:sz w:val="26"/>
          <w:szCs w:val="26"/>
          <w:color w:val="auto"/>
          <w:vertAlign w:val="superscript"/>
        </w:rPr>
        <w:t>®</w:t>
      </w:r>
      <w:r>
        <w:rPr>
          <w:rFonts w:ascii="Arial" w:cs="Arial" w:eastAsia="Arial" w:hAnsi="Arial"/>
          <w:sz w:val="16"/>
          <w:szCs w:val="16"/>
          <w:color w:val="auto"/>
        </w:rPr>
        <w:t>, Go Dropless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Go Dropless! </w:t>
      </w:r>
      <w:r>
        <w:rPr>
          <w:rFonts w:ascii="Arial" w:cs="Arial" w:eastAsia="Arial" w:hAnsi="Arial"/>
          <w:sz w:val="26"/>
          <w:szCs w:val="26"/>
          <w:color w:val="auto"/>
          <w:vertAlign w:val="superscript"/>
        </w:rPr>
        <w:t>®</w:t>
      </w:r>
      <w:r>
        <w:rPr>
          <w:rFonts w:ascii="Arial" w:cs="Arial" w:eastAsia="Arial" w:hAnsi="Arial"/>
          <w:sz w:val="16"/>
          <w:szCs w:val="16"/>
          <w:color w:val="auto"/>
        </w:rPr>
        <w:t>, GoDropless</w:t>
      </w:r>
      <w:r>
        <w:rPr>
          <w:rFonts w:ascii="Arial" w:cs="Arial" w:eastAsia="Arial" w:hAnsi="Arial"/>
          <w:sz w:val="26"/>
          <w:szCs w:val="26"/>
          <w:color w:val="auto"/>
          <w:vertAlign w:val="superscript"/>
        </w:rPr>
        <w:t>®</w:t>
      </w:r>
      <w:r>
        <w:rPr>
          <w:rFonts w:ascii="Arial" w:cs="Arial" w:eastAsia="Arial" w:hAnsi="Arial"/>
          <w:sz w:val="16"/>
          <w:szCs w:val="16"/>
          <w:color w:val="auto"/>
        </w:rPr>
        <w:t>, LessDrops</w:t>
      </w:r>
      <w:r>
        <w:rPr>
          <w:rFonts w:ascii="Arial" w:cs="Arial" w:eastAsia="Arial" w:hAnsi="Arial"/>
          <w:sz w:val="26"/>
          <w:szCs w:val="26"/>
          <w:color w:val="auto"/>
          <w:vertAlign w:val="superscript"/>
        </w:rPr>
        <w:t>®</w:t>
      </w:r>
      <w:r>
        <w:rPr>
          <w:rFonts w:ascii="Arial" w:cs="Arial" w:eastAsia="Arial" w:hAnsi="Arial"/>
          <w:sz w:val="16"/>
          <w:szCs w:val="16"/>
          <w:color w:val="auto"/>
        </w:rPr>
        <w:t>, Dropless Cataract Surgery</w:t>
      </w:r>
      <w:r>
        <w:rPr>
          <w:rFonts w:ascii="Arial" w:cs="Arial" w:eastAsia="Arial" w:hAnsi="Arial"/>
          <w:sz w:val="26"/>
          <w:szCs w:val="26"/>
          <w:color w:val="auto"/>
          <w:vertAlign w:val="superscript"/>
        </w:rPr>
        <w:t>®</w:t>
      </w:r>
      <w:r>
        <w:rPr>
          <w:rFonts w:ascii="Arial" w:cs="Arial" w:eastAsia="Arial" w:hAnsi="Arial"/>
          <w:sz w:val="16"/>
          <w:szCs w:val="16"/>
          <w:color w:val="auto"/>
        </w:rPr>
        <w:t>, Dropless Cataract Therapy</w:t>
      </w:r>
      <w:r>
        <w:rPr>
          <w:rFonts w:ascii="Arial" w:cs="Arial" w:eastAsia="Arial" w:hAnsi="Arial"/>
          <w:sz w:val="26"/>
          <w:szCs w:val="26"/>
          <w:color w:val="auto"/>
          <w:vertAlign w:val="superscript"/>
        </w:rPr>
        <w:t>®</w:t>
      </w:r>
      <w:r>
        <w:rPr>
          <w:rFonts w:ascii="Arial" w:cs="Arial" w:eastAsia="Arial" w:hAnsi="Arial"/>
          <w:sz w:val="16"/>
          <w:szCs w:val="16"/>
          <w:color w:val="auto"/>
        </w:rPr>
        <w:t>, Dropless Therapy</w:t>
      </w:r>
      <w:r>
        <w:rPr>
          <w:rFonts w:ascii="Arial" w:cs="Arial" w:eastAsia="Arial" w:hAnsi="Arial"/>
          <w:sz w:val="26"/>
          <w:szCs w:val="26"/>
          <w:color w:val="auto"/>
          <w:vertAlign w:val="superscript"/>
        </w:rPr>
        <w:t>®</w:t>
      </w:r>
      <w:r>
        <w:rPr>
          <w:rFonts w:ascii="Arial" w:cs="Arial" w:eastAsia="Arial" w:hAnsi="Arial"/>
          <w:sz w:val="16"/>
          <w:szCs w:val="16"/>
          <w:color w:val="auto"/>
        </w:rPr>
        <w:t>, Tri-Moxi</w:t>
      </w:r>
      <w:r>
        <w:rPr>
          <w:rFonts w:ascii="Arial" w:cs="Arial" w:eastAsia="Arial" w:hAnsi="Arial"/>
          <w:sz w:val="26"/>
          <w:szCs w:val="26"/>
          <w:color w:val="auto"/>
          <w:vertAlign w:val="superscript"/>
        </w:rPr>
        <w:t>®</w:t>
      </w:r>
      <w:r>
        <w:rPr>
          <w:rFonts w:ascii="Arial" w:cs="Arial" w:eastAsia="Arial" w:hAnsi="Arial"/>
          <w:sz w:val="16"/>
          <w:szCs w:val="16"/>
          <w:color w:val="auto"/>
        </w:rPr>
        <w:t>, Pred-Moxi</w:t>
      </w:r>
      <w:r>
        <w:rPr>
          <w:rFonts w:ascii="Arial" w:cs="Arial" w:eastAsia="Arial" w:hAnsi="Arial"/>
          <w:sz w:val="26"/>
          <w:szCs w:val="26"/>
          <w:color w:val="auto"/>
          <w:vertAlign w:val="superscript"/>
        </w:rPr>
        <w:t>®</w:t>
      </w:r>
      <w:r>
        <w:rPr>
          <w:rFonts w:ascii="Arial" w:cs="Arial" w:eastAsia="Arial" w:hAnsi="Arial"/>
          <w:sz w:val="16"/>
          <w:szCs w:val="16"/>
          <w:color w:val="auto"/>
        </w:rPr>
        <w:t>, HLA</w:t>
      </w:r>
      <w:r>
        <w:rPr>
          <w:rFonts w:ascii="Arial" w:cs="Arial" w:eastAsia="Arial" w:hAnsi="Arial"/>
          <w:sz w:val="26"/>
          <w:szCs w:val="26"/>
          <w:color w:val="auto"/>
          <w:vertAlign w:val="superscript"/>
        </w:rPr>
        <w:t>®</w:t>
      </w:r>
      <w:r>
        <w:rPr>
          <w:rFonts w:ascii="Arial" w:cs="Arial" w:eastAsia="Arial" w:hAnsi="Arial"/>
          <w:sz w:val="16"/>
          <w:szCs w:val="16"/>
          <w:color w:val="auto"/>
        </w:rPr>
        <w:t>, Triple Drop</w:t>
      </w:r>
      <w:r>
        <w:rPr>
          <w:rFonts w:ascii="Arial" w:cs="Arial" w:eastAsia="Arial" w:hAnsi="Arial"/>
          <w:sz w:val="26"/>
          <w:szCs w:val="26"/>
          <w:color w:val="auto"/>
          <w:vertAlign w:val="superscript"/>
        </w:rPr>
        <w:t>®</w:t>
      </w:r>
      <w:r>
        <w:rPr>
          <w:rFonts w:ascii="Arial" w:cs="Arial" w:eastAsia="Arial" w:hAnsi="Arial"/>
          <w:sz w:val="16"/>
          <w:szCs w:val="16"/>
          <w:color w:val="auto"/>
        </w:rPr>
        <w:t>, ED Free</w:t>
      </w:r>
      <w:r>
        <w:rPr>
          <w:rFonts w:ascii="Arial" w:cs="Arial" w:eastAsia="Arial" w:hAnsi="Arial"/>
          <w:sz w:val="26"/>
          <w:szCs w:val="26"/>
          <w:color w:val="auto"/>
          <w:vertAlign w:val="superscript"/>
        </w:rPr>
        <w:t>®</w:t>
      </w:r>
      <w:r>
        <w:rPr>
          <w:rFonts w:ascii="Arial" w:cs="Arial" w:eastAsia="Arial" w:hAnsi="Arial"/>
          <w:sz w:val="16"/>
          <w:szCs w:val="16"/>
          <w:color w:val="auto"/>
        </w:rPr>
        <w:t>, Defeat IC</w:t>
      </w:r>
      <w:r>
        <w:rPr>
          <w:rFonts w:ascii="Arial" w:cs="Arial" w:eastAsia="Arial" w:hAnsi="Arial"/>
          <w:sz w:val="26"/>
          <w:szCs w:val="26"/>
          <w:color w:val="auto"/>
          <w:vertAlign w:val="superscript"/>
        </w:rPr>
        <w:t>©</w:t>
      </w:r>
      <w:r>
        <w:rPr>
          <w:rFonts w:ascii="Arial" w:cs="Arial" w:eastAsia="Arial" w:hAnsi="Arial"/>
          <w:sz w:val="16"/>
          <w:szCs w:val="16"/>
          <w:color w:val="auto"/>
        </w:rPr>
        <w:t>, Defeat IC</w:t>
      </w:r>
      <w:r>
        <w:rPr>
          <w:rFonts w:ascii="Arial" w:cs="Arial" w:eastAsia="Arial" w:hAnsi="Arial"/>
          <w:sz w:val="26"/>
          <w:szCs w:val="26"/>
          <w:color w:val="auto"/>
          <w:vertAlign w:val="superscript"/>
        </w:rPr>
        <w:t>®</w:t>
      </w:r>
      <w:r>
        <w:rPr>
          <w:rFonts w:ascii="Arial" w:cs="Arial" w:eastAsia="Arial" w:hAnsi="Arial"/>
          <w:sz w:val="16"/>
          <w:szCs w:val="16"/>
          <w:color w:val="auto"/>
        </w:rPr>
        <w:t>, Say Goodbye</w:t>
      </w:r>
      <w:r>
        <w:rPr>
          <w:rFonts w:ascii="Arial" w:cs="Arial" w:eastAsia="Arial" w:hAnsi="Arial"/>
          <w:sz w:val="26"/>
          <w:szCs w:val="26"/>
          <w:color w:val="auto"/>
          <w:vertAlign w:val="superscript"/>
        </w:rPr>
        <w:t>©</w:t>
      </w:r>
      <w:r>
        <w:rPr>
          <w:rFonts w:ascii="Arial" w:cs="Arial" w:eastAsia="Arial" w:hAnsi="Arial"/>
          <w:sz w:val="16"/>
          <w:szCs w:val="16"/>
          <w:color w:val="auto"/>
        </w:rPr>
        <w:t>, PPS-DR</w:t>
      </w:r>
      <w:r>
        <w:rPr>
          <w:rFonts w:ascii="Arial" w:cs="Arial" w:eastAsia="Arial" w:hAnsi="Arial"/>
          <w:sz w:val="26"/>
          <w:szCs w:val="26"/>
          <w:color w:val="auto"/>
          <w:vertAlign w:val="superscript"/>
        </w:rPr>
        <w:t>®</w:t>
      </w:r>
      <w:r>
        <w:rPr>
          <w:rFonts w:ascii="Arial" w:cs="Arial" w:eastAsia="Arial" w:hAnsi="Arial"/>
          <w:sz w:val="16"/>
          <w:szCs w:val="16"/>
          <w:color w:val="auto"/>
        </w:rPr>
        <w:t>, Stericheck™, Pred-Moxi-Ketor™, Pred-Moxi-Brom™, Pred-Ketor</w:t>
      </w:r>
      <w:r>
        <w:rPr>
          <w:rFonts w:ascii="Arial" w:cs="Arial" w:eastAsia="Arial" w:hAnsi="Arial"/>
          <w:sz w:val="26"/>
          <w:szCs w:val="26"/>
          <w:color w:val="auto"/>
          <w:vertAlign w:val="superscript"/>
        </w:rPr>
        <w:t>®</w:t>
      </w:r>
      <w:r>
        <w:rPr>
          <w:rFonts w:ascii="Arial" w:cs="Arial" w:eastAsia="Arial" w:hAnsi="Arial"/>
          <w:sz w:val="16"/>
          <w:szCs w:val="16"/>
          <w:color w:val="auto"/>
        </w:rPr>
        <w:t>, Dex-Moxi</w:t>
      </w:r>
      <w:r>
        <w:rPr>
          <w:rFonts w:ascii="Arial" w:cs="Arial" w:eastAsia="Arial" w:hAnsi="Arial"/>
          <w:sz w:val="26"/>
          <w:szCs w:val="26"/>
          <w:color w:val="auto"/>
          <w:vertAlign w:val="superscript"/>
        </w:rPr>
        <w:t>®</w:t>
      </w:r>
      <w:r>
        <w:rPr>
          <w:rFonts w:ascii="Arial" w:cs="Arial" w:eastAsia="Arial" w:hAnsi="Arial"/>
          <w:sz w:val="16"/>
          <w:szCs w:val="16"/>
          <w:color w:val="auto"/>
        </w:rPr>
        <w:t>, Combination Drop Therapy™, Compounded Choice™, Pred-Gati™, Pred-Gati-Nepaf™, Pred-Nepaf™, Correct Compound™, Making Drugs Affordable Again™, Superbundle™, People-Focused™, MKO Melt™, IV Free™, Imprimis Dropless Cataract Therapy</w:t>
      </w:r>
      <w:r>
        <w:rPr>
          <w:rFonts w:ascii="Arial" w:cs="Arial" w:eastAsia="Arial" w:hAnsi="Arial"/>
          <w:sz w:val="26"/>
          <w:szCs w:val="26"/>
          <w:color w:val="auto"/>
          <w:vertAlign w:val="superscript"/>
        </w:rPr>
        <w:t>®</w:t>
      </w:r>
      <w:r>
        <w:rPr>
          <w:rFonts w:ascii="Arial" w:cs="Arial" w:eastAsia="Arial" w:hAnsi="Arial"/>
          <w:sz w:val="16"/>
          <w:szCs w:val="16"/>
          <w:color w:val="auto"/>
        </w:rPr>
        <w:t>, LessDrops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(logo), Imprimis</w:t>
      </w:r>
    </w:p>
    <w:p>
      <w:pPr>
        <w:spacing w:after="0" w:line="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LessDrops</w:t>
      </w:r>
      <w:r>
        <w:rPr>
          <w:rFonts w:ascii="Arial" w:cs="Arial" w:eastAsia="Arial" w:hAnsi="Arial"/>
          <w:sz w:val="30"/>
          <w:szCs w:val="30"/>
          <w:color w:val="auto"/>
          <w:vertAlign w:val="superscript"/>
        </w:rPr>
        <w:t>®</w:t>
      </w:r>
      <w:r>
        <w:rPr>
          <w:rFonts w:ascii="Arial" w:cs="Arial" w:eastAsia="Arial" w:hAnsi="Arial"/>
          <w:sz w:val="18"/>
          <w:szCs w:val="18"/>
          <w:color w:val="auto"/>
        </w:rPr>
        <w:t>, Imprimis Dropless Cataract Surgery</w:t>
      </w:r>
      <w:r>
        <w:rPr>
          <w:rFonts w:ascii="Arial" w:cs="Arial" w:eastAsia="Arial" w:hAnsi="Arial"/>
          <w:sz w:val="30"/>
          <w:szCs w:val="30"/>
          <w:color w:val="auto"/>
          <w:vertAlign w:val="superscript"/>
        </w:rPr>
        <w:t>®</w:t>
      </w:r>
      <w:r>
        <w:rPr>
          <w:rFonts w:ascii="Arial" w:cs="Arial" w:eastAsia="Arial" w:hAnsi="Arial"/>
          <w:sz w:val="18"/>
          <w:szCs w:val="18"/>
          <w:color w:val="auto"/>
        </w:rPr>
        <w:t>, Pred-Gati™, Pred-Gati-Nepaf™, Pred-Nepaf™, Pred-Gati-Brom™, Pred-Gati-Ketor™, Dex-Moxi-Ketor™, Moxi™, Dex-Gati™, Correct Compound™, Lat™, Lat-Ds™, Tim-Lat™, Tim-Dor-Lat™, Tim-Brim-Dor™, Tim-Brim-Dor-Lat™, Pred-Levo-Ketor™, Pred-Levo-Brom™, Pred-Levo-Nepaf™, Tri-Moxi-Vanc™, Smartdrops™, Smarteyedrops™, Serum Tears™, Plasma Tears™, Omegadoxy™, Double Drop™, Quad Drop™, Lower Drops™, Simple Drops™, Droppy™, Droppy™ (logo), Droppy™ (drawing), Eton™, Eton Pharmaceuticals™, Surface™, Surface Pharmaceuticals™, Your Tears™, Total Tears™, Pharmapack™, Klarity Drops™, EyeMelt™, Gati-Dex™, Imprimis Glaucoma Care™, Klarity C-Drops™, Pred-Brom™, Total Tears™ (Logo), and Simple Tears™ (logo). We may choose to pursue trademark protection in other jurisdictions for one or more of these or other marks in the future.</w:t>
      </w:r>
    </w:p>
    <w:p>
      <w:pPr>
        <w:spacing w:after="0" w:line="2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also rely on unpatented trade secrets and know-how and continuing technological innovation in order to develop our formulations, which we seek to protect, in part, by confidentiality agreements with our employees, consultants, collaborators and others, including certain service providers. We also have invention or patent assignment agreements with our current employees and certain consultants. However, our employees and consultants may breach these agreements and we may not have adequate remedies for any breach, or our trade secrets may otherwise become known or be independently discovered by competitors. In addition, inventions relevant to us could be developed by a person not bound by an invention assignment agreement with us, in which case we may have no rights to use the applicable invention.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business is subject to federal, state and local laws, regulations, and administrative practices, including, among others: federal, state and local licensure and registration requirements concerning the operation of pharmacies and the practice of pharmacy; the Health Insurance Portability and Accountability Act (HIPAA); the Patient Protection and Affordable Care Act and the Health Care and Education Reconciliation Act of 2012 (collectively, the Health Reform Law); statutes and regulations of the FDA, the U.S. Federal Trade Commission, the U.S. Drug Enforcement Administration and the U.S. Consumer Product Safety Commission, as well as regulations promulgated by comparable state agencies concerning the sale, advertisement and promotion of the products we sell. The regulatory and quality compliance environment for compounded drugs has become significantly more rigorous, complex and strict since the passage of The Drug Quality and Security Act of 2013. The complexity of the current state and federal regulatory environment, as well as the expected continued evolution of state and federal laws governing pharmaceutical compounding, have and will continue to present potentially significant challenges to our business model and the fulfillment of our mission as a company. Below are descriptions of some of the various federal and state laws and regulations which may govern or impact our current and planned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Pharmacy Regulation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pharmacy operations are regulated by both individual states and the federal government. Every state has laws and regulations addressing pharmacy operations, including regulations relating specifically to compounding pharmacy operations. These regulations generally include licensing requirements for pharmacists, pharmacy technicians and pharmacies, as well as regulations related to compounding processes, safety protocols, purity, sterility, storage, controlled substances, recordkeeping and regular inspections, among other things. State rules and regulations are updated periodically, generally under the jurisdiction of individual state boards of pharmacy. Failure to comply with the state pharmacy regulations of a particular state could result in a pharmacy being prohibited from operating in that state, financial penalties and/or becoming subject to additional oversight from that state’s board of pharmacy. In addition, many states are considering imposing, or have already begun to impose, more stringent requirements on compounding pharmacies. If our pharmacy operations become subject to additional licensure requirements, are unable to maintain their required licenses or if states place burdensome restrictions or limitations on pharmacies, our ability to operate in some states could be limited.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 w:name="page10"/>
    <w:bookmarkEnd w:id="9"/>
    <w:p>
      <w:pPr>
        <w:jc w:val="both"/>
        <w:ind w:firstLine="648"/>
        <w:spacing w:after="0" w:line="291" w:lineRule="auto"/>
        <w:rPr>
          <w:sz w:val="20"/>
          <w:szCs w:val="20"/>
          <w:color w:val="auto"/>
        </w:rPr>
      </w:pPr>
      <w:r>
        <w:rPr>
          <w:rFonts w:ascii="Arial" w:cs="Arial" w:eastAsia="Arial" w:hAnsi="Arial"/>
          <w:sz w:val="16"/>
          <w:szCs w:val="16"/>
          <w:color w:val="auto"/>
        </w:rPr>
        <w:t>Federal law limits compounding pharmacies from engaging in the practice of anticipatory compounding, which involves, preparing compounded medications before the actual receipt of a prescription or practitioner’s order, unless the compounding pharmacy has a history of filling certain prescriptions for a customer. In such cases, it is acceptable to engage in anticipatory compounding or the preparation of larger batches so that medications will be ready when they are needed. Anticipatory compounding also reduces the cost of compounded medications, as economies of scale can be realized by producing larger batches. Anticipatory compounding also leads to less wasted chemicals, dilutions, fillers, and other associated products are produced, and greater accuracy and uniformity in finished medications, as larger batches decrease the variation caused by preparing multiple, smaller batches. Based on our history of meeting the needs of our customers, we are able to anticipatorily compound batches of our formulations for our customers</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Many of the states into which we deliver pharmaceuticals have laws and regulations that require out-of-state pharmacies to register with, or be licensed by, the boards of pharmacy or similar regulatory bodies in those states. These states generally permit the dispensing pharmacy to follow the laws of the state within which the dispensing pharmacy is located. However, various state pharmacy boards have enacted laws and/or adopted rules or regulations directed at restricting or prohibiting the operation of out-of-state pharmacies by, among other things, requiring compliance with all laws of the states into which the out-of-state pharmacy dispenses medications, whether or not those laws conflict with the laws of the state in which the pharmacy is located, or requiring the pharmacist-in-charge to be licensed in that state. To the extent that such laws or regulations are found to be applicable to our operations, we believe we comply with them.</w:t>
      </w:r>
    </w:p>
    <w:p>
      <w:pPr>
        <w:spacing w:after="0" w:line="18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Further, under federal law, Section 503A of the FDCA seeks to limit the amount of compounded products that a pharmacy can dispense interstate. The interpretation and enforcement of this provision is dependent on the FDA entering into a standard Memorandum of Understanding (“MOU”) with each state setting forth limits on shipments of interstate compounding. Previously, the draft MOU presented by the FDA in February 2015 intended to limit interstate shipments of compounded drug units to 30% of all compounded and non-compounded units dispensed or distributed by the pharmacy per month, the excess of which the FDA considered an “inordinate amount.” The FDA stated in the guidance issued in February 2015 that it would not enforce interstate restrictions until after it published a final MOU and made it available to states for signature for some designated period of time. If the final MOU was drafted and released by the FDA and was not signed by a particular state, then interstate shipments of compounded preparations from a pharmacy located in that state would be limited to quantities not greater than 5% of total prescription orders dispensed or distributed by the pharmacy; however, we are not aware that the FDA currently enforces or has in the past enforced the 5% rule and, under current draft guidance, the FDA had historically stated that it would not enforce the 5% rule until a final MOU was made available to states for signature. The FDA originally proposed a 180-day period for states to agree to the final MOU after the final version was presented, which to date has not occurred, before it would begin to enforce the 5% rule. In January of 2018, the FDA released a “2018 Compounding Policy Priorities Plan” (the “2018 Compounding Plan”) which provided an overview of the key priorities the FDA plans to focus on in 2018 in connection with compounding regulations. One of the priorities outlined in the 2018 Compounding Plan addressed the current status of the MOU and the FDA’s plan to release a revised MOU (the “Revised MOU”). Pursuant to the statements in the Compounding Plan, the Revised MOU would consider amounts shipped interstate by a compounder to be inordinate amounts if the “number of prescriptions of compounded drugs distributed interstate during any calendar month is greater than 50 percent.” Importantly, instead of that number serving as a “hard limit, for state action,” the 50%target would trigger certain additional reporting requirements. The Revised MOU will also provide states more time to report to the FDA, and flexibility on identifying when amounts are inordinate, considering the size and scope of compounding operations. Until the Revised MOU is issued and presented to states to consider, the extent of interstate dispensing restrictions imposed by Section 503A is unknown. However, if the final Revised MOU contains a 50% limit on interstate distribution, dependent on the additional reporting requirements to be outlined in the Revised MOU, our pharmacy operations could be materially limited.</w:t>
      </w:r>
    </w:p>
    <w:p>
      <w:pPr>
        <w:spacing w:after="0" w:line="1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Certain provisions of the FDCA govern the preparation, handling, storage, marketing and distribution of pharmaceutical products. The Drug Quality and Security Act of 2013 (DQSA) clarifies and strengthens the federal regulatory framework governing compounding pharmacies. Title 1 of the DQSA, the Compounding Quality Act, modifies provisions of the Section 503A of the FDCA that were found to be unconstitutional by the U.S. Supreme Court in 2002. In general, Section 503A provides that pharmacies are exempt from the provisions of the FDCA requiring compliance with cGMP, labeling with adequate directions for use and FDA approval prior to marketing if the pharmacy complies with certain other requirements. Among other things, to comply with Section 503A, a compounded drug must be compounded by a licensed pharmacist for an identified individual patient on the basis of a valid prescription. Pharmacies may only compound in limited quantities before receipt of a prescription for an individual patient and are subject to limitations on anticipatory compounding for distribution, which generally permit anticipatory compounding only based on historical prescription volumes.</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DQSA also contained new Section 503B of the FDCA, which established an outsourcing facility as a new form of entity that is permitted to compound larger quantities of drug formulations without a prescription, thus permitting the practice of anticipatory compounding, and distributing them out of state without limitation, if the drug formulations appear on the FDA’s drug shortage list or the bulk drug substances contained in the formulations appear on a “clinical need” list to be established by the FDA. Entities voluntarily registering as outsourcing facilities are subject to cGMP requirements and regular FDA inspection, among other requirements. As described above, our current pharmacy operations in NJ and CA are governed by Section 503A of the FDCA, and our NJ based outsourcing facility is governed by Section 503B of the FDCA.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Confidentiality, Privacy and HIPAA</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pharmacy operations involve the receipt, use and disclosure of confidential medical, pharmacy and other health-related information. In addition, we use aggregated and blinded (anonymous) data for research and analysis purposes. The federal privacy regulations under HIPAA are designed to protect the medical information of a healthcare patient or health plan enrollee that could be used to identify the individual. Among other things, HIPAA limits certain uses and disclosures of protected health information and requires compliance with federal security regulations regarding the storage, utilization and transmission of and access to electronic protected health information. The requirements imposed by HIPAA are extensive. In addition, most states have enacted privacy and security laws that protect identifiable patient information that is not health-related. Further, several states have enacted more protective and comprehensive pharmacy-related privacy legislation that not only applies to patient records but also prohibits the transfer or use for commercial purposes of pharmacy data that identifies prescribers. These regulations impose substantial requirements on covered entities and their business associates regarding the storage, utilization and transmission of and access to personal health and non-health information. Many of these laws apply to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and Medicaid Reimbursement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Medicare is a federally funded program that provides health insurance coverage for qualified persons age 65 or older and for some disabled persons with certain specific conditions. State-funded Medicaid programs provide medical benefits to groups of low-income and disabled individuals, some of whom may have inadequate or no medical insurance. Currently, most of our commercially available formulations are sold in cash transactions and our customers may choose to seek reimbursement opportunities from Medicare, Medicaid and other third parties.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and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To the extent we obtain third-party reimbursement for our compounded formulations, we may become subject to Medicare, Medicaid and other publicly financed health benefit plan regulations prohibiting kickbacks, beneficiary inducement and the submission of false 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New Drug Application Process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discussed in other sections of this report, we are and may continue to, alone or with project partners, pursue FDA approval to market and sell one or more of our formulations through the FDA’s NDA process. To the extent that the Section 505(b)(2) applicant is relying on the FDA’s conclusions regarding studies conducted for an already approved product, the applicant is required to certify to the FDA concerning any patents listed for the approved product in the FDA’s Orange Book publication. As a condition of approval, the FDA or other regulatory authorities may require further studies, including Phase 4 post-marketing studies, to provide additional data. Other post-marketing studies may be required to gain approval for the use of a product as a treatment for clinical indications other than those for which the product was initially tested and approved. Also, the FDA or other regulatory authorities require post-marketing reporting to monitor the adverse effects of a drug. Results of post-marketing programs may limit or expand the further marketing of a product.</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adverse publicity, warning letters, corrective advertising, fines and potential civil and criminal penalties.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we pursue commercialization of our proprietary formulations in countries other than the United States, then we may need to obtain the approvals required by the regulatory authorities of such foreign countries that are comparable to the FDA and state boards of pharmacy, and we would be subject to a variety of other foreign statutes and regulations comparable to those relating to our U.S. operations. Regulatory frameworks and requirements vary by country and could involve significant additional licensing requirements and product testing and review periods.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Environmental and Other Matters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or may become subject to environmental laws and regulations governing, among other things, any use and disposal by us of hazardous or potentially hazardous substances in connection with our research and preparation of our formulations. In addition, we are subject to work safety and labor laws that govern certain of our operations and our employee relations. In each of these areas, as described above, the FDA and other government agencies have broad regulatory and enforcement powers, including, among other things, the ability to levy fines and civil penalties, suspend or delay issuance of approvals, licenses or permits, seize or recall products, and withdraw approvals, any one or more of which could have a material adverse effect on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research and development expenses incurred in 2017 and 2016 primarily include expenses related to the development of intellectual property, researcher and investigator-initiated evaluations, and research and formulation development related primarily to our ophthalmic formulations and certain other assets.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2017, we incurred $413,000 in research and development expenses, as compared to $739,000 during the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March 1, 2018, we employed 128 employees. Our employees are engaged in pharmacy operations, sales, marketing, research, development, and general and administrative functions. We expect to add additional employees in all departmental functions as we carry out our business plan in the next 12 months. We are not party to any collective bargaining agreements with any of our employees. We have never experienced a work stoppage, and we believe our employee relations are good. We hire independent contractor labor and consultants on an as-needed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were incorporated in Delaware in January 2006 as Bywater Resources, Inc. In September 2007, we closed a merger transaction with Transdel Pharmaceuticals Holdings, Inc. and changed our name to Transdel Pharmaceuticals, Inc. We changed our name to Imprimis Pharmaceuticals, Inc. in February 2012.</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Case No. 11-10497-11. On December 8, 2011, in connection with our entry into a line of credit agreement and securities purchase agreement with a third party, our voluntary petition for reorganization relief was dismissed.</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April 2014 and January 2015, we completed our acquisitions of the capital stock of RxNJ and Park, respectively. In October of 2016, we created our subsidiary FDA registered outsourcing facility, NJOF. In June 2017, we deconsolidated Eton Pharmaceuticals, Inc., and in July 2017, we created our subsidiary, Surface Pharmaceuticals, Inc.</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executive offices are located at 12264 El Camino Real, Suite 350, San Diego, California 92130 and our telephone number at such office is (858) 704-4040. Our website address is imprimispharma.com. Information contained on our website is not deemed part of this Annual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Annual Report. Our business, financial condition, results of operations and stock price could be materially adversely affected by any of these risks.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in every year of our operations, and we may never become profitable.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incurred losses in every year of our operations, including net losses of $(11,985,000) and $(19,087,000) for the years ended December 31, 2017 and 2016, respectively. As of December 31, 2017, our accumulated deficit was $(88,836,000). We expect to decrease our operating losses during 2018, however, our projections may not be correct and our plans could change and we could incur increasing operating losses in the foreseeable future for our commercialization activities, research and development and our pharmacy operations. Although we have been generating some revenue from our pharmacy operations, our ability to generate significant revenues and achieve profitability will depend on many factors, including those discussed in this “Risk Factors” section. Our business plan and strategies involve costly activities that are susceptible to failure, and, therefore, we may never be able to generate sufficient revenue to support our business or reach the level of sales and revenues necessary to achieve and sustain profitability.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We may not receive sufficient revenue to fund our operations and recover our development costs.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business plan involves the preparation and sale of our proprietary formulations through our compounding pharmacies and outsourcing facilities. We have limited experience operating pharmacies and commercializing compounded formulations, and we may be unable to successfully manage this business or generate sufficient revenue to recover our development costs and operational expenses. We may have only limited success in marketing and selling our proprietary formulations. Although we have established and plan to grow our internal sales teams to market and sell our proprietary formulations and other non-proprietary products, we have limited experience with such activities and may not be able to generate sufficient physician and patient interest in our formulations to generate significant revenue from sales of these products. In addition, we are substantially dependent on our ImprimisRx compounding pharmacies and outsourcing facilities, along with any pharmacy partners with which we may contract to compound and sell our formulations using our quality standards and specifications, in a timely manner and sufficient volumes to accommodate the number of prescriptions they receive. Our pharmacies may be unable to compound our formulations successfully and we may be unable to acquire, build or enter into arrangements with pharmacies or outsourcing facilities of sufficient size, reputation and quality to implement our business plan, which would cause our business to suffer.</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sell certain of our proprietary formulations primarily through three compounding facilities we own, but we may not be successful in our efforts to integrate these businesses into our operations.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business strategy includes establishing a small compounding pharmacy group, whether through acquisitions, establishing new pharmacies or entering into licensing arrangements with third-party pharmacies and outsourcing facilities, to market and sell our proprietary formulations and other non-proprietary products in all 50 states and in certain geographies outside of the U.S.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acquired our New Jersey and California, compounding pharmacies in April 2014 and January 2015. In February 2015, we leased space in New Jersey and began construction of a new outsourcing facility to replace our current facility, which was completed near the end of the third quarter of 2016. We may plan to expand our pharmacy operations and personnel and developing our facilities into a unified group compounding pharmacy facilities. We have been developing “ImprimisRx” as a uniform brand for certain of our compounding facilities and are bringing our compounding facilities under this name. We have limited experience acquiring, building or operating compounding pharmacies or other prescription dispensing facilities or commercializing our formulations through ownership of or licensing arrangements with pharmacies. As a result, we may experience difficulties implementing our compounding pharmacy strategy, including difficulties that arise as a result of our lack of experience, and we may be unsuccessful. For instance:</w:t>
      </w:r>
    </w:p>
    <w:p>
      <w:pPr>
        <w:spacing w:after="0" w:line="16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experienced delays and increased costs in our outsourcing facility construction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successful in completing future construction plans on a timely basis or within budget;</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not be successful in our efforts to integrate, manage or otherwise realize the benefits we expect from acquisitions of our ImprimisRx compounding pharmacies or any additional pharmacy businesses or outsourcing facilities we to acquire or build in the future;</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satisfy applicable federal and state licensing and other requirements for any of our pharmacy businesses in a timely manner or at all;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to federal and state pharmacy regulations may restrict compounding operations or make them more costly;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achieve a sufficient physician and patient customer base to sustain our pharmacy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compounding pharmacies generally may be curtailed or delayed;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enter into licensing or other arrangements with third-party pharmacies or outsourcing facilities when desired, on acceptable terms or at all.</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Moreover, all our efforts to expand pharmacy operations will involve significant costs and other resources, which we may not be able to afford and may disrupt our other operations and distract management and employees from the other aspects of our business. As a result, our business could materially suffer if we are unable to further develop a group of unified compounding facilities and, even if we are successful, we may be unable to generate sufficient revenue to recover our costs.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market acceptance of compounding pharmacies and compounded formulations, and physicians may be unwilling to prescribe, and patients may be unwilling to use, our proprietary customizable compounded formulations.</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currently distribute our proprietary formulations through compounding pharmacies and an outsourcing facility. Formulations prepared and dispensed by compounding pharmacies contain FDA-approved ingredients, but are not themselves approved by the FDA. Thus, our compounded formulations have not undergone the FDA approval process and only limited data, if any, may be available about the safety and efficacy of our formulations for any particular indication. Certain compounding pharmacies have been subject to widespread negative media coverage in recent years, and the actions of these pharmacies have resulted in increased scrutiny of compounding pharmacy activities from the FDA and state governmental agencies. In August 2017, FDA issued a MedWatch notification regarding our curcumin emulsion and two adverse events that had been associated with the use of these emulsions by prescribing physicians. We issued a press release on August 7, 2017, clarifying certain facts regarding the notice which outlined our belief that the adverse events associated with the two patients occurred due to an allergic reaction caused by the products being inappropriately administered and obtained by the prescribing physician, and our use of curcumin and excipients in our curcumin emulsion formulation met regulatory standards required for dispensing of the curcumin emulsion. In September 2017, the FDA released a letter confirming that the alleged misuse of certain ingredients in our curcumin emulsions were due to mislabeling by the underlying supplier, and not of our own misdoing. Separately, in December 2017, we were issued a warning letter from the FDA alleging that, in their interpretation of our public communications, we had made false or misleading claims and omitted risk and side effect information regarding certain of our ophthalmology focused compounded medications. We immediately performed a full review of our public communications referenced in the warning letter and responded to the FDA in January 2018. Notwithstanding our continued belief that our public communications were not in fact false and misleading, we have begun discussions with the FDA and taking steps to address the items outlined in the letter and will continue to work with the FDA to assure that all allegations in the warning letter have been addressed. We believe we have addressed all of the material items of concern in the FDA’s warning letter and those related to the MedWatch notification (and any other requirements observed by FDA and noted to us), and do not believe there will be any further action taken by FDA in this regard. Nonetheless, these two items increased further scrutiny and negative publicity on us as a company. As a result, some physicians may be hesitant to prescribe and some patients may be hesitant to purchase and use non-FDA approved compounded formulations, particularly when an FDA-approved potential alternative is available. For other reasons physicians may be unwilling to prescribe or patients may be unwilling to use our proprietary compounded formulations, including the following: legal proscriptions on our ability to discuss the efficacy or safety of our formulations with potential users to the extent applicable data is available; our pharmacy operations are primarily operating on a cash-pay basis and reimbursement may or may not be available from third-party payors, including the government Medicare and Medicaid programs; and our formulations are not required to be prepared and are not presently being prepared in a manufacturing facility governed by cGMP requirements. Any failure by physicians, patients and/or third-party payors to accept and embrace compounded formulations could substantially limit our market and cause our operations to suffer.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significantly impacted by state and federal statutes and regulations.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proprietary formulations are comprised of active pharmaceutical ingredients that are components of drugs that have received marketing approval from the FDA, although our proprietary compounded formulations have not themselves received FDA approval. FDA approval is not required in order to market and sell our compounded formulations. In the future we may choose to pursue FDA approval to market and sell certain potential drug candidates. The marketing and sale of compounded formulations is subject to and must comply with extensive state and federal statutes and regulations governing compounding pharmacies. These statutes and regulations include, among other things, restrictions on compounding for office use or in advance of receiving a patient-specific prescription or, for outsourcing facilities, requirements regarding preparation, such as regular FDA inspections and cGMP requirements, prohibitions on compounding drugs that are essentially copies of FDA-approved drugs, limitations on the volume of compounded formulations that may be sold across state lines, and prohibitions on wholesaling or reselling. These and other restrictions on the activities of compounding pharmacies and outsourcing facilities may significantly limit the market available for compounded formulations, as compared to the market available for FDA-approved drugs.</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pharmacy business is impacted by federal and state laws and regulations governing the following: the purchase, distribution, management, compounding, dispensing, reimbursement, marketing and labeling of prescription drugs and related services; FDA and/or state regulation affecting the pharmacy and pharmaceutical industries, including state pharmacy licensure and registration or permit standards; rules and regulations issued pursuant to HIPAA and other state and federal laws related to the use, disclosure and transmission of health information; and state and federal controlled substance laws. Our failure to comply with any of these laws and regulations could severely limit or curtail our pharmacy operations, which would materially harm our business and prospects. Further, our business could be adversely affected by changes in these or any newly enacted laws and regulations, and federal and state agency interpretations of the statutes and regulations. Statutory or regulatory changes could require us to make changes to our business model and operations and/or could require us to incur significantly increased costs to comply with such regulations.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partner facilities fail to comply with the Controlled Substances Act, FDCA, or similar state statutes and regulations, the pharmacy facilities could be required to cease operations or become subject to restrictions that could adversely affect our business.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State pharmacy laws require pharmacy locations in those states to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These laws also subject pharmacies to oversight by state boards of pharmacy and other regulators that could impose burdensome requirements or restrictions on operations if a pharmacy is found not in compliance with these laws. We believe that our ImprimisRx compounding pharmacies are in material compliance with applicable regulatory requirements. If our ImprimisRx compounding pharmacies fail to comply with such requirements, they could be forced to permanently or temporarily cease or limit their sterile compounding operations, which would severely limit our ability to market and sell our proprietary formulations and would materially harm our operations and prospects. Any noncompliance could also result in complaints or adverse actions by other state boards of pharmacy. FDA inspection of a facility to determine compliance with the FDCA, if not successful, may result in the loss of FDCA exemptions provided under Section 503A, warning letters, injunctions, prosecution, fines and loss of required government licenses, certifications and approvals, any of which could involve significant costs and could cause us to be unable to realize the expected benefits of these pharmacies’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113" w:gutter="0" w:footer="0" w:header="0"/>
        </w:sectPr>
      </w:pPr>
    </w:p>
    <w:bookmarkStart w:id="14" w:name="page15"/>
    <w:bookmarkEnd w:id="14"/>
    <w:p>
      <w:pPr>
        <w:jc w:val="both"/>
        <w:ind w:firstLine="648"/>
        <w:spacing w:after="0" w:line="285" w:lineRule="auto"/>
        <w:rPr>
          <w:sz w:val="20"/>
          <w:szCs w:val="20"/>
          <w:color w:val="auto"/>
        </w:rPr>
      </w:pPr>
      <w:r>
        <w:rPr>
          <w:rFonts w:ascii="Arial" w:cs="Arial" w:eastAsia="Arial" w:hAnsi="Arial"/>
          <w:sz w:val="16"/>
          <w:szCs w:val="16"/>
          <w:color w:val="auto"/>
        </w:rPr>
        <w:t>Further, under federal law, Section 503A of the FDCA seeks to limit the amount of compounded products that a pharmacy can dispense interstate. The interpretation and enforcement of this provision is dependent on the FDA entering into a standard Memorandum of Understanding (“MOU”) with each state setting forth limits on shipments of interstate compounding. Previously, the draft MOU presented by the FDA in February 2015 intended to limit interstate shipments of compounded drug units to 30% of all compounded and non-compounded units dispensed or distributed by the pharmacy per month, the excess of which the FDA considered an “inordinate amount.” The FDA stated in the guidance issued in February 2015 that it would not enforce interstate restrictions until after it published a final MOU and made it available to states for signature for some designated period of time. If the final MOU was drafted and released by the FDA and was not signed by a particular state, then interstate shipments of compounded preparations from a pharmacy located in that state would be limited to quantities not greater than 5% of total prescription orders dispensed or distributed by the pharmacy; however, we are not aware that the FDA currently enforces or has in the past enforced the 5% rule and, under current draft guidance, the FDA had historically stated that it would not enforce the 5% rule until a final MOU was made available to states for signature. The FDA originally proposed a 180-day period for states to agree to the final MOU after the final version was presented, which to date has not occurred, before it would begin to enforce the 5% rule. In January of 2018, the FDA released a “2018 Compounding Policy Priorities Plan” (the “2018 Compounding Plan”) which provided an overview of the key priorities the FDA plans to focus on in 2018 in connection with compounding regulations. One of the priorities outlined in the 2018 Compounding Plan addressed the current status of the MOU and the FDA’s plan to release a revised MOU (the “Revised MOU”). Pursuant to the statements in the Compounding Plan, the Revised MOU would consider amounts shipped interstate by a compounder to be inordinate amounts if the “number of prescriptions of compounded drugs distributed interstate during any calendar month is greater than 50 percent.” Importantly, instead of that number serving as a “hard limit, for state action,” the 50% target would trigger certain additional reporting requirements. The Revised MOU will also provide states more time to report to the FDA, and flexibility on identifying when amounts are inordinate, considering the size and scope of compounding operations. Until a the Revised MOU is issued and presented to states to consider, the extent of interstate dispensing restrictions imposed by Section 503A is unknown. However, if the final Revised MOU contains a 50% limit on interstate distribution, dependent on the additional reporting requirements to be outlined in the Revised MOU, our pharmacy operations could be materially limited.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many competitive risks related to marketing and selling our proprietary formulations and operating our compounding pharmacy business.</w:t>
      </w:r>
    </w:p>
    <w:p>
      <w:pPr>
        <w:spacing w:after="0" w:line="2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pharmaceutical and pharmacy industries are highly competitive. We compete against branded drug companies, generic drug companies, outsourcing facilities and other compounding pharmacies. We are significantly smaller than some of our competitors. Currently we lack some of the financial and other resources needed to develop, produce, distribute and market our proprietary formulations at a level to capture a significant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our compounded formulations in accordance with the standards provided by the United States Pharmacopeia (“USP”) &lt;795&gt; and USP &lt;797&gt; and applicable state and federal law, our proprietary compounded formulations are not required to be, and have not been, approved for marketing and sale by the FDA. As a result, some physicians may be unwilling to prescribe, and some patients may be unwilling to use, our formulations. Additionally, under federal and state laws applicable to our current compounding pharmacy operations,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which can in turn sell to and supply hospitals and retail pharmacies. Even if we are successful in registering certain of our facilities as outsourcing facilities, our business may not be scalable on the scope available to our competitors that produce FDA-approved drugs, which may limit our potential for profitable operations. These facets of our operations may subject our business to limitations our competitors with FDA-approved drugs may not face.</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success depends in large part on our ability to maintain a competitive position with respect to biotechnology and related pharmaceutical technologies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Biotechnology and related pharmaceutical technologies have undergone and continue to be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their development, which may require us to raise additional funds that may or may not be available.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market share or achieve profitability.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b w:val="1"/>
          <w:bCs w:val="1"/>
          <w:i w:val="1"/>
          <w:iCs w:val="1"/>
          <w:color w:val="auto"/>
        </w:rPr>
        <w:t>If a compounded drug formulation provided through our compounding services leads to patient injury or death or results in a product recall, we may be exposed to significant liabilities and reputational harm.</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success of our business, including our proprietary formulations and pharmacy operations, is highly dependent upon medical and patient perceptions of us and the actual safety and quality of our products. We could be adversely affected if we, any other compounding pharmacies or our formulations and technologies are subject to negative publicity. We could also be adversely affected if any of our formulations or other products we sell, any similar products sold by other companies, or any products sold by other compounding pharmacies prove to be, or are asserted to be, harmful to patients. For instance, if any of the components of approved drugs or other ingredients used to produce our compounded formulations have quality or other problems that adversely affect the finished compounded preparations, our sales could be adversely affected. Because of our dependence upon medical and patient perceptions, adverse publicity associated with illness or other adverse effects resulting from the use or misuse of our products, any similar products sold by other companies, or any other compounded formulations could have a material adverse impact on our business.</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assure compliance with USP guidelines, we have a policy whereby 100% of all sterile compound batches produced by our ImprimisRx compounding pharmacies are tested prior to their delivery to patients and physicians both in-house and externally by an independent, FDA-registered laboratory that has represented to us that it operates in compliance with current good laboratory practices. However, we could still become subject to product recalls and termination or suspension of our state pharmacy licenses if we fail to fully implement this policy, if the laboratory testing does not identify all contaminated products, or if our products otherwise cause or appear to have caused injury or harm to patients. In addition, laboratory testing may produce false positives, which could harm our business and impact our pharmacy operations and licensure even if the impacted formulations are ultimately found to be sterile and no patients are harmed by them. If adverse events or deaths or a product recall, either voluntarily or as required by the FDA or a state board of pharmacy, were associated with one of our proprietary formulations or any compounds prepared by our ImprimisRx compounding pharmacies or any pharmacy partner, our reputation could suffer, physicians may be unwilling to prescribe our proprietary formulations or order any prescriptions from such pharmacies, we could become subject to product and professional liability lawsuits, and our state pharmacy licenses could be terminated or restricted. If any of these events were to occur, we may be subject to significant litigation or other costs and loss of revenue, and we may be unable to continue our pharmacy operations and further develop and commercialize our proprietary formulations.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carry product and professional liability insurance which may be inadequate.</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Although we have secured product and professional liability insurance for our pharmacy operations and the marketing and sale of our formulations, our current or future insurance coverage may prove insufficient to cover any liability claims brought against us. Because of the increasing costs of insurance coverage, we may not be able to maintain insurance coverage at a reasonable cost or at a level adequate to satisfy liabilities that may arise.</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generate revenues will be diminished if we fail to obtain acceptable prices or an adequate level of reimbursement from third-party payors.</w:t>
      </w:r>
    </w:p>
    <w:p>
      <w:pPr>
        <w:spacing w:after="0" w:line="26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Currently, our ImprimisRx compounding pharmacies operate on mostly a cash-pay basis and do not submit large amounts of claims for reimbursement through Medicare, Medicaid or other third-party payors. As part of our Imprimis Cares initiative,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 w:name="page17"/>
    <w:bookmarkEnd w:id="16"/>
    <w:p>
      <w:pPr>
        <w:jc w:val="both"/>
        <w:ind w:firstLine="648"/>
        <w:spacing w:after="0" w:line="264" w:lineRule="auto"/>
        <w:rPr>
          <w:sz w:val="20"/>
          <w:szCs w:val="20"/>
          <w:color w:val="auto"/>
        </w:rPr>
      </w:pPr>
      <w:r>
        <w:rPr>
          <w:rFonts w:ascii="Arial" w:cs="Arial" w:eastAsia="Arial" w:hAnsi="Arial"/>
          <w:sz w:val="18"/>
          <w:szCs w:val="18"/>
          <w:color w:val="auto"/>
        </w:rPr>
        <w:t>Additionally, we are making efforts to normalize the pricing for our currently available proprietary compounded formulations. Any efforts to attain optimized pricing for our Dropless Therapy or any of our other proprietary formulations could fail, which could make our products less attractive or unavailable to some patients or could reduce our margins.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correctly estimate our future operating expenses, which could lead to cash shortfalls.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estimates of our future operating and capital expenditures are based upon our current business plan, our current operations and our current expectations regarding the commercialization of our proprietary formulations. Our projections have varied significantly in the past as a result of changes to our business model and strategy, our termination of efforts to pursue FDA approval of a drug candidate in November 2013, our acquisitions of compounding facilities and various product development opportunities in 2014 and 2015, and the expenses in developing our pharmacy facilities into outsourcing facilities and registering them as such with the FDA. We may not accurately estimate the potential revenues and expenses of our operations. If we are unable to correctly estimate the amount of cash necessary to fund our business, we could spend our available financial resources much faster than we expect. If we do not have sufficient funds to continue to operate and develop our business, we could be required to seek additional financing earlier than we expect, which may not be available when needed or at all, or be forced to delay, scale back or eliminate some or all of our proposed operations.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successfully identify and acquire rights to potential formulations and successfully integrate them into our operations, our growth opportunities may be limited.</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plan to pursue the development of new proprietary compounded formulations in the ophthalmology and/or other therapeutic areas, which may include continued activities to develop and commercialize current assets or, if and as opportunities arise, potential acquisitions of new intellectual property rights and assets. We also intend to seek opportunities to introduce new lower-cost compounded formulation alternatives to higher-priced FDA-approved drugs. However, we expect acquisitions of compounding pharmacies to provide us with only limited research and development support and access to additional novel compounded formulations. We have historically relied, and we expect to continue to rely, primarily upon third parties to provide us with additional development opportunities. We may seek to enter into acquisition agreements or licensing arrangements to obtain rights to develop new formulations in the future, but only if we are able to identify attractive formulations and negotiate acquisition or license agreements on terms acceptable to us, which we may not be able to do. Moreover, we have limited resources to acquire additional potential product development assets and integrate them into our business. Acquisition opportunities may involve competition among several potential purchasers, which could include large multi-national pharmaceutical companies and other competitors that have access to greater financial resources than we do. If we are unable to obtain rights to development opportunities from third parties and we are unable to rely upon our compounding pharmacies and current and future relationships with pharmacists, physicians and other inventors to provide us with additional development opportunities, our growth and prospects could be limited.</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product development strategy is to focus on a select few therapeutic areas in which we believe there is broad market potential, large unmet needs and/or unique value to physicians and patients and to develop and offer formulations within these therapeutic areas that could afford us with gross margins. However, our expectations and assumptions about market potential and patient needs may prove to be wrong and we may invest capital and other resources on formulations that do not generate sufficient revenues for us to recoup our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develop and commercialize our proprietary formulations or any other assets we may acquire.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acquired assets related to compoundable formulations and we have entered into one license agreement for rights to commercialize a compounding formulation. We are currently pursuing development and commercialization opportunities with respect to certain of these formulations, and we are in the process of assessing certain of our other assets in order to determine whether to pursue their development or commercialization. In addition, we expect to consider the acquisition of additional intellectual property rights or other assets in the future. Once we determine to pursue a potential drug candidate, we develop a commercialization strategy for it, which may include marketing and selling the formulation in compounded form through compounding pharmacies or outsourcing facilities, or pursuing FDA approval of the drug candidate. We may incorrectly assess the risks and benefits of the commercialization options or we may not pursue a commercialization strategy that proves to be successful. If we are unable to successfully commercialize one or more of our proprietary formulations, our operating results would be adversely affected. Even if we are able to successfully sell one or more proprietary formulations, we may never recoup our investment in acquiring or developing the formulations. Our failure to identify and expend our resources on formulations and technologies with commercial potential and execute an effective commercialization strategy for each of our formulations would negatively impact the long-term profitability of our business.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significant indebtedness, which will require substantial cash to service and which subjects us to certain financial requirements and business restrictions.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July 19, 2017, we incurred $16,000,000 of indebtedness under a loan agreement with SWK Funding, LLC and its partners (SWK) and concurrent with the funding, we utilized a portion of the SWK Loan funds as full payment to an affiliate of Life Sciences Alternative Funding, LLC (LSAF) to terminate all amounts due to LSAF in connection with the existing term loan and security agreements, as amended, originally entered into between the Company and LSAF on May 11, 2015 (the “LSAF Loan”), which loan had a principal balance of $12,120,000 at the time of final payment.</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ability to make scheduled payments on our indebtedness depends on our future performance and ability to raise additional capital, which is subject to economic, financial, competitive and other factors, some of which are beyond our control. If we are unable to generate sufficient cash to service our debt, we may be required to adopt one or more alternatives, such as selling assets, restructuring our debt or obtaining additional capital through equity sales or incurrence of additional debt on terms that may be onerous or highly dilutive to our stockholders. Our ability to engage in any of these activities would depend on the capital markets and our financial condition at such time, and we may not be able to do so when needed, on desirable terms or at all, which could result in a default on our debt obligations. Additionally, our SWK debt instrument contain various restrictive covenants, including, among others, our obligation to deliver to SWK certain financial and other information, our obligation to comply with certain notice and insurance requirements, and our inability, without SWK’s prior consent, to dispose of certain of our assets, incur certain additional indebtedness, enter into certain merger, acquisition or change of control transactions, pay certain dividends or distributions on or repurchase any of our capital stock or incur any lien or other encumbrance on our assets, subject to certain permitted exceptions. Any failure by us to comply with any of these covenants, subject to certain cure periods, or to make all payments under the debt instruments when due, would cause us to be in default under the applicable debt instrument. In the event of any such default, SWK may be able to foreclose on our assets that secure the debt or declare all borrowed funds, together with accrued and unpaid interest, immediately due and payable, thereby potentially causing all of our available cash to be used to pay our indebtedness or forcing us into bankruptcy or liquidation if we do not then have sufficient cash available. Any such event or occurrence could severely and negatively impact our operations and prospects.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order to continue operating our business, and such additional funds may not be available when needed, on acceptable terms, or at all.</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only recently started generating cash from operations, but we do not currently earn sufficient revenues to support our operations. We may need significant additional capital to execute our business plan and fund our proposed business operations. Additionally, our plans may change or the estimates of our operating expenses and working capital requirements could be inaccurate, we may pursue acquisitions of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raised over $55,000,000 in funds through equity and debt financings since January 2015. We may seek to obtain additional capital through equity or debt financings, funding from corporate partnerships or licensing arrangements, sales of assets or other financing transactions. If we issue additional equity or convertible debt securities to raise funds, our existing stockholders may experience substantial dilution, and the newly issued equity or debt securities may have more favorable terms or rights, preferences and privileges senior to those of our existing stockholders. If we raise additional funds through collaboration and licensing arrangements or sales of assets, we may have to relinquish potentially valuable rights to our drug candidates or proprietary technologies,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those loans would be available, would increase our liabilities and future cash commitments and may impose restrictions on our activities, such as the financial and operating covenants included in our loan agreement with SWK.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 the past and may in the future participate in strategic transactions that could impact our liquidity, increase our expenses and distract our management.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From time to time we consider engaging in strategic transactions, such as out-licensing or in-licensing of compounds or technologies, acquisitions of companies, and asset purchases. We may also consider a variety of different business arrangements in the future, including strategic partnerships, joint ventures, spin-offs, restructurings, divestitures, business combinations and investments. In addition, another entity may pursue us or certain of our assets or aspects of our operations as an acquisition target. Any such transactions may require us to incur expenses specific to the transaction and not incident to our operations, may increase our near- and long-term expenditures, may pose significant integration challenges, may require us to hire or otherwise engage personnel with additional expertise, or may result in our selling or licensing of our assets or technologies under terms that may not prove profitable, any of which could harm our operations and financial results. Such transactions may also entail numerous other operational and financial risks, including, among others, exposure to unknown liabilities, disruption of our business and diversion of our management’s time and attention in order to develop acquired products, drug candidates, technologies or businesses.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8" w:name="page19"/>
    <w:bookmarkEnd w:id="18"/>
    <w:p>
      <w:pPr>
        <w:jc w:val="both"/>
        <w:ind w:firstLine="648"/>
        <w:spacing w:after="0" w:line="276" w:lineRule="auto"/>
        <w:rPr>
          <w:sz w:val="20"/>
          <w:szCs w:val="20"/>
          <w:color w:val="auto"/>
        </w:rPr>
      </w:pPr>
      <w:r>
        <w:rPr>
          <w:rFonts w:ascii="Arial" w:cs="Arial" w:eastAsia="Arial" w:hAnsi="Arial"/>
          <w:sz w:val="17"/>
          <w:szCs w:val="17"/>
          <w:color w:val="auto"/>
        </w:rPr>
        <w:t>As part of our efforts to complete any significant transaction, we would need to expend significant resources to conduct business, legal and financial due diligence, with the goal of identifying and evaluating material risks involved in the transaction. We may be unsuccessful in ascertaining or evaluating all the risks and, as a result, we may not realize the expected benefits of the transaction, whether due to unidentified risks, integration difficulties, regulatory setbacks or other events. We may incur material liabilities for the past activities of any businesses we partner with or acquire. If any of these events occur, we could be subject to significant costs and damage to our reputation, business, results of operations and financial condition.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train and maintain an effective sales and marketing infrastructure, we will not be able to commercialize our drug candidates successfully.</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started to build an internal sales and marketing infrastructure to implement our business plan by developing internal sales teams and education campaigns to market our proprietary formulations. We will need to expend significant resources to further establish and grow this internal infrastructure and properly train sales personnel with respect to regulatory compliance matters. We may also choose to engage or enter into other arrangements with third parties to provide sales and marketing services for us in place of or to supplement our internal commercialization infrastructure. We may not be able to secure sales personnel or relationships with third-party sales organizations that are adequate in number or expertise to successfully market and sell our proprietary formulations and pharmacy services. Further, any third-party organizations we may seek to partner with or engage may not be able to provide sales and marketing services in accordance with our expectations and standards, may be more expensive than we can afford or may not be available on otherwise acceptable terms or at all. If we are unable to establish and maintain compliant and adequate sales and marketing capabilities, through our own internal infrastructure or third-party services or other arrangements, we may be unable to sell our formulations or services or generate meaningful revenue.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cybersecurity or other system failures.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any third parties with which we partner are vulnerable to damage from computer viruses, unauthorized access, natural disasters, terrorism, war and telecommunication and electrical failures. While we have not experienced any cybersecurity or system failure, accident or breach to date, if an event were to occur, it could result in a material disruption of our operations, substantial costs to rectify or correct the failure, if possible, and potentially violation of HIPAA and other privacy laws applicable to our operations. If any disruption or security breach resulted in a loss of or damage to our data or applications or inappropriate disclosure of confidential or protected information, we could incur liability, further development of our proprietary formulations could be delayed, and our pharmacy operations could be disrupted, subject to restriction or forced to terminate their operations, any of which could severely harm our business and prospects.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consultants, outside contractors and other third-party service providers for key aspects of our business.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substantially dependent on consultants and other outside contractors and service providers for key aspects of our business. For instance, we rely upon pharmacist, physician and research consultants and advisors to provide us with significant assistance in the evaluation of product development opportunities, and we have engaged or supported, and expect to continue to engage or support, consultants, advisors, clinical research organizations (CROs) and others to design, conduct, analyze and interpret the results of any clinical or non-clinical trials or other studies in connection with the research and development of our products. If any of our consultants or other service providers terminates its engagement with us, or if we are unable to engage highly qualified replacements as needed on commercially reasonable terms, we may be unable to successfully execute our business plan. We must effectively manage these third-party service providers to ensure that they successfully carry out their contractual obligations and meet expected deadlines. However, these third parties often engage in other business activities and may not devote sufficient time and attention to our activities and we may have only limited contractual rights in connection with the conduct of the activities we have engaged the service providers to perform. If we are unable to effectively manage our outsourced activities or if the quality, timeliness or accuracy of the services provided by third-party service providers is compromised for any reason, our development activities may be extended, delayed or terminated, and we may not be able to commercialize our formulations or advance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Manufacturing and Commercialization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seek FDA approval to market and sell any of our proprietary formulations, such as with drug candidates being developed by Surface and Eton, we may be unable to demonstrate the necessary safety and efficacy to obtain such FDA approval.</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Historically, our business strategy was focused on developing and commercializing product opportunities as compounded formulations. In in 2017 and in the future we, alone or with project partners, may seek FDA regulatory approval to market and sell one or more of our assets as a FDA-approved drug. Obtaining FDA approval to market and sell pharmaceutical products is costly, time consuming, uncertain and subject to unanticipated delays. The FDA or other regulatory agencies may not approve a drug candidate on a timely basis or at all. Before we obtain FDA approval for the sale of any potential drug candidates, we will be required to demonstrate through preclinical studies and clinical trials that it is safe and effective for each intended use, which we may not be able to do. A failure to demonstrate safety and efficacy of a drug candidate to the FDA’s satisfaction would result in our failure to obtain FDA approval. Moreover, even if the FDA were to grant regulatory approval of a drug candidate, the approval may be limited to specific therapeutic areas or limited as to its distribution, which could reduce revenue potential, and we will be subject to extensive and costly post-approval requirements and oversight with respect to commercialization of the drug candidate.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b w:val="1"/>
          <w:bCs w:val="1"/>
          <w:i w:val="1"/>
          <w:iCs w:val="1"/>
          <w:color w:val="auto"/>
        </w:rPr>
        <w:t>Delays in the completion of, or the termination of, any clinical or non-clinical trials for any drug candidates for which we may seek FDA approval could adversely affect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Clinical trials are very expensive, time consuming, unpredictable and difficult to design and implement. The results of clinical trials may be unfavorable, they may continue for several years, and they may take significantly longer to complete and involve significantly more costs than expected. Delays in the commencement or completion of clinical testing could significantly affect product development costs and plans with respect to any drug candidate for which we seek FDA approval. The commencement and completion of clinical trials can be delayed and experience difficulties for a number of reasons, including delays and difficulties caused by circumstances over which we may have no control. For instance, approvals of the scope, design or trial site may not be obtained from the FDA and other required bodies in a timely manner or at all, agreements with acceptable terms may not be reached in a timely manner or at all with CROs to conduct the trials, a sufficient number of subjects may not be recruited and enrolled in the trials, and third-party manufacturers of the materials for use in the trials may encounter delays and problems in the manufacturing process, including failure to produce materials in sufficient quantities or of an acceptable quality to complete the trials. If we were to experience delays in the commencement or completion of, or if we were to terminate, any clinical or non-clinical trials we pursue in the future, the commercial prospects for the applicable drug candidates may be limited or eliminated, which may prevent us from recouping our investment in research and development efforts for the drug candidate and would have a material adverse effect on our business, results of operations, financial condition and prospects.</w:t>
      </w:r>
    </w:p>
    <w:p>
      <w:pPr>
        <w:spacing w:after="0" w:line="1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depend on the success of our drug candidates, and those we have royalty rights to, which have not yet demonstrated efficacy for their target or any other indications. If we are unable to generate revenues from our drug candidates, our ability to create stockholder value will be limited.</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drug candidates are in the early stages of clinical development. We do not generate revenues from any FDA approved drug products. We expect to submit an Investigational New Drug Application (“IND”) or foreign equivalent to the FDA or international regulatory authorities seeking approval to initiate our clinical trials in humans in the United States or other countries yet to be determined. We plan on submitting our clinical trial protocols and receive approvals from the FDA and international regulatory authorities before we can commence any clinical trials. We may not be successful in obtaining acceptance from the FDA or comparable foreign regulatory authorities to start our clinical trials. If we do not obtain such acceptance, the time in which we expect to commence clinical programs for any drug candidate will be extended and such extension will increase our expenses and increase our need for additional capital. Moreover, there is no guarantee that our clinical trials will be successful or that we will continue clinical development in support of an approval from the FDA or comparable foreign regulatory authorities for any indication. We note that most drug candidates never reach the clinical development stage and even those that do commence clinical development have only a small chance of successfully completing clinical development and gaining regulatory approval. Therefore, our business currently depends entirely on the successful development, regulatory approval and commercialization of our drug candidates, which may never occur.</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not able to obtain any required regulatory approvals for our drug candidates, we will not be able to commercialize our drug candidate and our ability to generate revenue will be limited.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must successfully complete clinical trials for our drug candidates before we can apply for marketing approval. Even if we complete our clinical trials, it does not assure marketing approval. Our clinical trials may be unsuccessful, which would materially harm our business. Even if our initial clinical trials are successful, we are required to conduct additional clinical trials to establish our drug candidates’ safety and efficacy, before an NDA or Biologics License Application (“BLA”), or their foreign equivalents can be filed with the FDA or comparable foreign regulatory authorities for marketing approval of our drug candidates.</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Clinical testing is expensive, is difficult to design and implement, can take many years to complete and is uncertain as to outcome. Success in early phases of pre-clinical and clinical trials does not ensure that later clinical trials will be successful, and interim results of a clinical trial do not necessarily predict final results. A failure of one or more of our clinical trials can occur at any stage of testing. We may experience numerous unforeseen events during, or as a result of, the clinical trial process that could delay or prevent our ability to receive regulatory approval or commercialize our drug candidates. The research, testing, manufacturing, labeling, packaging, storage, approval, sale, marketing, advertising and promotion, pricing, export, import and distribution of drug products are subject to extensive regulation by the FDA and other regulatory authorities in the United States and other countries, which regulations differ from country to country. We are not permitted to market our drug candidates as prescription pharmaceutical products in the United States until we receive approval of an NDA from the FDA, or in any foreign countries until we receive the requisite approval from such countries. In the United States, the FDA generally requires the completion of clinical trials of each drug to establish its safety and efficacy and extensive pharmaceutical development to ensure its quality before an NDA is approved. Regulatory authorities in other jurisdictions impose similar requirements. Of the large number of drugs in development, only a small percentage result in the submission of an NDA to the FDA and even fewer are eventually approved for commercialization. We have not submitted an NDA to the FDA or comparable applications to other regulatory authorities. If our development efforts for our drug candidates, including regulatory approval, are not successful for their planned indications, or if adequate demand for our drug candidates is not generated, our business will be materially adversely affected.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0" w:name="page21"/>
    <w:bookmarkEnd w:id="20"/>
    <w:p>
      <w:pPr>
        <w:ind w:firstLine="648"/>
        <w:spacing w:after="0" w:line="277" w:lineRule="auto"/>
        <w:rPr>
          <w:sz w:val="20"/>
          <w:szCs w:val="20"/>
          <w:color w:val="auto"/>
        </w:rPr>
      </w:pPr>
      <w:r>
        <w:rPr>
          <w:rFonts w:ascii="Arial" w:cs="Arial" w:eastAsia="Arial" w:hAnsi="Arial"/>
          <w:sz w:val="18"/>
          <w:szCs w:val="18"/>
          <w:color w:val="auto"/>
        </w:rPr>
        <w:t>Our success depends on the receipt of regulatory approval and the issuance of such regulatory approvals is uncertain and subject to a number of risks, including the following:</w:t>
      </w:r>
    </w:p>
    <w:p>
      <w:pPr>
        <w:spacing w:after="0" w:line="170"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results of toxicology studies may not support the filing of an IND for our drug candidates;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or Institutional Review Boards, or “IRB”, may disagree with the design or implementation of our clinical trials;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provide acceptable evidence of our drug candidates’ safety and efficacy;</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results of our clinical trials may not be satisfactory or may not meet the level of statistical or clinical significance required by the FDA, European Medicines Agency (the “EMA”), or other regulatory agencies for marketing approval;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dosing of our drug candidates in a particular clinical trial may not be at an optimal level;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patients in our clinical trials may suffer adverse effects for reasons that may or may not be related to our drug candidates;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data collected from clinical trials may not be sufficient to support the submission of an NDA, BLA or other submission or to obtain regulatory approval in the United States or elsewhere;</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Failure to obtain regulatory approval for our drug candidates for the foregoing, or any other reasons, will prevent us from commercializing our drug candidates, and our ability to generate revenue will be materially impaired. We cannot guarantee that regulators will agree with our assessment of the results of the clinical trials we intend to conduct in the future or that such trials will be successful. The FDA, EMA and other regulators have substantial discretion in the approval process and may refuse to accept any application or may decide that our data is insufficient for approval and require additional clinical trials, or pre-clinical or other studies. In addition, varying interpretations of the data obtained from pre-clinical and clinical testing could delay, limit or prevent regulatory approval of our drug candidates.</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Excluding any activities through our passive ownership interest in Eton, we have not submitted an NDA or received regulatory approval to market our drug candidates in any jurisdiction. We have only limited experience in filing the applications necessary to gain regulatory approvals and expect to rely on consultants and third party contract research organizations, or “CROs”, with expertise in this area to assist us in this process. Securing regulatory approvals to market a product requires the submission of pre-clinical, clinical, and/or pharmacokinetic data, information about product manufacturing processes and inspection of facilities and supporting information to the appropriate regulatory authorities for each therapeutic indication to establish a drug candidate’s safety and efficacy for each indication. Our drug candidates may prove to have undesirable or unintended side effects, toxicities or other characteristics that may preclude us from obtaining regulatory approval or prevent or limit commercial use with respect to one or all intended indications.</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process of obtaining regulatory approvals is expensive, often takes many years, if approval is obtained at all, and can vary substantially based upon, among other things, the type, complexity and novelty of the drug candidates involved, the jurisdiction in which regulatory approval is sought and the substantial discretion of the regulatory authorities. Changes in regulatory approval policies during the development period, changes in or the enactment of additional statutes or regulations, or changes in regulatory review for a submitted product application may cause delays in the approval or rejection of an application. Regulatory approval obtained in one jurisdiction does not necessarily mean that a drug candidate will receive regulatory approval in all jurisdictions in which we may seek approval, but the failure to obtain approval in one jurisdiction may negatively impact our ability to seek approval in a different jurisdiction. Failure to obtain regulatory marketing approval for our drug candidates in any indication will prevent us from commercializing the drug candidate, and our ability to generate revenue will be materially impaired.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successfully commercialize any of our drug candidates, we may need to acquire additional drug candidates and our business will be adversely affected.</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never commercialized any drug candidates and do not have any other compounds in pre-clinical testing, lead optimization or lead identification stages beyond our drug candidates. We cannot be certain that any of our drug candidates will prove to be sufficiently effective and safe to meet applicable regulatory standards for any indication. If we fail to successfully commercialize any of our drug candidates for their targeted indications, whether as stand-alone therapies or in combination with other therapeutic agents, our business would be adversely affected.</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Even if we receive regulatory approval for any of our drug candidates, we may not be able to successfully commercialize the product and the revenue that we generate from its sales, if any, may be limited.</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If approved for marketing, the commercial success of our drug candidates will depend upon each product’s acceptance by the medical community, including physicians, patients and health care payors. The degree of market acceptance for any of our drug candidates will depend on a number of factors, including:</w:t>
      </w:r>
    </w:p>
    <w:p>
      <w:pPr>
        <w:spacing w:after="0" w:line="181"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demonstration of clinical safety and efficacy;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relative convenience, dosing burden and ease of administration;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prevalence and severity of any adverse effects;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willingness of physicians to prescribe our drug candidates, and the target patient population to try new therapies;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efficacy of our drug candidates compared to competing products;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introduction of any new products that may in the future become available targeting indications for which our drug candidates may be approved;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new procedures or therapies that may reduce the incidences of any of the indications in which our drug candidates may show utility;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pricing and cost-effectiveness;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inclusion or omission of our drug candidates in applicable therapeutic and vaccine guidelines;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effectiveness of our own or any future collaborators’ sales and marketing strategies;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limitations or warnings contained in approved labeling from regulatory authorities;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or reimbursement from government health care programs, including Medicare and Medicaid, private health insurers and other third-party payors or to receive the necessary pricing approvals from government bodies regulating the pricing and usage of therapeutics; and</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willingness of patients to pay out-of-pocket in the absence of third-party coverage or reimbursement or government pricing approvals.</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any of our drug candidates are approved, but do not achieve an adequate level of acceptance by physicians, health care payors, and patients, we may not generate sufficient revenue and we may not be able to achieve or sustain profitability. Our efforts to educate the medical community and third-party payors on the benefits of our drug candidates may require significant resources and may never be successful.</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even if we obtain regulatory approvals, the timing or scope of any approvals may prohibit or reduce our ability to commercialize our drug candidates successfully. For example, if the approval process takes too long, we may miss market opportunities and give other companies the ability to develop competing products or establish market dominance. Any regulatory approval we ultimately obtain may be limited or subject to restrictions or post-approval commitments that render our drug candidates not commercially viable. For example, regulatory authorities may approve any of our drug candidates for fewer or more limited indications than we request, may not approve the price we intend to charge for any of our drug candidates, may grant approval contingent on the performance of costly post-marketing clinical trials, or may approve any of our drug candidates with a label that does not include the labeling claims necessary or desirable for the successful commercialization of that indication. Further, the FDA or comparable foreign regulatory authorities may place conditions on approvals or require risk management plans or a Risk Evaluation and Mitigation Strategy,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The FDA may also require a REMS for an approved product when new safety information emerges. Any of these limitations on approval or marketing could restrict the commercial promotion, distribution, prescription or dispensing of our drug candidates. Moreover, product approvals may be withdrawn for non-compliance with regulatory standards or if problems occur following the initial marketing of the product. Any of the foregoing scenarios could materially harm the commercial success of our drug candidates.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b w:val="1"/>
          <w:bCs w:val="1"/>
          <w:i w:val="1"/>
          <w:iCs w:val="1"/>
          <w:color w:val="auto"/>
        </w:rPr>
        <w:t>Even if we obtain marketing approval for any of our drug candidates, we will be subject to ongoing obligations and continued regulatory review, which may result in significant additional expense. Additionally, our drug candidates could be subject to labeling and other restrictions and withdrawal from the market and we may be subject to penalties if we fail to comply with regulatory requirements or if we experience unanticipated problems with our drug candidates.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Even if we obtain regulatory approval for any of our drug candidates for an indication, the FDA or foreign equivalent may still impose significant restrictions on their indicated uses or marketing or the conditions of approval, or impose ongoing requirements for potentially costly and time-consuming post-approval studies, including Phase 4 clinical trials, and post-market surveillance to monitor safety and efficacy. Our drug candidates will also be subject to ongoing regulatory requirements governing the manufacturing, labeling, packaging, storage, distribution, safety surveillance, advertising, promotion, recordkeeping and reporting of adverse events and other post-market information. These requirements include registration with the FDA, as well as continued compliance with current Good Clinical Practices regulations, or “cGCPs”, for any clinical trials that we conduct post-approval. In addition, manufacturers of drug products and their facilities are subject to continual review and periodic inspections by the FDA and other regulatory authorities for compliance with current cGMP, requirements relating to quality control, quality assurance and corresponding maintenance of records and documents.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FDA has the authority to require a REMS as part of an NDA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or requiring patient testing, monitoring and/or enrollment in a registry.</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With respect to sales and marketing activities by us or any future partner, advertising and promotional materials must comply with FDA rules in addition to other applicable federal, state and local laws in the United States and similar legal requirements in other countries. In the United States, the distribution of product samples to physicians must comply with the requirements of the U.S. Prescription Drug Marketing Act. Application holders must obtain FDA approval for product and manufacturing changes, depending on the nature of the change.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All of these activities are also potentially subject to U.S. federal and state consumer protection and unfair competition laws. Similar requirements exist in many of these areas in other countries.</w:t>
      </w:r>
    </w:p>
    <w:p>
      <w:pPr>
        <w:spacing w:after="0" w:line="16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if any of our drug candidates are approved for a particular indication, our product labeling, advertising and promotion would be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If we receive marketing approval for our drug candidates, physicians may nevertheless legally prescribe our products to their patients in a manner that is inconsistent with the approved label. If we are found to have promoted such off-label uses, we may become subject to significant liability and government fines.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or a regulatory agency discovers previously unknown problems with a product, such as adverse events of unanticipated severity or frequency, problems with the facility where the product is manufactured, or we or our manufacturers fail to comply with applicable regulatory requirements, we may be subject to the following administrative or judicial sanctions:</w:t>
      </w:r>
    </w:p>
    <w:p>
      <w:pPr>
        <w:spacing w:after="0" w:line="181" w:lineRule="exact"/>
        <w:rPr>
          <w:sz w:val="20"/>
          <w:szCs w:val="20"/>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issuance of warning letters or untitled letters;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3" w:name="page24"/>
    <w:bookmarkEnd w:id="23"/>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holds;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 monetary fines;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filed by us, or suspension or revocation of product license approvals;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suspension or imposition of restrictions on operations, including costly new manufacturing requirements;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occurrence of any event or penalty described above may inhibit our ability to commercialize our drug candidates and generate revenue. Adverse regulatory action, whether pre- or post-approval, can also potentially lead to product liability claims and increase our product liability exposure.</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drug candidates in one jurisdiction does not mean that we will be successful in obtaining regulatory approval of our drug candidates in other jurisdictions.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Obtaining and maintaining regulatory approval of our drug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drug candidate, comparable regulatory authorities in foreign jurisdictions must also approve the manufacturing, marketing and promotion of the drug candidate in those countries. Approval procedures vary among jurisdictions and can involve requirements and administrative review periods different from those in the United States, including additional preclinical studies or clinical trials, as clinical studies conducted in one jurisdiction may not be accepted by regulatory authorities in other jurisdictions. In many jurisdictions outside the United States, a drug candidate must be approved for reimbursement before it can be approved for sale in that jurisdiction. In some cases, the price that we intend to charge for our products is also subject to approval.</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 or to receive applicable marketing approvals, our target market will be reduced and our ability to realize the full market potential of our drug candidates will be harmed.</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obtain marketing approval of and commercialize our drug candidates and affect the prices we may obtain.</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for our drug candidates, restrict or regulate post-approval activities and affect our ability to profitably sell our drug candidates. Legislative and regulatory proposals have been made to expand post-approval requirements and restrict sales and promotional activities for pharmaceutical products. We do not know whether additional legislative changes will be enacted, or whether the FDA regulations, guidance or interpretations will be changed, or what the impact of such changes on the marketing approvals of our drug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United States, the Medicare Modernization Act, or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use formularies where they can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our drug candidates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4" w:name="page25"/>
    <w:bookmarkEnd w:id="24"/>
    <w:p>
      <w:pPr>
        <w:jc w:val="both"/>
        <w:ind w:firstLine="648"/>
        <w:spacing w:after="0" w:line="255" w:lineRule="auto"/>
        <w:rPr>
          <w:sz w:val="20"/>
          <w:szCs w:val="20"/>
          <w:color w:val="auto"/>
        </w:rPr>
      </w:pPr>
      <w:r>
        <w:rPr>
          <w:rFonts w:ascii="Arial" w:cs="Arial" w:eastAsia="Arial" w:hAnsi="Arial"/>
          <w:sz w:val="18"/>
          <w:szCs w:val="18"/>
          <w:color w:val="auto"/>
        </w:rPr>
        <w:t>The Patient Protection and Affordable Care Act, as amended by the Health Care and Education Affordability Reconciliation Act of 2010 or, collectively, the Health Care Reform Law, is a sweeping law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The Health Care Reform Law revised the definition of “average manufacturer price” for reporting purposes, which could increase the amount of Medicaid drug rebates to states. Further, the law imposed a significant annual fee on companies that manufacture or import branded prescription drug products.</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Health Care Reform Law remains subject to legislative efforts to repeal, modify or delay the implementation of the law. Efforts to date have generally been unsuccessful as a result of the balance of power in Congress and the President’s veto power. However, the recent Presidential and Congressional elections, which resulted in the election of the Republican presidential nominee and Republican majorities in both houses of Congress, may result in additional efforts to repeal, modify or delay implementation of the Health Reform Law. If the Health Care Reform Law is repealed or modified, or if implementation of certain aspects of the Health Care Reform Law are delayed, such repeal, modification or delay may materially adversely impact our business, strategies, prospects, operating results or financial condition. We are unable to predict the full impact of any repeal, modification or delay in the implementation of the Health Care Reform Law on us at this time. Due to the substantial regulatory changes that will need to be implemented by Centers for Medicare &amp; Medicaid Services (“CMS”) and others, and the numerous processes required to implement these reforms, we cannot predict which healthcare initiatives will be implemented at the federal or state level, the timing of any such reforms, or the effect such reforms or any other future legislation or regulation will have on our business.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Health Care Reform Law was enacted.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or eliminate our profitability.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drug candidates may face competition sooner than expected.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success will depend in part on our ability to obtain and maintain patent protection for our certain of our drug candidates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However, the applications we have filed or may file in the future may never yield patents that protect our inventions and intellectual property assets. Failure to obtain patents that sufficiently cover our formulations and technologies would limit our protection against compounding pharmacies, outsourcing facilities, generic drug manufacturers, pharmaceutical companies and other parties who may seek to copy our products, produce products substantially similar to ours or use technologies substantially similar to those we own.</w:t>
      </w:r>
    </w:p>
    <w:p>
      <w:pPr>
        <w:spacing w:after="0" w:line="18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also intend to seek data exclusivity or market exclusivity for our drug candidates provided under the FDCA, and similar laws in other countries. The FDCA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Even if our drug candidates are considered to be reference products eligible for 3 years of exclusivity under the FDCA, another company could market competing products if the FDA approves a full NDA for such product containing the sponsor’s own preclinical data and data from adequate and well-controlled clinical trials to demonstrate the safety, purity and potency of the products. Moreover, an amendment or repeal of the FDCA could result in a shorter exclusivity period for our drug candidates, which would have a material adverse effect on our business.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market any of our drug candidates in a manner that violates healthcare fraud and abuse laws, or if we violate government price reporting laws, we may be subject to civil or criminal penalties.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FDA enforces laws and regulations which require that the promotion of pharmaceutical products be consistent with the approved prescribing information. While physicians may prescribe an approved product for a so-called “off label” use, it is unlawful for a pharmaceutical company to promote its products in a manner that is inconsistent with its approved label and any company which engages in such conduct can subject that company to significant liability. Similarly, industry codes in the EU and other foreign jurisdictions prohibit companies from engaging in off-label promotion and regulatory agencies in various countries enforce violations of the code with civil penalties. While we intend to ensure that our promotional materials are consistent with our label, regulatory agencies may disagree with our assessment and may issue untitled letters, warning letters or may institute other civil or criminal enforcement proceedings. In addition to FDA restrictions on marketing of pharmaceutical products, several other types of state and federal healthcare fraud and abuse laws have been applied in recent years to restrict certain marketing practices in the pharmaceutical industry. These laws include the U.S. Anti-Kickback Statute, U.S. False Claims Act and similar state laws. Because of the breadth of these laws and the narrowness of the safe harbors, it is possible that some of our business activities could be subject to challenge under one or more of these laws.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5" w:name="page26"/>
    <w:bookmarkEnd w:id="25"/>
    <w:p>
      <w:pPr>
        <w:jc w:val="both"/>
        <w:ind w:firstLine="648"/>
        <w:spacing w:after="0" w:line="268" w:lineRule="auto"/>
        <w:rPr>
          <w:sz w:val="20"/>
          <w:szCs w:val="20"/>
          <w:color w:val="auto"/>
        </w:rPr>
      </w:pPr>
      <w:r>
        <w:rPr>
          <w:rFonts w:ascii="Arial" w:cs="Arial" w:eastAsia="Arial" w:hAnsi="Arial"/>
          <w:sz w:val="17"/>
          <w:szCs w:val="17"/>
          <w:color w:val="auto"/>
        </w:rPr>
        <w:t>The U.S.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broadly to apply to arrangements between pharmaceutical manufacturers on the one hand and prescribers, purchasers and formulary managers on the other. Although there are several statutory exemptions and regulatory safe harbors protecting certain common activities from prosecution, the exemptions and safe harbors are drawn narrowly, and practices that involve remuneration intended to induce prescribing, purchasing or recommending may be subject to scrutiny if they do not qualify for an exemption or safe harbor. Our practices may not, in all cases, meet all of the criteria for safe harbor protection from anti-kickback liability. Moreover, recent health care reform legislation has strengthened these laws. For example, the Health Care Reform Law, among other things, amends the intent requirement of the U.S. Anti-Kickback Statute and criminal health care fraud statutes; a person or entity no longer needs to have actual knowledge of this statute or specific intent to violate it. In addition, the Health Care Reform Law provides that the government may assert that a claim including items or services resulting from a violation of the U.S. Anti-Kickback Statute constitutes a false or fraudulent claim for purposes of the U.S. False Claims Act. Federal false claims laws prohibit any person from knowingly presenting, or causing to be presented, a false claim for payment to the federal government or knowingly making, or causing to be made, a false statement to get a false claim paid.</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Over the past few years, several pharmaceutical and other healthcare companies have been prosecuted under these laws for a variety of alleged promotional and marketing activities, such as: allegedly providing free trips, free goods, sham consulting fees and grants and other monetary benefits to prescribers; reporting to pricing services inflated average wholesale prices that were then used by federal programs to set reimbursement rates; engaging in off-label promotion that caused claims to be submitted to Medicare or Medicaid for non-covered, off-label uses; and submitting inflated best price information to the Medicaid Rebate Program to reduce liability for Medicaid rebates. Most states also have statutes or regulations similar to the U.S. Anti-Kickback Statute and the U.S. False Claims Act, which apply to items and services reimbursed under Medicaid and other state programs, or, in several states, apply regardless of the payor. Sanctions under these federal and state laws may include substantial civil monetary penalties, exclusion of a manufacturer’s products from reimbursement under government programs, substantial criminal fines and imprisonment.</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We will be completely dependent on third parties to manufacture our drug candidates, and our commercialization of our drug candidates could be halted, delayed or made less profitable if those third parties fail to obtain manufacturing approval from the FDA or comparable foreign regulatory authorities, fail to provide us with sufficient quantities of our drug candidates or fail to do so at acceptable quality levels or prices.</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do not currently have, nor do we plan to acquire, the capability or infrastructure to manufacture the active pharmaceutical ingredient, (“API”), in our drug candidates for use in our clinical trials or for commercial product, if any. In addition, we do not have the capability to encapsulate any of our drug candidates as a finished drug product for commercial distribution. As a result, we will be obligated to rely on contract manufacturers, if and when any of our drug candidates are approved for commercialization. We have not entered into an agreement with any contract manufacturers for commercial supply and may not be able to engage a contract manufacturer for commercial supply of any of our drug candidates on favorable terms to us, or at all.</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facilities used by our contract manufacturers to manufacture our drug candidates must be approved by the FDA or comparable foreign regulatory authorities pursuant to inspections that will be conducted after we submit an NDA or BLA to the FDA or their equivalents to other relevant regulatory authorities. We will not control the manufacturing process of, and will be completely dependent on, our contract manufacturing partners for compliance with cGMPs for manufacture of both active drug substances and finished drug products. These cGMP regulations cover all aspects of the manufacturing, testing, quality control and record keeping relating to our drug candidates. If our contract manufacturers do not successfully manufacture material that conforms to our specifications and the strict regulatory requirements of the FDA or others, they will not be able to secure and/or maintain regulatory approval for their manufacturing facilities.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contract manufacturers will be subject to ongoing periodic unannounced inspections by the FDA and corresponding state and foreign agencies for compliance with cGMPs and similar regulatory requirements. We will not have control over our contract manufacturers’ compliance with these regulations and standards. Failure by any of our contract manufacturers to comply with applicable regulations could result in sanctions being imposed on us, including fines, injunctions, civil penalties, failure to grant approval to market any of our drug candidates, delays, suspensions or withdrawals of approvals, operating restrictions and criminal prosecutions, any of which could significantly and adversely affect our business. In addition, we will not have control over the ability of our contract manufacturers to maintain adequate quality control, quality assurance and qualified personnel. Failure by our contract manufacturers to comply with or maintain any of these standards could adversely affect our ability to develop, obtain regulatory approval for or market any of our drug candidates.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6" w:name="page27"/>
    <w:bookmarkEnd w:id="26"/>
    <w:p>
      <w:pPr>
        <w:jc w:val="both"/>
        <w:ind w:firstLine="648"/>
        <w:spacing w:after="0" w:line="269" w:lineRule="auto"/>
        <w:rPr>
          <w:sz w:val="20"/>
          <w:szCs w:val="20"/>
          <w:color w:val="auto"/>
        </w:rPr>
      </w:pPr>
      <w:r>
        <w:rPr>
          <w:rFonts w:ascii="Arial" w:cs="Arial" w:eastAsia="Arial" w:hAnsi="Arial"/>
          <w:sz w:val="17"/>
          <w:szCs w:val="17"/>
          <w:color w:val="auto"/>
        </w:rPr>
        <w:t>If, for any reason, these third parties are unable or unwilling to perform, we may not be able to terminate our agreements with them, and we may not be able to locate alternative manufacturers or formulators or enter into favorable agreements with them and we cannot be certain that any such third parties will have the manufacturing capacity to meet future requirements. If these manufacturers or any alternate manufacturer of finished drug product experiences any significant difficulties in its respective manufacturing processes for our API or finished products or should cease doing business with us, we could experience significant interruptions in the supply of any of our drug candidates or may not be able to create a supply of our drug candidates at all. Were we to encounter manufacturing issues, our ability to produce a sufficient supply of any of our drug candidates might be negatively affected. Our inability to coordinate the efforts of our third party manufacturing partners, or the lack of capacity available at our third party manufacturing partners, could impair our ability to supply any of our drug candidates at required levels. Because of the significant regulatory requirements that we would need to satisfy in order to qualify a new bulk or finished product manufacturer, if we face these or other difficulties with our current manufacturing partners, we could experience significant interruptions in the supply of any of our drug candidates if we decided to transfer the manufacture of any of our drug candidates to one or more alternative manufacturers in an effort to deal with the difficulties.</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manufacturing problem or the loss of a contract manufacturer could be disruptive to our operations and result in lost sales. Additionally, we rely on third parties to supply the raw materials needed to manufacture our potential products. Any reliance on suppliers may involve several risks, including a potential inability to obtain critical materials and reduced control over production costs, delivery schedules, reliability and quality. Any unanticipated disruption to a future contract manufacturer caused by problems at suppliers could delay shipment of any of our drug candidates, increase our cost of goods sold and result in lost sales.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cannot guarantee that our future manufacturing and supply partners will be able to reduce the costs of commercial scale manufacturing of any of our drug candidates over time. If the commercial-scale manufacturing costs of any of our drug candidates are higher than expected, these costs may significantly impact our operating results. In order to reduce costs, we may need to develop and implement process improvements. However, in order to do so, we will need, from time to time, to notify or make submissions with regulatory authorities, and the improvements may be subject to approval by such regulatory authorities. We cannot be sure that we will receive these necessary approvals or that these approvals will be granted in a timely fashion. We also cannot guarantee that we will be able to enhance and optimize output in our commercial manufacturing process. If we cannot enhance and optimize output, we may not be able to reduce our costs over time.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expect to rely on third parties to conduct clinical trials for our drug candidates. If these third parties do not successfully carry out their contractual duties or meet expected deadlines, we may not be able to obtain regulatory approval for or commercialize any of our drug candidates and our business would be substantially harmed.</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expect to enter into agreements with third-party CROs to conduct and manage our clinical programs including contracting with clinical sites to perform our clinical studies. We plan to rely heavily on these parties for execution of clinical studies for our drug candidates and will control only certain aspects of their activities. Nevertheless, we will be responsible for ensuring that each of our studies is conducted in accordance with the applicable protocol, legal, regulatory and scientific standards, and our reliance on CROs and clinical sites will not relieve us of our regulatory responsibilities. We and our CROs will be required to comply with cGCPs, which are regulations and guidelines enforced by the FDA, the Competent Authorities of the Member States of the European Economic Area and comparable foreign regulatory authorities for any products in clinical development. The FDA and its foreign equivalents enforce these cGCP regulations through periodic inspections of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or other regulatory authorities will determine that any of our clinical trials comply with cGCPs. In addition, our clinical trials must be conducted with products produced under cGMP regulations and will require a large number of test subjects. Our failure or the failure of our CROs or clinical sites to comply with these regulations may require us to repeat clinical trials, which would delay the regulatory approval process and could also subject us to enforcement action up to and including civil and criminal penalties.</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Although we intend to design the clinical trials for our drug candidates in consultation with CROs, we expect that the CROs will manage all of the clinical trials conducted at contracted clinical sites. As a result, many important aspects of our drug development programs would be outside of our direct control. In addition, the CROs and clinical sites may not perform all of their obligations under arrangements with us or in compliance with regulatory requirements. If the CROs or clinical sites do not perform clinical trials in a satisfactory manner, breach their obligations to us or fail to comply with regulatory requirements, the development and commercialization of any of our drug candidates for the subject indication may be delayed or our development program materially and irreversibly harmed. We cannot control the amount and timing of resources these CROs and clinical sites will devote to our program or any of our drug candidates. If we are unable to rely on clinical data collected by our CROs, we could be required to repeat, extend the duration of, or increase the size of our clinical trials, which could significantly delay commercialization and require significantly greater expenditures.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7" w:name="page28"/>
    <w:bookmarkEnd w:id="27"/>
    <w:p>
      <w:pPr>
        <w:jc w:val="both"/>
        <w:ind w:firstLine="648"/>
        <w:spacing w:after="0" w:line="255" w:lineRule="auto"/>
        <w:rPr>
          <w:sz w:val="20"/>
          <w:szCs w:val="20"/>
          <w:color w:val="auto"/>
        </w:rPr>
      </w:pPr>
      <w:r>
        <w:rPr>
          <w:rFonts w:ascii="Arial" w:cs="Arial" w:eastAsia="Arial" w:hAnsi="Arial"/>
          <w:sz w:val="18"/>
          <w:szCs w:val="18"/>
          <w:color w:val="auto"/>
        </w:rPr>
        <w:t>If any of our relationships with these third-party CROs or clinical sites terminate, we may not be able to enter into arrangements with alternative CROs or clinical sites.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such clinical trials may be extended, delayed or terminated, and we may not be able to obtain regulatory approval for or successfully commercialize our drug candidates. As a result, our financial results and the commercial prospects for any of our drug candidates would be harmed, our costs could increase and our ability to generate revenue could be delayed.</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Any termination or suspension of, or delays in the commencement or completion of, any necessary studies of any of our drug candidates for any indications could result in increased costs to us, delay or limit our ability to generate revenue and adversely affect our commercial prospects.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commencement and completion of clinical studies can be delayed for a number of reasons, including delays related to:</w:t>
      </w:r>
    </w:p>
    <w:p>
      <w:pPr>
        <w:spacing w:after="0" w:line="22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or a comparable foreign regulatory authority failing to grant permission to proceed and placing the clinical study on hold;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subjects for clinical testing failing to enroll or remain in our trials at the rate we expect;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facility manufacturing any of our drug candidates being ordered by the FDA or other government or regulatory authorities to temporarily or permanently shut down due to violations of cGMP requirements or other applicable requirements, or cross-contaminations of drug candidates in the manufacturing process;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our drug candidates, or participating in competing clinical studies;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reports from clinical testing on similar technologies and products raising safety and/or efficacy concerns;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third-party clinical investigators losing their license or permits necessary to perform our clinical trials, not performing our clinical trials on our anticipated schedule or employing methods consistent with the clinical trial protocol, cGMP requirements, or other third parties not performing data collection and analysis in a timely or accurate manner;</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inspections of clinical study sites by the FDA, comparable foreign regulatory authorities, or IRBs finding regulatory violations that require us to undertake corrective action, result in suspension or termination of one or more sites or the imposition of a clinical hold on the entire study, or that prohibit us from using some or all of the data in support of our marketing applications;</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any of the data produced by such contractors in support of our marketing applications;</w:t>
      </w:r>
    </w:p>
    <w:p>
      <w:pPr>
        <w:spacing w:after="0" w:line="181"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one or more IRBs refusing to approve, suspending or terminating the study at an investigational site, precluding enrollment of additional subjects, or withdrawing its approval of the trial; reaching agreement on acceptable terms with prospective CROs and clinical trial sites, the terms of which can be subject to extensive negotiation and may vary significantly among different CROs and trial sites;</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deviations of the clinical sites from trial protocols or dropping out of a trial;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of the CRO to execute any clinical trials for any reason;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8" w:name="page29"/>
    <w:bookmarkEnd w:id="28"/>
    <w:p>
      <w:pPr>
        <w:jc w:val="both"/>
        <w:ind w:firstLine="648"/>
        <w:spacing w:after="0" w:line="269" w:lineRule="auto"/>
        <w:rPr>
          <w:sz w:val="20"/>
          <w:szCs w:val="20"/>
          <w:color w:val="auto"/>
        </w:rPr>
      </w:pPr>
      <w:r>
        <w:rPr>
          <w:rFonts w:ascii="Arial" w:cs="Arial" w:eastAsia="Arial" w:hAnsi="Arial"/>
          <w:sz w:val="17"/>
          <w:szCs w:val="17"/>
          <w:color w:val="auto"/>
        </w:rPr>
        <w:t>Product development costs for any of our drug candidates will increase if we have delays in testing or approval or if we need to perform more or larger clinical studies than planned. Additionally, changes in regulatory requirements and policies may occur and we may need to amend study protocols to reflect these changes. Amendments may require us to resubmit our study protocols to the FDA, comparable foreign regulatory authorities, and IRBs for reexamination, which may impact the costs, timing or successful completion of that study. If we experience delays in completion of, or if we, the FDA or other regulatory authorities, the IRB, or other reviewing entities, or any of our clinical study sites suspend or terminate any of our clinical studies of any of our drug candidates, its commercial prospects may be materially harmed and our ability to generate product revenues will be delayed. Any delays in completing our clinical trials will increase our costs, slow down our development and approval process and jeopardize our ability to commence product sales and generate revenues. Any of these occurrences may harm our business, financial condition and prospects significantly. In addition, many of the factors that cause, or lead to, termination or suspension of, or a delay in the commencement or completion of, clinical studies may also ultimately lead to the denial of regulatory approval of our drug candidates. In addition, if one or more clinical studies are delayed, our competitors may be able to bring products to market before we do, and the commercial viability of any of our drug candidates could be significantly reduced.</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and results of earlier studies and trials may not be predictive of future trial results.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Clinical testing of drug candidates is expensive and can take many years to complete, and its outcome is inherently uncertain. Failure can occur at any time during the clinical trial process. The results of pre-clinical studies and early clinical trials may not be predictive of the results of later-stage clinical trials. We cannot assure you that the FDA or comparable foreign regulatory authorities will view the results as we do or that any future trials of any of our drug candidates will achieve positive results. Drug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Any future clinical trial results for our drug candidates may not be successful.</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a number of factors could contribute to a lack of favorable safety and efficacy results for any of our drug candidates. For example, such trials could result in increased variability due to varying site characteristics, such as local standards of care, differences in evaluation period and surgical technique, and due to varying patient characteristics including demographic factors and health status.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though we may apply for orphan drug designation for a drug candidate, we may not be able to obtain orphan drug marketing exclusivity.</w:t>
      </w:r>
    </w:p>
    <w:p>
      <w:pPr>
        <w:spacing w:after="0" w:line="2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is no guarantee that the FDA, EMA or their foreign equivalents will grant any future application for orphan drug designation for any of our drug candidates, which would make us ineligible for the additional exclusivity and other benefits of orphan drug designation.</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the Orphan Drug Act, the FDA may grant orphan drug designation to a drug intended to treat a rare disease or condition, which is generally a disease or condition that affects fewer than 200,000 individuals in the United States and for which there is no reasonable expectation that the cost of developing and making a drug available in the Unites States for this type of disease or condition will be recovered from sales of the product. Orphan drug designation must be requested before submitting an NDA. After the FDA grants orphan drug designation, the identity of the therapeutic agent and its potential orphan use are disclosed publicly by the FDA. Orphan product designation does not convey any advantage in or shorten the duration of regulatory review and approval process. In addition to the potential period of exclusivity, orphan designation makes a company eligible for grant funding of up to $400,000 per year for four years to defray costs of clinical trial expenses, tax credits for clinical research expenses and potential exemption from the FDA application user fee.</w:t>
      </w:r>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a product that has orphan designation subsequently receives the first FDA approval for the disease or condition for which it has such designation, the product is entitled to orphan drug exclusivity, which means the FDA may not approve any other applications to market the same drug for the same indication for seven years, except in limited circumstances, such as (i) the drug’s orphan designation is revoked; (ii) its marketing approval is withdrawn; (iii) the orphan exclusivity holder consents to the approval of another applicant’s product; (iv) the orphan exclusivity holder is unable to assure the availability of a sufficient quantity of drug; or (v) a showing of clinical superiority to the product with orphan exclusivity by a competitor product. If a drug designated as an orphan product receives marketing approval for an indication broader than what is designated, it may not be entitled to orphan drug exclusivity. There can be no assurance that we will receive orphan drug designation for any of our drug candidates in the indications for which we think they might qualify, if we elect to seek such applications.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9" w:name="page30"/>
    <w:bookmarkEnd w:id="29"/>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Although we may pursue expedited regulatory approval pathways for a drug candidate, it may not qualify for expedited development or, if it does qualify for expedited development, it may not actually lead to a faster development or regulatory review or approval process.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Although we believe there may be an opportunity to accelerate the development of certain of our drug candidates through one or more of the FDA’s expedited programs, such as fast track, breakthrough therapy, accelerated approval or priority review, we cannot be assured that any of our drug candidates will qualify for such programs.</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example, a drug may be eligible for designation as a breakthrough therapy if the drug is intended, alone or in combination with one or more other drugs, to treat a serious or life-threatening condition and preliminary clinical evidence indicates that the drug may demonstrate substantial improvement over existing therapies on one or more clinically significant endpoints. Although breakthrough designation or access to any other expedited program may expedite the development or approval process, it does not change the standards for approval. If we apply for breakthrough therapy designation or any other expedited program for our drug candidates, the FDA may determine that our proposed target indication or other aspects of our clinical development plans do not qualify for such expedited program. Even if we are successful in obtaining a breakthrough therapy designation or access to any other expedited program, we may not experience faster development timelines or achieve faster review or approval compared to conventional FDA procedures.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such drug candidate.</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prevent others from using our intellectual property, which may reduce the competitiveness and value of the related assets.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success will depend in part on our ability to obtain and maintain patent protection for our formulations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The primary means by which we will be able to protect our formulations and technologies from unauthorized use by third parties is to obtain valid and enforceable patents that cover them. As of February 19, 2018, we own and/or license 32 U.S. patents or patent applications and we own nine international patent applications filed under the Patent Cooperation Treaty and 30 foreign patent or patent applications. However, the applications we have filed or may file in the future may never yield patents that protect our inventions and intellectual property assets. Failure to obtain patents that sufficiently cover our formulations and technologies would limit our protection against other compounding pharmacies and outsourcing facilities, generic drug manufacturers, pharmaceutical companies and other parties who may seek to copy our products, produce products substantially similar to ours or use technologies substantially similar to those we own. We have made, and expect to continue to make, significant investments in certain of our proprietary formulations prior to the grant of any patents covering these formulations, and we may not receive a sufficient return on these investments if patent coverage or other appropriate intellectual property protection is not obtained and their competitiveness and value decreases.</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patent and intellectual property positions of pharmacies and pharmaceutical companies, including ours, are uncertain and involve complex legal and factual questions. There is no guarantee that we have developed or obtained or will in the future develop or obtain the rights to products or processes that are patentable, that patents will issue from any pending applications or that claims allowed will be sufficient to protect the technology we have developed or may in the future develop or to which we have acquired or may in the future acquire development rights. In addition, we cannot be certain that patents issued to us will not be challenged, invalidated, infringed or circumvented, including by our competitors, or that the rights granted thereunder will provide competitive advantages to us.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also rely on unpatented trade secrets and know-how and continuing technological innovation in order to develop our formulations, which we seek to protect, in part, by confidentiality agreements with our employees, consultants, collaborators and others, including certain service providers. We also have invention or patent assignment agreements with our current employees and certain consultants. Nonetheless, our employees and consultants may breach these agreements, and we may not have adequate remedies for the breach. Our trade secrets may otherwise become known or be independently discovered by competitors or could be developed by a person not bound by an invention assignment agreement with us, in which case we may have no rights to use the applicable invention.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face additional competition outside of the U.S. as a result of a lack of patent coverage in some territories and differences in patent prosecution and enforcement laws in foreign counties.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Filing, prosecuting, defending and enforcing patents on our proprietary formulations throughout the world is extremely expensive. We do not currently have patent protection outside of the U.S. that covers any of our proprietary formulations or other assets that we are currently pursuing. Competitors may use our technologies to develop their own products in jurisdictions where we have not obtained patent protection.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0" w:name="page31"/>
    <w:bookmarkEnd w:id="30"/>
    <w:p>
      <w:pPr>
        <w:jc w:val="both"/>
        <w:ind w:firstLine="648"/>
        <w:spacing w:after="0" w:line="290" w:lineRule="auto"/>
        <w:rPr>
          <w:sz w:val="20"/>
          <w:szCs w:val="20"/>
          <w:color w:val="auto"/>
        </w:rPr>
      </w:pPr>
      <w:r>
        <w:rPr>
          <w:rFonts w:ascii="Arial" w:cs="Arial" w:eastAsia="Arial" w:hAnsi="Arial"/>
          <w:sz w:val="16"/>
          <w:szCs w:val="16"/>
          <w:color w:val="auto"/>
        </w:rPr>
        <w:t>Even if the international patent applications we have filed or may in the future file are issued or approved, it is likely that the scope of protection provided by such patents would be different from, and possibly less than, the scope provided by corresponding U.S. patents. As a result, patent rights we are able to obtain may not be sufficient to prevent generic competition. Further, the extent of our international market opportunity may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would make it difficult for us to stop a third party from infringing any of our intellectual property rights. Moreover, attempting to enforce our patent rights in foreign jurisdictions could result in substantial costs and divert our efforts and attention from other aspects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formulations and technologies could potentially conflict with the rights of others.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or sale of our proprietary formulations and use of our technologies may infringe on the patent or other intellectual property rights of others. If our products infringe or conflict with the patent or other intellectual property rights of others, third parties could bring legal actions against us claiming damages and seeking to enjoin our manufacturing and marketing of our affected products. Patent litigation is costly and time consuming and may divert management’s attention and our resources. We may not have sufficient resources to bring any actions to a successful conclusion. If we are not successful in defending against these legal actions should they arise, we may be subject to monetary liability or be forced to alter our products, cease some or all of our operations relating to the affected products, or seek to obtain a license in order to continue manufacturing and marketing the affected products, which may not available on acceptable terms or at all.</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on our Chief Executive Officer, Mark L. Baum, and other key persons for the continued growth and development of our Company.</w:t>
      </w: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Chief Executive Officer, Mark L. Baum, has played a primary role in creating and developing our current business model. Further, Mr. Baum has played a primary role in securing much of our material intellectual property rights and related assets, as well as the means to make and distribute our current products. We are highly dependent on Mr. Baum for the implementation of our business plan and the future development of our assets and our business, and the loss of Mr. Baum’s services and leadership would likely materially adversely impact our Company. We presently maintain key man insurance for Mr. Baum. In addition, our loan agreement, identifies other key persons including, but not limited to, our Chief Financial Officer, Andrew R. Boll and our Chief Commercial Officer, John P. Saharek.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and retain key personnel and consultants, we may be unable to maintain or expand our business.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been focusing on building our management, pharmacy, research and development, sales and marketing and other personnel to pursue our current business model. To achieve our planned growth, we may have significant difficulty attracting and retaining necessary employees. Because of the specialized nature of our business, the ability to develop products and to compete will remain highly dependent upon our ability to attract and retain qualified pharmacy, scientific, technical and commercial employees and consultants. There is intense competition for qualified personnel in our industry, and we may be unable to continue to attract and retain the qualified personnel necessary for the development of our business. The loss of key employees or consultants or the failure to recruit or engage new employees and consultants could have a material adverse effect on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Because of their significant stock ownership, some of our existing stockholders are able to exert control over us and our significant corporate decisions.</w:t>
      </w:r>
    </w:p>
    <w:p>
      <w:pPr>
        <w:spacing w:after="0" w:line="26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executive officers and directors collectively own, or have the right to acquire within 60 days after March 7, 2018, approximately 14% of our common stock that would be outstanding following such issuances. These persons, acting together, have the ability to exercise significant influence over or control the outcome of all matters submitted to our stockholders for approval, including the election and removal of directors and any significant transaction involving us, and to control our management and affairs. Additionally, since our Amended and Restated Certificate of Incorporation and Amended and Restated Bylaws permit our stockholders to act by written consent, a limited number of stockholders may approve stockholder actions without holding a meeting of stockholders. This concentration of ownership may harm the market price of our common stock by, among other things: delaying, deferring, or preventing a change in control of our Company or changes to our board of directors; impeding a merger, consolidation, takeover or other business combination involving our Company; causing us to enter into transactions or agreements that are not in the best interests of all stockholders; or discouraging a potential acquiror from making a tender offer or otherwise attempting to obtain control of our Company.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accurately report our financial results, which could cause our stock price to fall.</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internal controls are necessary for us to provide reliable financial results. If we cannot provide reliable financial results, our financial statements could be misstated, our reputation may be harmed and the trading price of our common stock could decline. As we discussed in Item 9A of our 2017 Annual Report, our management concluded that our internal controls over financial reporting were effective as of December 31, 2017. However, our controls over financial processes and reporting may not continue to be effective or we may identify material weaknesses or significant deficiencies in our internal controls in the future. Any failure to remediate any future material weaknesses or successfully implement required new or improved controls,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Historically, trading in our common stock has been sporadic and volatile and our common stock has been “thinly-traded.” There have been, and may in the future be, extended periods when trading activity in our shares is minimal, as compared to a seasoned issuer with a large and steady volume of trading activity. The market for our common stock is also characterized by significant price volatility compared to seasoned issuers, and we expect that such volatility may continue. As a result, the trading of relatively small quantities of shares may disproportionately influence the market price of our common stock. A consistently active and liquid trading market in our securities may never develop or be sustained.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response to various factors, many of which are beyond our control, including the following: our ability to execute our business plan; operating results that fall below expectations; industry or regulatory developments; investor perception of our industry or our prospects; economic and other external factors; and the other risk factors discussed in this “Risk Factors” section.</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without obtaining stockholder approval. If we were to issue preferred stock, it may have rights, preferences and privileges superior to those of our common stock.</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authorized to issue 5,000,000 shares of “blank check” preferred stock, with such rights, preferences and privileges as may be determined from time to time by our board of directors.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an investment will be limited to any appreciation in the value of our common stock.</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never paid cash dividends on our common stock and do not anticipate doing so in the foreseeable future. Any payment of dividends on our common stock would depend on contractual restrictions, such as those contained in our SWK loan agreement and convertible note,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Offers or availability for sale of a substantial number of shares of our common stock may cause the price of our common stock to decline.</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sale of substantial amounts of our common stock in the public market, or the perception that sales could occur, may cause the market price of our common stock to fall. Sales could occur upon the expiration of any statutory holding period, such as under Rule 144 under the Securities Act of 1933, as amended, applicable to outstanding shares, upon expiration of any lock-up periods applicable to outstanding shares, upon our issuance of shares upon the exercise of outstanding options or warrants, or upon our issuance of shares pursuant offerings of our equity securities. The availability for sale of a substantial number of shares of our common stock, whether or not sales have occurred or are occurring, also could make it more difficult for us to raise additional financing through the sale of equity or equity-related securities in the future when needed, on acceptable terms or at all.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lease approximately 10,200 square feet of office space in San Diego, California, the current lease term for which expires on December 31, 2021 and includes an option to extend the lease through December 31, 2027. This facility serves as our corporate headquarters.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lease approximately 15,600 square feet of lab, warehouse and office space in Ledgewood, New Jersey, in two separate suites. The current lease term expires on July 31, 2022 and includes options to extend the lease term through 2032. This space serves as an outsourcing facility and pharmacy.</w:t>
      </w:r>
    </w:p>
    <w:p>
      <w:pPr>
        <w:spacing w:after="0" w:line="12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lease approximately 4,500 square feet of lab and office space in Irvine, California. The current lease term expires on December 31, 2020, and includes the options to extend the lease term through 2030. Park Compounding, our California-based pharmacy, occupies this space.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believe additional space will be required in the near-term.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Sobol Litigation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December 2016, Louis L. Sobol, M.D. (“Sobol”) filed a lawsuit in the U.S. District Court for the Eastern District of Michigan, Southern Division against us, asserting claims on behalf of himself and an as-yet-uncertified class of consumers. The claims allege violations under the Telephone Consumer Protection Act, 47 U.S.C. § 227 via our alleged transmittal of advertisements to our clients via facsimile. The case is currently in the discovery phase, and we expect Dr. Sobol to likely request the court to certify the class at some point, possibly during this calendar year. We believe the claims are frivolous and have previously and will continue to dispute all claims against us and intend to vigorously defend these allegations.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Allergan USA Litigation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2017, Allergan USA, Inc. (“Allergan”) filed a lawsuit in the U.S. District Court for the Central District of California against us, primarily claiming violations under the federal Lanham Act and other state laws. In December, we filed counterclaims against Allergan alleging similar violations under the federal Lanham Act and other state laws and the case is currently in the beginning stages of discovery, with a trial date set for April 2019. We have previously and continue to dispute all claims against us and intend to vigorously defend these allegations.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Spectrum Litigation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2018, we filed a complaint against Spectrum Laboratory Products, Inc., Spectrum Chemical Manufacturing Corp. and Spectrum Pharmacy Products, Inc. (collectively “Spectrum”) in the Los Angeles County Superior Court asserting claims for breach of contract, breach of implied covenant of good faith and fair dealing, violation of California Commercial Code Section 2101 and fraud. The claims stem from prior business dealings between us and Spectrum and allege false representation by Spectrum regarding their products, fraudulent labeling and misrepresentations of approved product usages. The complaint has been filed with the Court and to date, Spectrum has provided the Company no response nor filed any answer with the Court. We intend to fully purse any and all legal remedies available to us against Spectrum.</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not aware of any other pending legal proceedings to which we are a party or of which any of our property is subject to an adverse outcome of which, individually or in the aggregate, we believe is likely to have a material adverse effect on our financial position or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began trading on The NASDAQ Capital Market in February 2013. The following table sets forth the high and low sale prices for our common stock as reported by The NASDAQ Capital Market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180" w:type="dxa"/>
            <w:vAlign w:val="bottom"/>
          </w:tcPr>
          <w:p>
            <w:pPr>
              <w:spacing w:after="0"/>
              <w:rPr>
                <w:sz w:val="20"/>
                <w:szCs w:val="20"/>
                <w:color w:val="auto"/>
              </w:rPr>
            </w:pPr>
            <w:r>
              <w:rPr>
                <w:rFonts w:ascii="Arial" w:cs="Arial" w:eastAsia="Arial" w:hAnsi="Arial"/>
                <w:sz w:val="18"/>
                <w:szCs w:val="18"/>
                <w:b w:val="1"/>
                <w:bCs w:val="1"/>
                <w:color w:val="auto"/>
              </w:rPr>
              <w:t>Fiscal Year 2016</w:t>
            </w:r>
          </w:p>
        </w:tc>
        <w:tc>
          <w:tcPr>
            <w:tcW w:w="2920" w:type="dxa"/>
            <w:vAlign w:val="bottom"/>
          </w:tcPr>
          <w:p>
            <w:pPr>
              <w:spacing w:after="0"/>
              <w:rPr>
                <w:sz w:val="22"/>
                <w:szCs w:val="22"/>
                <w:color w:val="auto"/>
              </w:rPr>
            </w:pPr>
          </w:p>
        </w:tc>
        <w:tc>
          <w:tcPr>
            <w:tcW w:w="1400" w:type="dxa"/>
            <w:vAlign w:val="bottom"/>
          </w:tcPr>
          <w:p>
            <w:pPr>
              <w:jc w:val="right"/>
              <w:ind w:right="157"/>
              <w:spacing w:after="0"/>
              <w:rPr>
                <w:sz w:val="20"/>
                <w:szCs w:val="20"/>
                <w:color w:val="auto"/>
              </w:rPr>
            </w:pPr>
            <w:r>
              <w:rPr>
                <w:rFonts w:ascii="Arial" w:cs="Arial" w:eastAsia="Arial" w:hAnsi="Arial"/>
                <w:sz w:val="18"/>
                <w:szCs w:val="18"/>
                <w:b w:val="1"/>
                <w:bCs w:val="1"/>
                <w:color w:val="auto"/>
              </w:rPr>
              <w:t>High</w:t>
            </w: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0" w:type="dxa"/>
            <w:vAlign w:val="bottom"/>
            <w:gridSpan w:val="2"/>
          </w:tcPr>
          <w:p>
            <w:pPr>
              <w:ind w:left="360"/>
              <w:spacing w:after="0"/>
              <w:rPr>
                <w:sz w:val="20"/>
                <w:szCs w:val="20"/>
                <w:color w:val="auto"/>
              </w:rPr>
            </w:pPr>
            <w:r>
              <w:rPr>
                <w:rFonts w:ascii="Arial" w:cs="Arial" w:eastAsia="Arial" w:hAnsi="Arial"/>
                <w:sz w:val="18"/>
                <w:szCs w:val="18"/>
                <w:b w:val="1"/>
                <w:bCs w:val="1"/>
                <w:color w:val="auto"/>
              </w:rPr>
              <w:t>Low</w:t>
            </w:r>
          </w:p>
        </w:tc>
      </w:tr>
      <w:tr>
        <w:trPr>
          <w:trHeight w:val="216"/>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9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23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Second Quarter</w:t>
            </w:r>
          </w:p>
        </w:tc>
        <w:tc>
          <w:tcPr>
            <w:tcW w:w="4320" w:type="dxa"/>
            <w:vAlign w:val="bottom"/>
            <w:gridSpan w:val="2"/>
          </w:tcPr>
          <w:p>
            <w:pPr>
              <w:jc w:val="right"/>
              <w:ind w:right="1237"/>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4.16</w:t>
            </w:r>
          </w:p>
        </w:tc>
        <w:tc>
          <w:tcPr>
            <w:tcW w:w="6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320" w:type="dxa"/>
            <w:vAlign w:val="bottom"/>
            <w:gridSpan w:val="2"/>
            <w:shd w:val="clear" w:color="auto" w:fill="CCEEFF"/>
          </w:tcPr>
          <w:p>
            <w:pPr>
              <w:jc w:val="right"/>
              <w:ind w:right="123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4.45</w:t>
            </w:r>
          </w:p>
        </w:tc>
        <w:tc>
          <w:tcPr>
            <w:tcW w:w="6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Fourth Quarter</w:t>
            </w:r>
          </w:p>
        </w:tc>
        <w:tc>
          <w:tcPr>
            <w:tcW w:w="4320" w:type="dxa"/>
            <w:vAlign w:val="bottom"/>
            <w:gridSpan w:val="2"/>
          </w:tcPr>
          <w:p>
            <w:pPr>
              <w:jc w:val="right"/>
              <w:ind w:right="1237"/>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3.85</w:t>
            </w:r>
          </w:p>
        </w:tc>
        <w:tc>
          <w:tcPr>
            <w:tcW w:w="6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180" w:type="dxa"/>
            <w:vAlign w:val="bottom"/>
          </w:tcPr>
          <w:p>
            <w:pPr>
              <w:spacing w:after="0"/>
              <w:rPr>
                <w:sz w:val="20"/>
                <w:szCs w:val="20"/>
                <w:color w:val="auto"/>
              </w:rPr>
            </w:pPr>
            <w:r>
              <w:rPr>
                <w:rFonts w:ascii="Arial" w:cs="Arial" w:eastAsia="Arial" w:hAnsi="Arial"/>
                <w:sz w:val="18"/>
                <w:szCs w:val="18"/>
                <w:b w:val="1"/>
                <w:bCs w:val="1"/>
                <w:color w:val="auto"/>
              </w:rPr>
              <w:t>Fiscal Year 2017</w:t>
            </w:r>
          </w:p>
        </w:tc>
        <w:tc>
          <w:tcPr>
            <w:tcW w:w="3040" w:type="dxa"/>
            <w:vAlign w:val="bottom"/>
          </w:tcPr>
          <w:p>
            <w:pPr>
              <w:spacing w:after="0"/>
              <w:rPr>
                <w:sz w:val="22"/>
                <w:szCs w:val="22"/>
                <w:color w:val="auto"/>
              </w:rPr>
            </w:pPr>
          </w:p>
        </w:tc>
        <w:tc>
          <w:tcPr>
            <w:tcW w:w="1320" w:type="dxa"/>
            <w:vAlign w:val="bottom"/>
          </w:tcPr>
          <w:p>
            <w:pPr>
              <w:ind w:left="720"/>
              <w:spacing w:after="0"/>
              <w:rPr>
                <w:sz w:val="20"/>
                <w:szCs w:val="20"/>
                <w:color w:val="auto"/>
              </w:rPr>
            </w:pPr>
            <w:r>
              <w:rPr>
                <w:rFonts w:ascii="Arial" w:cs="Arial" w:eastAsia="Arial" w:hAnsi="Arial"/>
                <w:sz w:val="18"/>
                <w:szCs w:val="18"/>
                <w:b w:val="1"/>
                <w:bCs w:val="1"/>
                <w:color w:val="auto"/>
              </w:rPr>
              <w:t>High</w:t>
            </w: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40" w:type="dxa"/>
            <w:vAlign w:val="bottom"/>
            <w:gridSpan w:val="2"/>
          </w:tcPr>
          <w:p>
            <w:pPr>
              <w:ind w:left="760"/>
              <w:spacing w:after="0"/>
              <w:rPr>
                <w:sz w:val="20"/>
                <w:szCs w:val="20"/>
                <w:color w:val="auto"/>
              </w:rPr>
            </w:pPr>
            <w:r>
              <w:rPr>
                <w:rFonts w:ascii="Arial" w:cs="Arial" w:eastAsia="Arial" w:hAnsi="Arial"/>
                <w:sz w:val="18"/>
                <w:szCs w:val="18"/>
                <w:b w:val="1"/>
                <w:bCs w:val="1"/>
                <w:color w:val="auto"/>
              </w:rPr>
              <w:t>Low</w:t>
            </w:r>
          </w:p>
        </w:tc>
      </w:tr>
      <w:tr>
        <w:trPr>
          <w:trHeight w:val="216"/>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0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Second Quarter</w:t>
            </w:r>
          </w:p>
        </w:tc>
        <w:tc>
          <w:tcPr>
            <w:tcW w:w="30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4.65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Fourth Quarter</w:t>
            </w:r>
          </w:p>
        </w:tc>
        <w:tc>
          <w:tcPr>
            <w:tcW w:w="30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1, 2018, there were approximately 165 stockholders of record (excluding an indeterminable number of stockholders whose shares are held in street or “nominee” name)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not paid any dividends on our common stock since our inception and do not expect to pay dividends on our common stock in the foreseeable future. Further, our SWK loan agreement, described in Notes 11 to our consolidated financial statements included in this Annual Report, restrict our ability to pay cash dividends on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consolidated financial statements and the related notes contained in this annual report on Form 10-K (Annual Report). Our consolidated financial statements have been prepared and, unless otherwise stated, the information derived therefrom as presented in this discussion and analysis is presented, in accordance with accounting principles generally accepted in the United States of America (GAAP). In addition to historical information, the following discussion contains forward-looking statements based upon our current views, expectations and assumptions that are subject to risks and uncertainties. Actual results may differ substantially from those expressed or implied by any forward-looking statements due to a number of factors, including, among others, the risks described in the “Risk Factors” section and elsewhere in this Annual Report.</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As used in this discussion and analysis, unless the context indicates otherwise, the terms the “Company”, “Imprimis” “we”, “us” and “our” refer to its consolidated subsidiaries, consisting of Park Compounding, Inc., Imprimis Rx NJ, LLC dba ImprimisRx, Imprimis NJOF, LLC, and Surface Pharmaceuticals, Inc.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an ophthalmology-focused pharmaceutical company specialized in the development, production and sale of innovative medications that offer unique competitive advantages and serve unmet needs in the marketplace. We are committed to our company’s mission, of delivering high-quality novel medications to physicians and patients at affordable prices. We currently operate our business through several subsidiaries: ImprimisRx, a leading ophthalmology focused compounding business; Park Compounding, a custom compounding business focused on patient specific orders; and Surface Pharmaceuticals, Inc., an ocular surface disease-focused 505(b)(2) specialty pharmaceutical subsidiary. We also own a passive interest, with royalty stakes on certain drug candidates, in Eton Pharmaceuticals, Inc. (or Eton), a specialty pharmaceutical business utilizing the 505(b)(2) pathway, which Imprimis spun-out in 2017</w:t>
      </w:r>
    </w:p>
    <w:p>
      <w:pPr>
        <w:spacing w:after="0" w:line="1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Almost all of our sales revenue is derived from making, selling and dispensing our prescription drug formulations as cash pay transactions between us and our end-user customer. As such, the majority of our commercial transactions do not involve distributors, wholesalers, insurance companies, pharmacy benefit managers or other middle parties. By not being reliant on insurance company formulary inclusion and pharmacy benefit manager payment clawbacks, we are able to simplify the prescription transaction process. We believe the outcome of our business model is a simple transaction, involving a patient-in-need, a physician’s diagnosis and a fair price and great service for a quality pharmaceutical product. We sell our products through a network of employees and independent contractors and we dispense our formulations in all 50 states, Puerto Rico and in selected markets outside the United States.</w:t>
      </w:r>
    </w:p>
    <w:p>
      <w:pPr>
        <w:spacing w:after="0" w:line="16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have incurred recurring operating losses and have had negative operating cash flows since July 24, 1998 (inception). In addition, we have an accumulated deficit of approximately $88,836,000 at December 31, 2017. Beginning on April 1, 2014, when we acquired our first compounding pharmacy, we began generating revenue from sales of certain of our proprietary drug formulations and other non-proprietary formulations; however, we expect to incur further losses as we integrate and develop our pharmacy operations, evaluate other programs and continue the development of our formulations.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Compounding Businesses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Compounding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of our commercial products are compounded by combining different active pharmaceutical ingredients (APIs), all of which are FDA-approved (either as a finished form product or as a bulk drug ingredient), to create specialized preparations prescribed by a physician to treat an individually identified patient. Physicians prescribe our products because a standard medication approved by the FDA may not be appropriate for a particular patient’s needs. In many cases, compounded drugs such as ours have wide market utility and may be clinically appropriate for large patient populations. Examples of compounded formulations include medications with alternative dosage strengths or unique dosage forms, such as topical creams or gels, suspensions, or solutions with more tolerable drug delivery vehicles.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Compounding Facilities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three compounding facilities. Our New Jersey operations comprises two separate entities and facilities, with one facility registered with the FDA as an outsourcing facility (“NJOF”) under Section 503B of the FDCA. The other New Jersey facility (“RxNJ”), and Park Compounding, Inc. (“Park”) our California based pharmacy, are both licensed pharmacies operating under Sections 503A of the FDCA. All products that we sell, produce and dispense are made in the United States of America.</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with our current compounding pharmacy facilities and licenses and the successful completion and FDA registration of NJOF, we have the infrastructure to scale our business appropriately under the current regulatory landscape and meet the growth in demand we are targeting. We plan to invest in one or more of our pharmacies to further their capacity and efficiencies. Also, we may seek to access greater redundancy and markets through acquisitions, partnerships or other strategic transactions.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ImprimisRx</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ImprimisRx is our core ophthalmology focused compounding business. We offer our 1,700+ physician customers and their patients critical medicines to meet needs that are unmet by commercially available drugs. We make our formulations available at prices that are, in most cases, lower than non-customized commercial drugs. Our current ophthalmology formulary includes over twenty compounded formulations, many of which are patented or patent-pending, and are customized for the specific needs of a patient. Our compounded medications include various unique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facilities, or for in-office use made according to cGMPs in our FDA-registered NJOF outsourcing facility).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 Compounding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Park, our wholly owned subsidiary pharmacy based in Irvine, California, is focused on generalized customizable pharmaceutical compounding. Park dispenses sterile and non-sterile compounded medications prescribed by licensed practitioners when commercially available choices do not meet a patient’s needs. Park also produces and dispenses certain of our ophthalmology based formulations.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Surface Pharmaceuticals, Inc.</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Surface is a biopharmaceutical company focused on development and commercialization of innovative therapeutics for ocular surface diseases and is seeking FDA approval for the commercialization of its drug candidates through the Section 505(b)(2) regulatory pathway under the FDCA. In the fourth quarter of 2017, Imprimis transferred to Surface its current drug pipeline, which consists of three proprietary drug candidates. Our patent-pending</w:t>
      </w:r>
    </w:p>
    <w:p>
      <w:pPr>
        <w:jc w:val="both"/>
        <w:spacing w:after="0" w:line="224" w:lineRule="auto"/>
        <w:rPr>
          <w:sz w:val="20"/>
          <w:szCs w:val="20"/>
          <w:color w:val="auto"/>
        </w:rPr>
      </w:pPr>
      <w:r>
        <w:rPr>
          <w:rFonts w:ascii="Arial" w:cs="Arial" w:eastAsia="Arial" w:hAnsi="Arial"/>
          <w:sz w:val="18"/>
          <w:szCs w:val="18"/>
          <w:color w:val="auto"/>
        </w:rPr>
        <w:t>preservative-free topical eye drop drug candidates, SURF-100 and SURF-200, utilize a patented delivery vehicle known as Klarity Drops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(“Klarity”), that was invented by Imprimis board member and Surface’s chairman of the board and renowned ophthalmologist Dr. Richard Lindstrom. Klarity is designed to protect and rehabilitate the ocular surface pathology for patients with DED. Our drug candidate SURF-300 is a patent-pending oral capsule that will target patients also suffering from DED signs &amp; symptoms.</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currently intend to finance Surface as a separate entity, and will likely lose our controlling interest. We are currently in discussions with various investment banks and investors, and we hope to close an initial round of financing for Surface during 2018. If successful in financing Surface, in addition to our equity position, we will maintain a single digit royalty on sales of contributed drug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Eton Pharmaceuticals, Inc.</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Eton is a biopharmaceutical company focused on developing and commercializing innovative products utilizing FDA’s 505(b)(2) regulatory pathway. Eton is focused on bringing products to patients through the FDA’s 505(b)(2) regulatory pathway. Its pipeline includes nearly a dozen products in various stages of development across a variety of dosage forms. Eton’s pipeline is focused on innovative 505(b)(2) products and marketed unapproved drugs.</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May 2017, we entered into two asset purchase and license agreements (the “Eton License Agreements”) with our previously wholly owned subsidiary, Eton. Pursuant to the terms of the Eton License Agreements, we assigned and licensed to Eton certain intellectual property and related rights to develop, formulate, make, sell, and sub-license our proprietary formulations of synthetic corticotropin (Eton drug candidate CT-100) and a patented injectable pentoxifylline (collectively, the “Imprimis Products”). Eton intends to seek FDA approval for the commercialization of these drug candidates through the Section 505(b)(2) regulatory pathway. If these drug candidates are approved by the FDA, Eton is required to make royalty payments to us on the Imprimis Products. In addition to the Imprimis Products, Eton has acquired several additional 505(b)(2) drug candidates and ones that qualify under the Drug Efficacy Study Implementation (DESI) program which it plans to develop and commercialize through the 505(b)(2) pathway. Imprimis is only eligible to receive royalties on the Imprimis Products (corticotropin and pentoxifylline), and will not receive royalties on any other drug candidates currently being developed by Eton.</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Eton License Agreements became effective in June 2017, when Eton closed an offering of its Series A Preferred Stock for gross proceeds of approximately $20 million (the “Series A Round”). At the time of closing we lost our controlling interest, and deconsolidated Eton from our consolidated financial statements. We are currently the largest shareholder of Eton and own 3.5 million shares of Eton common stock, which is approximately 27% of the equity and voting interests issued and outstanding of Eton following the close of the Series A Round.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the primary factors affecting our performance are our ability to increase revenues of our proprietary compounded formulations and certain non-proprietary products, grow and gain operating efficiencies in our pharmacy operations, optimize pricing and obtain reimbursement options for our proprietary compounded formulations, and continue to pursue development and commercialization opportunities for certain of our ophthalmology and other assets that we have not yet made commercially available as compounded formulations. We believe we have built a tangible and intangible infrastructure that will allow us to scale revenues efficiently in the long-term. All of these activities will require significant costs and other resources, which we may not have or be able to obtain from operations or other sources. See “—Liquidity and Capital Resources” below.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Reimbursement Options and Pricing Optimization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proprietary ophthalmic compounded formulations are currently primarily available on a cash-pay basis. However, we work with third-party insurers, pharmacy benefit managers and buying groups to offer patient-specific customizable compounded formulations at accessible prices. We may devote time and other resources to seek reimbursement and patient pay opportunities for these and other compounded formulations and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Additionally, we are making efforts to normalize the pricing for our currently available proprietary compounded ophthalmic formulations. An economic study conducted in 2015 by researchers at Andrew Chang &amp; Co, LLC and co-sponsored by us demonstrated that, assuming the cost of Dropless Therapy is $100 per dose, our Dropless Therapy formulations may provide collective savings to Medicare, Medicaid and patients of up to $13 billion, with a most likely savings estimate of $8.7 billion, over a 10-year period. Based on this research, we believe optimized pricing for our Dropless Therapy formulations could be nearly $100 per dose. Any efforts to attain optimized pricing for our Dropless Therapy or any of our other proprietary formulations could fail, which could make our products less attractive or unavailable to some patients or could reduce our margins.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describes certain developments in 2017 to date that are important to understand our financial condition and results of operations. See the notes to our consolidated financial statements included in this report for additional information about each of these developments. Dollar amounts are expressed in thousands.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Texas Subsidiary Sale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13, 2017, we entered into a stock purchase agreement (the “SPA”) with Livernois &amp; London, LLC (“Livernois”). Pursuant to the terms of the SPA, we sold to Livernois one hundred percent (100%) of the issued and outstanding shares of common stock of our Texas based subsidiary, ImprimisRx TX, Inc. dba ImprimisRx (“Imprimis TX”). The SPA did not transfer to Livernois any our rights to intellectual property, products, clients, nor any of our existing business operations. As consideration for the purchase of Imprimis TX, Livernois paid the us $10,000 and we assigned, and Livernois assumed, the remaining lease obligation totaling $113,000 for our Texas based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Offering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21, 2017, we entered into securities purchase agreements (the “Purchase Agreement”) with two accredited investors (the “Investors”), which provided for the sale by the Company of 1,312,500 shares of our common stock, at a price of $2.40 per share (the “Offering”). We received net proceeds of $2,940,000 after deducting the underwriter discount and other offering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Klarity License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April 1, 2017, we entered into a license agreement (the “Klarity License Agreement”) with Richard L. Lindstrom, M.D., a member of our Board of Directors. Pursuant to the terms of the Klarity License Agreement, we licensed certain intellectual property and related rights from Dr. Lindstrom to develop, formulate, make, sell, and sub-license the topical ophthalmic solution Klarity used to protect and rehabilitate the ocular surface (the “Klarity Product”). Under the terms of the Klarity License Agreement, we are required to make royalty payments to Dr. Lindstrom ranging from three percent (3%) to six percent (6%) of net sales, dependent upon the final formulation of the Klarity Product sold. In addition, we are required to make certain milestone payments to Dr. Lindstrom including: (i) an initial payment of $50,000 upon execution of the Klarity License Agreement, (ii) a second payment of $50,000 following the first $50,000 in net sales of the Klarity Product; and (iii) a final payment of $50,000 following the first $100,000 in net sales of the Klarity Product. All of the above referenced milestone payments are payable at the Company’s election in cash or shares of our restricted common stock.</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Dr. Lindstrom is a member of the Company’s Board of Directors, and chairman of its Compensation Committee and a member of its Nomination and Corporate Governance Committee. At this time, the Board has determined that entering into the Klarity License Agreement would not impair Dr. Lindstrom’s independence nor his ability to provide independent oversight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Eton License Agreements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May 2017, we entered the Eton License Agreements with our previously wholly owned subsidiary, Eton. The Eton License Agreements were made effective in June 2017. Pursuant to the terms of the Eton License Agreements, we assigned and licensed to Eton certain intellectual property and related rights to develop, formulate, make, sell, and sub-license the Eton Products.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Sinus Assets Sale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July 2017, we completed the disposition of substantially all the assets associated with our sinus related business, including but not limited to, certain intellectual property rights, trademarks, copyrights, inventories, equipment, customer lists, databases, permits, licenses, and assignment of our lease obligation for our Pennsylvania based pharmacy (the “PA Assets”) pursuant to an Asset Purchase Agreement (the “PA Purchase Agreement), dated June 27, 2017, by and among us and our wholly owned subsidiaries ImprimisRx PA, Inc. and ImprimisRx CA, Inc.(now known as Park Compounding, Inc.) (collectively the “Sellers”) and Creative Pharmacy Solutions Central, LLC (the “Buyer”), for a total sales price of approximately $450,000. In connection with the closing of the PA Purchase Agreement (the “PA Closing”), the Buyer paid to us an aggregate initial cash payment of $40,000. In addition, the Buyer is obligated to pay the remaining $410,000 in the form of a note that will bear interest at 6% per annum (the “Sellers Note”). The Buyer will make forty-eight (48) monthly cash payments to the Company of $10,000 each over the four years following the PA Closing, totaling $462,000.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July 2017, we entered into a term loan and security agreement in the principal amount of $16,000,000 (the “SWK Loan Agreement” or “SWK Loan”) with SWK Funding LLC and its partners (the “SWK Lender”), as lender and collateral agent. The SWK Loan Agreement was fully funded at closing with a five year term, however, such term may be reduced to four years if certain revenue requirements are not achieved. Concurrently with the funding, we utilized a portion of the SWK Loan funds as full payment to an affiliate of Life Sciences Alternative Funding, LLC (“LSAF”) to terminate all amounts due to LSAF in connection with the existing term loan and security agreements, as amended, originally entered into between us and LSAF on May 11, 2015 (the “LSAF Loan”), which loan had a principal balance of $12,120,000 at the time of final payment.</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SWK Loan bears interest at a variable rate equal to the three-month London Inter-Bank Offered Rate (subject to a minimum of 1.50% and maximum of 3.00%), plus an applicable margin of 10.50%. The SWK Loan Agreement permits us to pay interest only on the principal amount loaned thereunder for the first six payments (payments are due on a quarterly basis), which interest-only period may be reduced to four payments if we do not meet certain minimum revenue requirements. Following the interest-only period, we will be required to pay interest, plus repayments of the principal amount loaned under the SWK Loan Agreement, in quarterly payments, which shall not exceed $750,000 per quarter. All amounts owed under the SWK Loan Agreement, including a final fee equal to 5% of the aggregate principal amount loaned thereunder, will be due and payable on July 19, 2022, or if certain revenue requirements are not met, July 19, 2021. We may elect to prepay all, but not less than all, of the amounts owed under the SWK Loan Agreement prior to the maturity date at any time after July 19, 2019. If certain revenue requirements are not met, we may be allowed to prepay the loan from July 19, 2018 to July 19, 2019, provided that a prepayment fee equal to 6% of the principal amount of the loan will also be due.</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obligations under the Loan Agreement are guaranteed on a secured basis by our wholly owned subsidiaries, ImprimisRx NJ, LLC, Imprimis NJOF, LLC and Park Compounding, Inc. Each of the Company and its subsidiaries has granted the SWK Lender a security interest in substantially all of its personal property, rights and assets, including intellectual property rights and equity ownership, to secure the payment of all amounts owed under the SWK Loan Agreement.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SWK Loan Agreement, we issued to the SWK Lender warrants to purchase up to 615,386 shares of the Company’s common stock (the “Lender Warrants”). The Lender Warrants are exercisable immediately, have an exercise price of $2.08 per share and maintain a term of 7 years. The Lender Warrants are subject to a cashless exercise feature, with the exercise price and number of shares issuable upon exercise subject to change in connection with stock splits, dividends, reclassifications and other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Correspondence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December 2017, we were issued a warning letter from the FDA alleging that, in their interpretation of our public communications, we had made false or misleading claims and omitted risk and side effect information regarding certain of our ophthalmology focused compounded medications. We immediately performed a full review of our public communications referenced in the warning letter and responded to the FDA in January 2018. Notwithstanding our continued belief that our public communications were not in fact false and misleading, we have begun discussions with the FDA and taking steps to address the items outlined in the letter and will continue to work with the FDA to assure that all allegations in the warning letter have been addressed. As of the date of this Annual Report, we believe we have addressed all of the material items of concern in the FDA’s warning letter and do not believe there will be any further action taken by FDA in this regard.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period-to-period comparisons of our financial results are not necessarily indicative of results for the current period or any future period. As a result of our acquisitions of our ImprimisRx compounding pharmacies, and any additional pharmacy acquisitions or other such transactions we may pursue, we may experience large expenditures specific to the transactions that are not incident to our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revenues include amounts recorded from sales of proprietary compounded formulations and revenues received from royalty and milestone payments owed to us pursuant to out-license arrangements.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color w:val="auto"/>
        </w:rPr>
        <w:t>The following presents our revenues for the years ended December 31,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20" w:type="dxa"/>
            <w:vAlign w:val="bottom"/>
            <w:gridSpan w:val="5"/>
          </w:tcPr>
          <w:p>
            <w:pPr>
              <w:ind w:left="300"/>
              <w:spacing w:after="0"/>
              <w:rPr>
                <w:sz w:val="20"/>
                <w:szCs w:val="20"/>
                <w:color w:val="auto"/>
              </w:rPr>
            </w:pPr>
            <w:r>
              <w:rPr>
                <w:rFonts w:ascii="Arial" w:cs="Arial" w:eastAsia="Arial" w:hAnsi="Arial"/>
                <w:sz w:val="18"/>
                <w:szCs w:val="18"/>
                <w:b w:val="1"/>
                <w:bCs w:val="1"/>
                <w:color w:val="auto"/>
              </w:rPr>
              <w:t>For The Year Ended</w:t>
            </w:r>
          </w:p>
        </w:tc>
        <w:tc>
          <w:tcPr>
            <w:tcW w:w="180" w:type="dxa"/>
            <w:vAlign w:val="bottom"/>
          </w:tcPr>
          <w:p>
            <w:pPr>
              <w:spacing w:after="0"/>
              <w:rPr>
                <w:sz w:val="19"/>
                <w:szCs w:val="19"/>
                <w:color w:val="auto"/>
              </w:rPr>
            </w:pPr>
          </w:p>
        </w:tc>
        <w:tc>
          <w:tcPr>
            <w:tcW w:w="110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390"/>
              <w:spacing w:after="0"/>
              <w:rPr>
                <w:sz w:val="20"/>
                <w:szCs w:val="20"/>
                <w:color w:val="auto"/>
              </w:rPr>
            </w:pPr>
            <w:r>
              <w:rPr>
                <w:rFonts w:ascii="Arial" w:cs="Arial" w:eastAsia="Arial" w:hAnsi="Arial"/>
                <w:sz w:val="18"/>
                <w:szCs w:val="18"/>
                <w:b w:val="1"/>
                <w:bCs w:val="1"/>
                <w:color w:val="auto"/>
                <w:w w:val="84"/>
              </w:rPr>
              <w:t>2016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Sales, net</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26,684,000</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19,927,000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6,757,000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r>
              <w:rPr>
                <w:rFonts w:ascii="Arial" w:cs="Arial" w:eastAsia="Arial" w:hAnsi="Arial"/>
                <w:sz w:val="18"/>
                <w:szCs w:val="18"/>
                <w:b w:val="1"/>
                <w:bCs w:val="1"/>
                <w:color w:val="auto"/>
              </w:rPr>
              <w:t>License revenues</w:t>
            </w:r>
          </w:p>
        </w:tc>
        <w:tc>
          <w:tcPr>
            <w:tcW w:w="2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90,000</w:t>
            </w:r>
          </w:p>
        </w:tc>
        <w:tc>
          <w:tcPr>
            <w:tcW w:w="4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c>
          <w:tcPr>
            <w:tcW w:w="18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30"/>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26,774,000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19,942,000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6,832,000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revenue between periods was largely attributable to increased sales of our proprietary formulations and furtherance of our ophthalmology related compounded formulations. Our gross ophthalmology related sales were approximately $19,137,000 for the year ended December 31, 2017, compared to $10,984,000 during last year. Net revenues generated from NJOF (which include certain ophthalmology related sales) totaled $9,374,000 the year ended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cost of sales for the years ended December 31,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2"/>
              </w:rPr>
              <w:t>For The Year Ended</w:t>
            </w:r>
          </w:p>
        </w:tc>
        <w:tc>
          <w:tcPr>
            <w:tcW w:w="180" w:type="dxa"/>
            <w:vAlign w:val="bottom"/>
          </w:tcPr>
          <w:p>
            <w:pPr>
              <w:spacing w:after="0"/>
              <w:rPr>
                <w:sz w:val="19"/>
                <w:szCs w:val="19"/>
                <w:color w:val="auto"/>
              </w:rPr>
            </w:pPr>
          </w:p>
        </w:tc>
        <w:tc>
          <w:tcPr>
            <w:tcW w:w="110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90"/>
              </w:rPr>
              <w:t>December 31,</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ind w:left="18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390"/>
              <w:spacing w:after="0"/>
              <w:rPr>
                <w:sz w:val="20"/>
                <w:szCs w:val="20"/>
                <w:color w:val="auto"/>
              </w:rPr>
            </w:pPr>
            <w:r>
              <w:rPr>
                <w:rFonts w:ascii="Arial" w:cs="Arial" w:eastAsia="Arial" w:hAnsi="Arial"/>
                <w:sz w:val="18"/>
                <w:szCs w:val="18"/>
                <w:b w:val="1"/>
                <w:bCs w:val="1"/>
                <w:color w:val="auto"/>
                <w:w w:val="84"/>
              </w:rPr>
              <w:t>2016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Variance</w:t>
            </w:r>
          </w:p>
        </w:tc>
        <w:tc>
          <w:tcPr>
            <w:tcW w:w="0" w:type="dxa"/>
            <w:vAlign w:val="bottom"/>
          </w:tcPr>
          <w:p>
            <w:pPr>
              <w:spacing w:after="0"/>
              <w:rPr>
                <w:sz w:val="1"/>
                <w:szCs w:val="1"/>
                <w:color w:val="auto"/>
              </w:rPr>
            </w:pPr>
          </w:p>
        </w:tc>
      </w:tr>
      <w:tr>
        <w:trPr>
          <w:trHeight w:val="230"/>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6"/>
              </w:rPr>
              <w:t>13,505,000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9,831,000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increase in our cost of sales between periods was largely attributable to an increase in the volume of unit sales of our formulations and products and our associated costs of such sales. We also incurred some inefficiencies in our overall production processes during the year ended December 31, 2017 as we shifted certain production efforts and requirements to new processes and systems, including cGMP requirements at NJOF which effected our overall gross margin percent. Our consolidated gross margin percent for the years ended December 31, 2017 and 2016 were 49.6% and 50.7%, respectively. We estimate gross margins at NJOF were greater than 60% during the third and fourth quarters of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selling and marketing expenses consist of costs associated with our marketing activities and sales of our proprietary compounded formulations and other non-proprietary pharmacy products and formulations, which include associated personnel costs, including wages and stock-based compensation.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selling and marketing expenses for the years ended December 31,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20" w:type="dxa"/>
            <w:vAlign w:val="bottom"/>
            <w:gridSpan w:val="5"/>
          </w:tcPr>
          <w:p>
            <w:pPr>
              <w:ind w:left="300"/>
              <w:spacing w:after="0"/>
              <w:rPr>
                <w:sz w:val="20"/>
                <w:szCs w:val="20"/>
                <w:color w:val="auto"/>
              </w:rPr>
            </w:pPr>
            <w:r>
              <w:rPr>
                <w:rFonts w:ascii="Arial" w:cs="Arial" w:eastAsia="Arial" w:hAnsi="Arial"/>
                <w:sz w:val="18"/>
                <w:szCs w:val="18"/>
                <w:b w:val="1"/>
                <w:bCs w:val="1"/>
                <w:color w:val="auto"/>
              </w:rPr>
              <w:t>For The Year Ended</w:t>
            </w:r>
          </w:p>
        </w:tc>
        <w:tc>
          <w:tcPr>
            <w:tcW w:w="180" w:type="dxa"/>
            <w:vAlign w:val="bottom"/>
          </w:tcPr>
          <w:p>
            <w:pPr>
              <w:spacing w:after="0"/>
              <w:rPr>
                <w:sz w:val="19"/>
                <w:szCs w:val="19"/>
                <w:color w:val="auto"/>
              </w:rPr>
            </w:pPr>
          </w:p>
        </w:tc>
        <w:tc>
          <w:tcPr>
            <w:tcW w:w="110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w w:val="88"/>
              </w:rPr>
              <w:t>December 31,</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390"/>
              <w:spacing w:after="0"/>
              <w:rPr>
                <w:sz w:val="20"/>
                <w:szCs w:val="20"/>
                <w:color w:val="auto"/>
              </w:rPr>
            </w:pPr>
            <w:r>
              <w:rPr>
                <w:rFonts w:ascii="Arial" w:cs="Arial" w:eastAsia="Arial" w:hAnsi="Arial"/>
                <w:sz w:val="18"/>
                <w:szCs w:val="18"/>
                <w:b w:val="1"/>
                <w:bCs w:val="1"/>
                <w:color w:val="auto"/>
                <w:w w:val="84"/>
              </w:rPr>
              <w:t>2016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Variance</w:t>
            </w:r>
          </w:p>
        </w:tc>
        <w:tc>
          <w:tcPr>
            <w:tcW w:w="0" w:type="dxa"/>
            <w:vAlign w:val="bottom"/>
          </w:tcPr>
          <w:p>
            <w:pPr>
              <w:spacing w:after="0"/>
              <w:rPr>
                <w:sz w:val="1"/>
                <w:szCs w:val="1"/>
                <w:color w:val="auto"/>
              </w:rPr>
            </w:pPr>
          </w:p>
        </w:tc>
      </w:tr>
      <w:tr>
        <w:trPr>
          <w:trHeight w:val="230"/>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Selling and marketing</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7"/>
              </w:rPr>
              <w:t>7,059,000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7,382,000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(323,000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decrease in selling and marketing expenses during the year ended December 31, 2017 compared to last year, was primarily attributable to a more concentrated and focused sales effort during 2017. We have decreased our salaried sales force headcount, began utilizing contracted sales forces, and implemented efficiencies with regards to our offerings and presence at trade conferences and other various marketing activities, all related to our commercialization efforts for our proprietary and certain non-proprietary compounded formulations.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general and administrative expenses include personnel costs, including wages and stock-based compensation, corporate facility expenses, and investor relations, consulting, insurance, filing, legal and accounting fees and expenses.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general and administrative expenses for the year ended December 31,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2"/>
              </w:rPr>
              <w:t>For The Year Ended</w:t>
            </w:r>
          </w:p>
        </w:tc>
        <w:tc>
          <w:tcPr>
            <w:tcW w:w="180" w:type="dxa"/>
            <w:vAlign w:val="bottom"/>
          </w:tcPr>
          <w:p>
            <w:pPr>
              <w:spacing w:after="0"/>
              <w:rPr>
                <w:sz w:val="19"/>
                <w:szCs w:val="19"/>
                <w:color w:val="auto"/>
              </w:rPr>
            </w:pPr>
          </w:p>
        </w:tc>
        <w:tc>
          <w:tcPr>
            <w:tcW w:w="110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90"/>
              </w:rPr>
              <w:t>December 31,</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ind w:left="18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Variance</w:t>
            </w:r>
          </w:p>
        </w:tc>
        <w:tc>
          <w:tcPr>
            <w:tcW w:w="0" w:type="dxa"/>
            <w:vAlign w:val="bottom"/>
          </w:tcPr>
          <w:p>
            <w:pPr>
              <w:spacing w:after="0"/>
              <w:rPr>
                <w:sz w:val="1"/>
                <w:szCs w:val="1"/>
                <w:color w:val="auto"/>
              </w:rPr>
            </w:pPr>
          </w:p>
        </w:tc>
      </w:tr>
      <w:tr>
        <w:trPr>
          <w:trHeight w:val="230"/>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General and administrative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6"/>
              </w:rPr>
              <w:t>17,960,000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17,569,000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increase in general and administrative expenses between periods was largely attributable to costs associated and correlated with our increase in sales, offset by the cost reduction strategies we began to implement during the third quarter of 2016 and throughout 2017. Our reduction strategy included reductions in force, implementation of information technology related efficiencies and streamlined certain operational activities.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532"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research and development expenses primarily include expenses related to the development of acquired intellectual property, investigator-initiated research and evaluations and other costs related to the clinical development of our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research and development expenses for the years ended December 31,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2"/>
              </w:rPr>
              <w:t>For The Year Ended</w:t>
            </w:r>
          </w:p>
        </w:tc>
        <w:tc>
          <w:tcPr>
            <w:tcW w:w="180" w:type="dxa"/>
            <w:vAlign w:val="bottom"/>
          </w:tcPr>
          <w:p>
            <w:pPr>
              <w:spacing w:after="0"/>
              <w:rPr>
                <w:sz w:val="19"/>
                <w:szCs w:val="19"/>
                <w:color w:val="auto"/>
              </w:rPr>
            </w:pPr>
          </w:p>
        </w:tc>
        <w:tc>
          <w:tcPr>
            <w:tcW w:w="110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90"/>
              </w:rPr>
              <w:t>December 31,</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390"/>
              <w:spacing w:after="0"/>
              <w:rPr>
                <w:sz w:val="20"/>
                <w:szCs w:val="20"/>
                <w:color w:val="auto"/>
              </w:rPr>
            </w:pPr>
            <w:r>
              <w:rPr>
                <w:rFonts w:ascii="Arial" w:cs="Arial" w:eastAsia="Arial" w:hAnsi="Arial"/>
                <w:sz w:val="18"/>
                <w:szCs w:val="18"/>
                <w:b w:val="1"/>
                <w:bCs w:val="1"/>
                <w:color w:val="auto"/>
                <w:w w:val="84"/>
              </w:rPr>
              <w:t>2016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Variance</w:t>
            </w:r>
          </w:p>
        </w:tc>
        <w:tc>
          <w:tcPr>
            <w:tcW w:w="0" w:type="dxa"/>
            <w:vAlign w:val="bottom"/>
          </w:tcPr>
          <w:p>
            <w:pPr>
              <w:spacing w:after="0"/>
              <w:rPr>
                <w:sz w:val="1"/>
                <w:szCs w:val="1"/>
                <w:color w:val="auto"/>
              </w:rPr>
            </w:pPr>
          </w:p>
        </w:tc>
      </w:tr>
      <w:tr>
        <w:trPr>
          <w:trHeight w:val="230"/>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(326,000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decrease in research and development expenses between periods was primarily attributable to change in timing of our sponsorship of investigator-initiated evaluations related to certain of our proprietary compounded formulations. In the fourth quarter of the year ended December 31, 2017, we also began formulation development studies on many of our core formulations.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Intangible Assets and Goodwill</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more fully described in Note 2 to the Consolidated Financial Statements, the Company performs an evaluation of long-lived assets and intangible assets for impairment when certain indicators of impairment are present. In September 2016, we decided to cease operations at our Texas facility, and began winding down operations at that location. Based on current projections regarding future cash flows of our Texas facility and subsidiary, the evaluation resulted in an impairment of $303,000 related to intangible assets and goodwill of our Texas subsidiary, recorded to impairment of long-lived assets on the Consolidated Statement of Operations during the year ended December 31,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was $15,000 and $10,000 for the years ended December 31, 2017 and 2016,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Interest expense was $3,041,000 and $2,784,000 for the years ended December 31, 2017 and 2016, respectively. The increase was primarily due to interest expense recognition related to the refinance of and increase in principal balance associated with our loan, as well as capital leases and deferred acquisition obligations related to our acquisition of Park.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Early Extinguishment of Debt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years ended December 31, 2017 and 2016 we recorded a loss on early extinguishment of debt of $884,000 and $1,966,000, respectively. In 2016, this loss was related to the exchange and discharge of our $3,000,000 convertible note with IMMY Funding, LLC. In 2017, this loss was related to the early extinguishment of the LSAF Loan.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Loss from Eton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 ended December 31, 2017, we recorded a loss of $2,218,000, for our share of losses based on our ownership of Eton. We began using equity method accounting for our investment in Eton beginning on June 16, 2017, the date we no longer had a controlling interest, prior to that date, their losses were consolidated within our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Deconsolidation of Eton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2017, we recorded a gain of $5,725,000, on the deconsolidation of Eton, see Note 2 and Note 3 in the Notes to the consolidated financial statements for a more detailed explanation of this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Sale of Assets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2017, we recorded a loss of $354,000, mostly related to assets associated with the sale of Imprimis TX and our sinus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Income tax benefit was $935,000 and $111,000 for the years ended December 31, 2017 and 2016, respectively, which was related to the net change in our deferred tax liabilities and assets, specifically those related to the Park acquisition and its identifiable intangible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recorded other income of $1,537,000 during the year ended December 31, 2016, related to proceeds from our insurance claim in Texas, settlement with Urigen Pharmaceuticals, Inc. and a contingent acquisition obligation payment for Pharmacy Creations, LLC.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977"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i w:val="1"/>
                <w:iCs w:val="1"/>
                <w:color w:val="auto"/>
              </w:rPr>
              <w:t>Net Loss</w:t>
            </w: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80" w:type="dxa"/>
            <w:vAlign w:val="bottom"/>
            <w:gridSpan w:val="4"/>
          </w:tcPr>
          <w:p>
            <w:pPr>
              <w:ind w:left="660"/>
              <w:spacing w:after="0"/>
              <w:rPr>
                <w:sz w:val="20"/>
                <w:szCs w:val="20"/>
                <w:color w:val="auto"/>
              </w:rPr>
            </w:pPr>
            <w:r>
              <w:rPr>
                <w:rFonts w:ascii="Arial" w:cs="Arial" w:eastAsia="Arial" w:hAnsi="Arial"/>
                <w:sz w:val="18"/>
                <w:szCs w:val="18"/>
                <w:color w:val="auto"/>
                <w:w w:val="97"/>
              </w:rPr>
              <w:t>The following table presents our net loss for the years ended December 31, 2017 and 2016:</w:t>
            </w: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24"/>
                <w:szCs w:val="24"/>
                <w:color w:val="auto"/>
              </w:rPr>
            </w:pPr>
          </w:p>
        </w:tc>
        <w:tc>
          <w:tcPr>
            <w:tcW w:w="178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Year Ended</w:t>
            </w:r>
          </w:p>
        </w:tc>
        <w:tc>
          <w:tcPr>
            <w:tcW w:w="140" w:type="dxa"/>
            <w:vAlign w:val="bottom"/>
          </w:tcPr>
          <w:p>
            <w:pPr>
              <w:spacing w:after="0"/>
              <w:rPr>
                <w:sz w:val="19"/>
                <w:szCs w:val="19"/>
                <w:color w:val="auto"/>
              </w:rPr>
            </w:pPr>
          </w:p>
        </w:tc>
        <w:tc>
          <w:tcPr>
            <w:tcW w:w="178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December 31, 2017</w:t>
            </w:r>
          </w:p>
        </w:tc>
        <w:tc>
          <w:tcPr>
            <w:tcW w:w="140" w:type="dxa"/>
            <w:vAlign w:val="bottom"/>
          </w:tcPr>
          <w:p>
            <w:pPr>
              <w:spacing w:after="0"/>
              <w:rPr>
                <w:sz w:val="20"/>
                <w:szCs w:val="20"/>
                <w:color w:val="auto"/>
              </w:rPr>
            </w:pPr>
          </w:p>
        </w:tc>
        <w:tc>
          <w:tcPr>
            <w:tcW w:w="178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December 31, 2016</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Numerator – 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(11,985,000)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(19,087,000)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Denominator – weighted average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number of shares outstanding, basic and diluted</w:t>
            </w: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20,027,712</w:t>
            </w:r>
          </w:p>
        </w:tc>
        <w:tc>
          <w:tcPr>
            <w:tcW w:w="14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12,743,184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740" w:type="dxa"/>
            <w:vAlign w:val="bottom"/>
            <w:tcBorders>
              <w:top w:val="single" w:sz="8" w:color="CCEEFF"/>
            </w:tcBorders>
          </w:tcPr>
          <w:p>
            <w:pPr>
              <w:ind w:left="100"/>
              <w:spacing w:after="0"/>
              <w:rPr>
                <w:sz w:val="20"/>
                <w:szCs w:val="20"/>
                <w:color w:val="auto"/>
              </w:rPr>
            </w:pPr>
            <w:r>
              <w:rPr>
                <w:rFonts w:ascii="Arial" w:cs="Arial" w:eastAsia="Arial" w:hAnsi="Arial"/>
                <w:sz w:val="18"/>
                <w:szCs w:val="18"/>
                <w:b w:val="1"/>
                <w:bCs w:val="1"/>
                <w:color w:val="auto"/>
              </w:rPr>
              <w:t>Net loss per share, basic and diluted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200" w:type="dxa"/>
            <w:vAlign w:val="bottom"/>
            <w:tcBorders>
              <w:top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8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cash on hand (including restricted cash) at December 31, 2017 was $4,219,000, compared to $9,053,000 at December 31, 2016. Since inception through December 31, 2017 we have incurred aggregate losses to common stockholders of $88,836,000. These losses are primarily due to selling, general and administrative and research and development expenses incurred in connection with developing and seeking regulatory approval for a former drug candidate, which activities we have now discontinued, the development and commercialization of novel compounded formulations and the development of our pharmacy operations.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6"/>
          <w:szCs w:val="16"/>
          <w:color w:val="auto"/>
        </w:rPr>
        <w:t>As of the date of this Annual Report, we believe that cash and cash equivalents of $4,019,000 and restricted investments of $200,000 totaling approximately $4,219,000 at December 31, 2017, along with net proceeds from the sale of our common stock through the Controlled Equity Offering</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sales agreement with Cantor Fitzgerald &amp; Co. (the “Sales Agreement”), will be sufficient to sustain our planned level of operations and capital expenditures for at least the next 12 months. We also may consider the sale of certain assets including, but not limited to, part of, or all of, our ownership interest in Eton and/or any of our subsidiaries. However, our plans for this period may change, our estimates of our operating expenses, capital expenditures and working capital requirements could be inaccurate, we may pursue acquisitions of pharmacies or other strategic transactions that involve large expenditures or we may experience growth more quickly or on a larger scale than we expect, any of which could result in the depletion of capital resources more rapidly than anticipated and could require us to seek additional financing earlier than we expect to support our operations.</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to use our current cash position and funds generated from our operations and any financing to pursue our business plan, which includes developing and commercializing compounded formulations and technologies, integrating and developing our compounding operations, pursuing potential future strategic transactions as opportunities arise, including potential acquisitions of additional pharmacy, outsourcing facilities, drug company and manufacturers, and/or assets or technologies, and otherwise fund our operations. We may also use our resources to conduct clinical trials or other studies in support of our formulations or any drug candidate for which we pursue FDA approval, to pursue additional development programs or to explore other development opportunities.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provides detailed information about our net cash flows for the years ended December 31,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For the</w:t>
            </w:r>
          </w:p>
        </w:tc>
        <w:tc>
          <w:tcPr>
            <w:tcW w:w="24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For the</w:t>
            </w:r>
          </w:p>
        </w:tc>
      </w:tr>
      <w:tr>
        <w:trPr>
          <w:trHeight w:val="216"/>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Year Ended</w:t>
            </w:r>
          </w:p>
        </w:tc>
        <w:tc>
          <w:tcPr>
            <w:tcW w:w="24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Year Ended</w:t>
            </w:r>
          </w:p>
        </w:tc>
      </w:tr>
      <w:tr>
        <w:trPr>
          <w:trHeight w:val="230"/>
        </w:trPr>
        <w:tc>
          <w:tcPr>
            <w:tcW w:w="5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Pr>
          <w:p>
            <w:pPr>
              <w:spacing w:after="0"/>
              <w:rPr>
                <w:sz w:val="19"/>
                <w:szCs w:val="19"/>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57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2016</w:t>
            </w:r>
          </w:p>
        </w:tc>
        <w:tc>
          <w:tcPr>
            <w:tcW w:w="80" w:type="dxa"/>
            <w:vAlign w:val="bottom"/>
            <w:tcBorders>
              <w:bottom w:val="single" w:sz="8" w:color="CCEEFF"/>
            </w:tcBorders>
          </w:tcPr>
          <w:p>
            <w:pPr>
              <w:spacing w:after="0"/>
              <w:rPr>
                <w:sz w:val="20"/>
                <w:szCs w:val="20"/>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(8,803,000)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(11,215,000)</w:t>
            </w:r>
          </w:p>
        </w:tc>
        <w:tc>
          <w:tcPr>
            <w:tcW w:w="8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(961,000)</w:t>
            </w: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(7,289,000)</w:t>
            </w:r>
          </w:p>
        </w:tc>
      </w:tr>
      <w:tr>
        <w:trPr>
          <w:trHeight w:val="25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4,930,000</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24,672,000</w:t>
            </w:r>
          </w:p>
        </w:tc>
      </w:tr>
      <w:tr>
        <w:trPr>
          <w:trHeight w:val="203"/>
        </w:trPr>
        <w:tc>
          <w:tcPr>
            <w:tcW w:w="57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change in cash and cash equivalents</w:t>
            </w:r>
          </w:p>
        </w:tc>
        <w:tc>
          <w:tcPr>
            <w:tcW w:w="2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(4,834,000)</w:t>
            </w: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6,168,000</w:t>
            </w:r>
          </w:p>
        </w:tc>
        <w:tc>
          <w:tcPr>
            <w:tcW w:w="80" w:type="dxa"/>
            <w:vAlign w:val="bottom"/>
            <w:tcBorders>
              <w:top w:val="single" w:sz="8" w:color="CCEEFF"/>
            </w:tcBorders>
          </w:tcPr>
          <w:p>
            <w:pPr>
              <w:spacing w:after="0"/>
              <w:rPr>
                <w:sz w:val="17"/>
                <w:szCs w:val="17"/>
                <w:color w:val="auto"/>
              </w:rPr>
            </w:pPr>
          </w:p>
        </w:tc>
      </w:tr>
      <w:tr>
        <w:trPr>
          <w:trHeight w:val="250"/>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24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8,853,000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2,685,000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17"/>
        </w:trPr>
        <w:tc>
          <w:tcPr>
            <w:tcW w:w="5740" w:type="dxa"/>
            <w:vAlign w:val="bottom"/>
          </w:tcPr>
          <w:p>
            <w:pPr>
              <w:spacing w:after="0"/>
              <w:rPr>
                <w:sz w:val="20"/>
                <w:szCs w:val="20"/>
                <w:color w:val="auto"/>
              </w:rPr>
            </w:pPr>
            <w:r>
              <w:rPr>
                <w:rFonts w:ascii="Arial" w:cs="Arial" w:eastAsia="Arial" w:hAnsi="Arial"/>
                <w:sz w:val="18"/>
                <w:szCs w:val="18"/>
                <w:color w:val="auto"/>
              </w:rPr>
              <w:t>Cash and cash equivalents at end of the year</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4,019,000</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8,853,000</w:t>
            </w:r>
          </w:p>
        </w:tc>
        <w:tc>
          <w:tcPr>
            <w:tcW w:w="8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Net cash used in operating activities was $(8,803,000) in 2017, as compared to $(11,215,000) used in operating activities during the same period in the prior year. The decrease in net cash used in operating activities during the year ended December 31, 2017 as compared to 2016, was mainly attributed to expanding our operations, reducing expenses, increasing sales, and accelerated collection activities associated with our accounts receivable process.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used in investing activities in 2017 and 2016 was $(961,000) and $(7,289,000), respectively. Cash used in investing activities in 2017, were primarily associated with equipment purchases and upgrades and investments in our intellectual property portfolio. Cash used in investing activities in 2016 was primarily related to construction efforts and equipment purchases for our New Jersey, California and Texas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cash provided by financing activities in 2017 and 2016 was $4,930,000 and $24,672,000, respectively. The cash provided by financing activities during 2017 is primarily attributable to proceeds from the registered direct offering and sale of shares of common stock in March 2017 and through the Sales Agreement, and net proceeds from the SWK Loan (less the concurrent retirement of our then existing term loan). Cash provided by financing activities in 2016 was primarily attributable to proceeds received in January 2016 from the LSAF Convertible Note, proceeds received from the underwritten public offering and sale of shares of common stock in March 2016 and proceeds received from the private placement of common stock and warrants in December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Capital</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principal sources of cash consist of cash provided by financing activities, including $2,940,000 in net proceeds related to a registered direct offering of our common stock in March 2017, proceeds related to the $16,000,000 SWK Loan in July 2017 (less the concurrent retirement of our than existing term loan), the proceeds related the sale of our common stock through the Sales Agreement and from ongoing product and formulation sales. We may also sell some or all of our ownership interests in Eton and/or our other subsidiaries. We do not currently receive sufficient revenues to support our operations.</w:t>
      </w:r>
    </w:p>
    <w:p>
      <w:pPr>
        <w:spacing w:after="0" w:line="15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may need significant additional capital to support our business plan and fund our proposed business operations. We are eligible to receive additional proceeds from future sales of our common stock under the Sales Agreement.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drug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included in the agreements governing the SWK Loan.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are not and have never been profitable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rely on the use of estimates and make assumptions that impact our financial condition and results. These estimates and assumptions are based on historical results and trends as well as our forecasts of how results and trends might change in the future. Although we believe that the estimates we use are reasonable, actual results could differ materially from these estimates.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accounting policies described below are critical to understanding our business, results of operations and financial condition because they involve the use of more significant judgments and estimates in the preparation of our consolidated financial statements. An accounting policy is deemed to be critical if it requires an accounting estimate to be made based on assumptions about matters that are highly uncertain at the time the estimate is made, and any changes in the assumptions used in making the accounting estimates that are reasonably likely to occur could materially impact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Deferred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recognize revenues when all of the following criteria have been met: (1) persuasive evidence of an arrangement exists; (2) delivery has occurred;</w:t>
      </w:r>
    </w:p>
    <w:p>
      <w:pPr>
        <w:spacing w:after="0" w:line="46" w:lineRule="exact"/>
        <w:rPr>
          <w:sz w:val="20"/>
          <w:szCs w:val="20"/>
          <w:color w:val="auto"/>
        </w:rPr>
      </w:pPr>
    </w:p>
    <w:p>
      <w:pPr>
        <w:ind w:left="5620" w:right="4920" w:hanging="5612"/>
        <w:spacing w:after="0" w:line="605" w:lineRule="auto"/>
        <w:tabs>
          <w:tab w:leader="none" w:pos="259"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selling price is fixed and determinable; and (4) collectability is reasonably assured.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Determination of criteria (3) and (4) is based on management’s judgments regarding the fixed nature of the selling prices of the products delivered and the collectability of those amounts. Estimated returns and allowances and other adjustments are provided for in the same period during which the related sales are recorded. We will defer any revenues received for a product that has not been delivered or is subject to refund until such time that we and the customer jointly determine that the product has been delivered and no refund will be required.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 element arrangements.</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Non-refundable fees that are not contingent on any future performance by us and require no consequential continuing involvement on our part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We defer recognition of non-refundable fees if we have continuing performance obligations without which the technology, right, product or service conveyed in conjunction with the non-refundable fee has no utility to the licensee and that are separate and independent of our performance under the other elements of the arrangement. In addition, if our continued involvement is required, through research and development services that are related to our proprietary know-how and expertise of the delivered technology or can only be performed by us, then such non-refundable fees are deferred and recognized over the period of continuing involvement. Guaranteed minimum annual royalties are recognized on a straight-line basis over the applicable term.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Eton Pharmaceuticals, Inc.</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In April 2017, we formed Eton Pharmaceuticals, Inc.as a wholly owned subsidiary. In June 2017, Eton entered into and closed on definitive stock purchase agreements with accredited investors for the purchase of Eton’s Series A Preferred Stock that resulted in us losing voting and ownership control of Eton and we ceased consolidating Eton’s financial statements. At the time of deconsolidation, the Company recorded a gain and adjusted the carrying value in Eton to reflect the increased valuation of Eton and the Company’s new ownership percent in accordance with ASC 810-10-40-4(c), </w:t>
      </w:r>
      <w:r>
        <w:rPr>
          <w:rFonts w:ascii="Arial" w:cs="Arial" w:eastAsia="Arial" w:hAnsi="Arial"/>
          <w:sz w:val="17"/>
          <w:szCs w:val="17"/>
          <w:i w:val="1"/>
          <w:iCs w:val="1"/>
          <w:color w:val="auto"/>
        </w:rPr>
        <w:t>Consolidation</w:t>
      </w:r>
      <w:r>
        <w:rPr>
          <w:rFonts w:ascii="Arial" w:cs="Arial" w:eastAsia="Arial" w:hAnsi="Arial"/>
          <w:sz w:val="17"/>
          <w:szCs w:val="17"/>
          <w:color w:val="auto"/>
        </w:rPr>
        <w:t>. We use the equity method of accounting for this investment, as management has determined that the we have the ability to exercise significant influence over the operating and financial decisions of Eton. Under this method, we recognize earnings and losses of Eton in our financial statements and adjust the carrying amount of our investment in Eton accordingly. Our share of earnings and losses are based on the shares of common stock and in-substance common stock of Eton held by us. Any intra-entity profits and losses are eliminated.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All stock-based payments to employees, directors and consultants, including grants of stock options, warrants, restricted stock units and restricted stock, are recognized in the consolidated financial statements based upon their estimated fair values. We use the Black-Scholes-Merton option pricing model and Monte Carlo Simulation to estimate the fair value of stock-based awards. Fair value is determined at the date of grant. The financial statement effect of forfeitures is estimated at the time of grant and revised, if necessary, if the actual effect differs from those estimates.</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accounting policy for equity instruments issued to consultants and vendors in exchange for goods and services follows the Financial Accounting Standards Board (FASB) guidance. As such, the value of the applicable stock-based compensation is periodically remeasured and income or expense is recognized during the vesting term of the equity instruments. The measurement date for the fair value of the equity instruments issued is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According to FASB guidance, an asset acquired in exchange for the issuance of fully vested, nonforfeitable equity instruments should not be presented or classified as an offset to equity on the grantor’s balance sheet once the equity instrument is granted for accounting purposes. Accordingly, we record the fair value of nonforfeitable equity instruments issued for future consulting services as prepaid stock-based consulting expenses in our consolidated balance sheets.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part of the process of preparing our consolidated financial statements, we must estimate our actual current tax liabilities and assess permanent and temporary differences that result from differing treatment of items for tax and accounting purposes. The temporary differences result in deferred tax assets and liabilities, which are included within the balance sheet. We must assess the likelihood that the deferred tax assets will be recovered from future taxable income and, to the extent we believe that recovery is not more likely that not, a valuation allowance must be established which reduces the amount of deferred tax assets recorded on the consolidated balance sheets. To the extent we establish a valuation allowance or increase or decrease this allowance in a period, the impact will be included in income tax expense in the statement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expense all costs related to research and development as they are incurred. Research and development expenses consist of expenses incurred in performing research and development activities, including salaries and benefits, other overhead expenses, and costs related to clinical trials, contract services and outsourced contracts.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112"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costs of acquiring intellectual property rights to be used in the research and development process, including licensing fees and milestone payments, are charged to research and development expense as incurred in situations where we have not identified an alternative future use for the acquired rights, and are capitalized in situations where we have identified an alternative future use for the acquired rights. Patents and trademarks are recorded at cost and capitalized at a time when the future economic benefits of such patents and trademarks become more certain (see Goodwill and Intangible Assets). We began capitalizing certain costs associated with acquiring intellectual property rights during 2015, if costs are not capitalized they are expensed as incurred.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Long-lived assets, such as furniture and equipment, purchased intangibles subject to amortization and patents and trademarks,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 Assets to be disposed would be separately presented in the consolidated balance sheet and reported at the lower of the carrying amount or fair value less costs to sell, and are no longer depreciated. The assets and liabilities of a disposal group classified as held-for-sale would be presented separately in the appropriate asset and liability sections of the consolidated balance sheet, if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account for business combinations by recognizing the assets acquired, liabilities assumed, contractual contingencies, and contingent consideration at their fair values on the acquisition date. The purchase price allocation process requires management to make significant estimates and assumptions, especially with respect to intangible assets, estimated contingent consideration payments and pre-acquisition contingencies. Examples of critical estimates in valuing certain of the intangible assets we have acquired or may acquire in the future include but are not limited to:</w:t>
      </w:r>
    </w:p>
    <w:p>
      <w:pPr>
        <w:spacing w:after="0" w:line="171" w:lineRule="exact"/>
        <w:rPr>
          <w:sz w:val="20"/>
          <w:szCs w:val="20"/>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expected cash flows from product sales, support agreements, consulting contracts, other customer contracts, and acquired developed technologies and patents;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discount rates utilized in valuation estimates.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Unanticipated events and circumstances may occur that may affect the accuracy or validity of such assumptions, estimates or actual results. Additionally, any change in the fair value of the acquisition-related contingent consideration subsequent to the acquisition date, including changes from events after the acquisition date, such as changes in our estimates of relevant revenue or other targets, will be recognized in earnings in the period of the estimated fair value change. A change in fair value of the acquisition-related contingent consideration or the occurrence of events that cause results to differ from our estimates or assumptions could have a material effect on the consolidated financial position, statements of operations or cash flows in the period of the change in the estimate.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Patents and trademarks are recorded at cost and capitalized at a time when the future economic benefits of such patents and trademarks become more certain. At that time, we capitalize third party legal costs and filing fees associated with obtaining and prosecuting claims related to its patents and trademarks. Once the patents have been issued, we amortize these costs over the shorter of the legal life of the patent or its estimated economic life, generally 20 years, using the straight-line method. Trademarks are an indefinite life intangible asset and are assessed for impairment based on future projected cash flows as further described below.</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review our goodwill and indefinite-lived intangible assets for impairment as of January 1 of each year and when an event or a change in circumstances indicates the fair value of a reporting unit may be below its carrying amount. Events or changes in circumstances considered as impairment indicators include but are not limited to the following:</w:t>
      </w:r>
    </w:p>
    <w:p>
      <w:pPr>
        <w:spacing w:after="0" w:line="181"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underperformance of the our business relative to expected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adverse economic and industry trends;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decline in the our market capitalization for an extended period of time relative to net book value;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expectations that a reporting unit will be sold or otherwise disposed.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goodwill impairment test consists of a two-step process as follows: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Step 1. We compare the fair value of each reporting unit to its carrying amount, including the existing goodwill. The fair value of each reporting unit is determined using a discounted cash flow valuation analysis. The carrying amount of each reporting unit is determined by specifically identifying and allocating the assets and liabilities to each reporting unit based on headcount, relative revenues or other methods as deemed appropriate by management. If the carrying amount of a reporting unit exceeds its fair value, an indication exists that the reporting unit’s goodwill may be impaired and we then perform the second step of the impairment test. If the fair value of a reporting unit exceeds its carrying amount, no further analysis is required.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4" w:name="page45"/>
    <w:bookmarkEnd w:id="44"/>
    <w:p>
      <w:pPr>
        <w:jc w:val="both"/>
        <w:spacing w:after="0" w:line="264" w:lineRule="auto"/>
        <w:rPr>
          <w:sz w:val="20"/>
          <w:szCs w:val="20"/>
          <w:color w:val="auto"/>
        </w:rPr>
      </w:pPr>
      <w:r>
        <w:rPr>
          <w:rFonts w:ascii="Arial" w:cs="Arial" w:eastAsia="Arial" w:hAnsi="Arial"/>
          <w:sz w:val="18"/>
          <w:szCs w:val="18"/>
          <w:color w:val="auto"/>
        </w:rPr>
        <w:t>Step 2. If further analysis is required, we compare the implied fair value of the reporting unit’s goodwill, determined by allocating the reporting unit’s fair value to all of its assets and its liabilities in a manner similar to a purchase price allocation, to its carrying amount. If the carrying amount of the reporting unit’s goodwill exceeds its fair value, an impairment loss will be recognized in an amount equal to the excess.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 and Debt Discount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Debt issuance costs and the debt discount are recorded net of note payable in the consolidated balance sheet. Amortization expense of debt issuance costs and the debt discount is calculated using the effective interest method over the term of the debt and is recorded in interest expense in the accompanying consolidated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account for free-standing derivative instruments and hybrid instruments that contain embedded derivative features as either assets or liabilities in the balance sheet and are measured at fair values with gains or losses recognized in earnings. Embedded derivatives that are not clearly and closely related to the host contract are bifurcated and are recognized at fair value with changes in fair value recognized as either a gain or loss in earnings. We determine the fair value of derivative instruments and hybrid instruments based on available market data using appropriate valuation models, giving consideration to all of the rights and obligations of each instrument.</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estimate the fair value of derivative instruments and hybrid instruments using various techniques (and combinations thereof) that are considered to be consistent with the objective of measuring fair value. In selecting the appropriate technique, we consider, among other factors, the nature of the instrument, the market risks that it embodies and the expected means of settlement. We generally use the Black-Scholes-Merton option pricing model, adjusted for the effect of dilution, because it embodies all of the requisite assumptions (including trading volatility, estimated terms, dilution and risk-free rates) necessary to estimate the fair value these instruments. Estimating the fair value of derivative financial instruments requires the development of significant and subjective estimates that may, and are likely to, change over the duration of the instrument with related changes in internal and external market factors. Increases in the trading price of our common stock and increases in fair value during a given financial quarter result in the application of non-cash derivative expense. Conversely, decreases in the trading price of our common stock and decreases in fair value during a given financial quarter would result in the application of non-cash derivative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Recently Issued Accounting Pronouncements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Note 2 to our consolidated financial statements included in this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our inception, except for standard operating leases, we have not engaged in any off-balance sheet arrangements, including the use of structured finance, special purpose entities or variable interest entities. 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stockholders.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financial statements and supplementary data required by this item are included in this Annual Report beginning on page F-1 immediately following the signature page hereto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Our management, under the supervision and with the participation of our Chief Executive Officer (CEO), our principal executive officer, and our Chief Financial Officer (CFO), our principal financial and accounting officer, conducted an evaluation of the effectiveness of our disclosure controls and procedures as of December 31, 2017, the end of the period covered by this Annual Report, pursuant to Rules 13a-15(b) and 15d-15(b) under the Securities Exchange Act of 1934, as amended (Exchange Act).</w:t>
      </w:r>
    </w:p>
    <w:p>
      <w:pPr>
        <w:spacing w:after="0" w:line="187"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In connection with that evaluation, our CEO and CFO concluded that, as of December 31, 2017, our disclosure controls and procedures were effective. For the purpose of this review, disclosure controls and procedures means controls and procedures designed to ensure that information required to be disclosed by us in the reports that we file or submit under the Exchange Act is recorded, processed, summarized and reported within the time periods specified in the Securities and Exchange Commission’s rules and forms. These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officer, principal financial officer and principal accounting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Rules 13a-15(f) and 15d-15(f) under the Exchange Act. Internal control over financial reporting is a process designed by, or under the supervision of, our CEO and CFO and effected by our board of directors, management and other personnel, to provide reasonable assurance regarding the reliability of financial reporting and the preparation of financial statements for external purposes in accordance with generally accepted accounting principles. Our management, under the supervision and with the participation of our CEO and CFO, conducted an evaluation of the effectiveness of our internal control over financial reporting based on the framework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(COSO). Based on such evaluation, management concluded that our internal control over financial reporting was effective as of December 31, 2017.</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Annual Report does not include an attestation report of our independent registered public accounting firm regarding internal control over financial reporting. Management’s report was not subject to attestation requirements by our independent registered public accounting firm pursuant to rules of the Securities and Exchange Commission that permit us to provide only management’s report in this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our quarter ended December 31, 2017, that has materially affected, or is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management, including our CEO and CFO, do not expect that our disclosure controls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896"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right="20" w:firstLine="441"/>
        <w:spacing w:after="0" w:line="222" w:lineRule="auto"/>
        <w:rPr>
          <w:sz w:val="20"/>
          <w:szCs w:val="20"/>
          <w:color w:val="auto"/>
        </w:rPr>
      </w:pPr>
      <w:r>
        <w:rPr>
          <w:rFonts w:ascii="Arial" w:cs="Arial" w:eastAsia="Arial" w:hAnsi="Arial"/>
          <w:sz w:val="18"/>
          <w:szCs w:val="18"/>
          <w:color w:val="auto"/>
        </w:rPr>
        <w:t>The information required by this item is incorporated by reference to information contained in the Proxy Statement or an amendment to this Annual Report, in either case to be filed with the Securities and Exchange Commission on or before the 120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end of the fiscal year covered by this Annual Report.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The information required by this item is incorporated by reference to information contained in the Proxy Statement or an amendment to this Annual Report, in either case to be filed with the Securities and Exchange Commission on or before the 120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end of the fiscal year covered by this Annual Report.</w:t>
      </w:r>
    </w:p>
    <w:p>
      <w:pPr>
        <w:spacing w:after="0" w:line="19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The information required by this item is incorporated by reference to information contained in the Proxy Statement or an amendment to this Annual Report, in either case to be filed with the Securities and Exchange Commission on or before the 120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end of the fiscal year covered by this Annual Report.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The information required by this item is incorporated by reference to information contained in the Proxy Statement or an amendment to this Annual Report, in either case to be filed with the Securities and Exchange Commission on or before the 120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end of the fiscal year covered by this Annual Report.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by reference to information contained in the Proxy Statement or an amendment to this Annual</w:t>
      </w:r>
    </w:p>
    <w:p>
      <w:pPr>
        <w:spacing w:after="0" w:line="46" w:lineRule="exact"/>
        <w:rPr>
          <w:sz w:val="20"/>
          <w:szCs w:val="20"/>
          <w:color w:val="auto"/>
        </w:rPr>
      </w:pPr>
    </w:p>
    <w:p>
      <w:pPr>
        <w:ind w:right="440"/>
        <w:spacing w:after="0" w:line="205" w:lineRule="auto"/>
        <w:rPr>
          <w:sz w:val="20"/>
          <w:szCs w:val="20"/>
          <w:color w:val="auto"/>
        </w:rPr>
      </w:pPr>
      <w:r>
        <w:rPr>
          <w:rFonts w:ascii="Arial" w:cs="Arial" w:eastAsia="Arial" w:hAnsi="Arial"/>
          <w:sz w:val="18"/>
          <w:szCs w:val="18"/>
          <w:color w:val="auto"/>
        </w:rPr>
        <w:t>Report, in either case to be filed with the Securities and Exchange Commission on or before the 120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end of the fiscal year covered by this Annual Report.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7" w:name="page48"/>
    <w:bookmarkEnd w:id="47"/>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56"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List of the following documents filed as part of the report: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See the index to our consolidated financial statements on page F-1 for a list of the financial statements being filed in this Annual Report.</w:t>
      </w:r>
    </w:p>
    <w:p>
      <w:pPr>
        <w:spacing w:after="0" w:line="248" w:lineRule="exact"/>
        <w:rPr>
          <w:rFonts w:ascii="Arial" w:cs="Arial" w:eastAsia="Arial" w:hAnsi="Arial"/>
          <w:sz w:val="16"/>
          <w:szCs w:val="16"/>
          <w:color w:val="auto"/>
        </w:rPr>
      </w:pPr>
    </w:p>
    <w:p>
      <w:pPr>
        <w:ind w:left="1300" w:hanging="320"/>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financial statement schedules are omitted because they are not applicable or the required information is shown in the consolidated financial statements or the notes thereto.</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See Item 15(b) below for all exhibits being filed or incorporated by reference herein.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 Exhibit Index attached to this Annual Report is incorporated by reference herein.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 (Principal Executive Officer)</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8, 2018</w:t>
      </w:r>
    </w:p>
    <w:p>
      <w:pPr>
        <w:spacing w:after="0" w:line="221"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Mark L. Baum and Andrew R. Boll, and each of them individually, as his true and lawful attorneys-in-fact and agents with full power of substitution and resubstitution, for him and in his name, place and stead, in any and all capacities to any or all amendments to this Annual Report, and to file the same, with all exhibits thereto, and other documents in connection therewith, with the Securities and Exchange Commission, granting unto said attorneys-in-fact and agents or any of them the full power and authority to do and perform each and every act and thing requisite and necessary to be done in and about the foregoing, as full to all intents and purposes as he might or could do in person, hereby ratifying and confirming all that said attorneys-in-fact and agents or any of them, or his substitutes, may lawfully do or cause to be done by virtue thereof.</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tcBorders>
              <w:bottom w:val="single" w:sz="8" w:color="auto"/>
            </w:tcBorders>
          </w:tcPr>
          <w:p>
            <w:pPr>
              <w:ind w:left="1640"/>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19"/>
                <w:szCs w:val="19"/>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19"/>
                <w:szCs w:val="19"/>
                <w:color w:val="auto"/>
              </w:rPr>
            </w:pPr>
          </w:p>
        </w:tc>
        <w:tc>
          <w:tcPr>
            <w:tcW w:w="182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385"/>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L. Baum</w:t>
            </w:r>
          </w:p>
        </w:tc>
        <w:tc>
          <w:tcPr>
            <w:tcW w:w="240" w:type="dxa"/>
            <w:vAlign w:val="bottom"/>
          </w:tcPr>
          <w:p>
            <w:pPr>
              <w:spacing w:after="0"/>
              <w:rPr>
                <w:sz w:val="24"/>
                <w:szCs w:val="24"/>
                <w:color w:val="auto"/>
              </w:rPr>
            </w:pPr>
          </w:p>
        </w:tc>
        <w:tc>
          <w:tcPr>
            <w:tcW w:w="53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Chief Executive Officer and Director</w:t>
            </w:r>
          </w:p>
        </w:tc>
        <w:tc>
          <w:tcPr>
            <w:tcW w:w="1820" w:type="dxa"/>
            <w:vAlign w:val="bottom"/>
          </w:tcPr>
          <w:p>
            <w:pPr>
              <w:spacing w:after="0"/>
              <w:rPr>
                <w:sz w:val="20"/>
                <w:szCs w:val="20"/>
                <w:color w:val="auto"/>
              </w:rPr>
            </w:pPr>
            <w:r>
              <w:rPr>
                <w:rFonts w:ascii="Arial" w:cs="Arial" w:eastAsia="Arial" w:hAnsi="Arial"/>
                <w:sz w:val="18"/>
                <w:szCs w:val="18"/>
                <w:color w:val="auto"/>
              </w:rPr>
              <w:t>March 8, 2018</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Mark L. Baum</w:t>
            </w:r>
          </w:p>
        </w:tc>
        <w:tc>
          <w:tcPr>
            <w:tcW w:w="240" w:type="dxa"/>
            <w:vAlign w:val="bottom"/>
          </w:tcPr>
          <w:p>
            <w:pPr>
              <w:spacing w:after="0"/>
              <w:rPr>
                <w:sz w:val="20"/>
                <w:szCs w:val="20"/>
                <w:color w:val="auto"/>
              </w:rPr>
            </w:pPr>
          </w:p>
        </w:tc>
        <w:tc>
          <w:tcPr>
            <w:tcW w:w="5360" w:type="dxa"/>
            <w:vAlign w:val="bottom"/>
            <w:gridSpan w:val="2"/>
          </w:tcPr>
          <w:p>
            <w:pPr>
              <w:jc w:val="center"/>
              <w:ind w:right="220"/>
              <w:spacing w:after="0" w:line="203" w:lineRule="exact"/>
              <w:rPr>
                <w:sz w:val="20"/>
                <w:szCs w:val="20"/>
                <w:color w:val="auto"/>
              </w:rPr>
            </w:pPr>
            <w:r>
              <w:rPr>
                <w:rFonts w:ascii="Arial" w:cs="Arial" w:eastAsia="Arial" w:hAnsi="Arial"/>
                <w:sz w:val="18"/>
                <w:szCs w:val="18"/>
                <w:i w:val="1"/>
                <w:iCs w:val="1"/>
                <w:color w:val="auto"/>
                <w:w w:val="94"/>
              </w:rPr>
              <w:t>(Principal Executive Officer)</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c>
          <w:tcPr>
            <w:tcW w:w="240" w:type="dxa"/>
            <w:vAlign w:val="bottom"/>
          </w:tcPr>
          <w:p>
            <w:pPr>
              <w:spacing w:after="0"/>
              <w:rPr>
                <w:sz w:val="24"/>
                <w:szCs w:val="24"/>
                <w:color w:val="auto"/>
              </w:rPr>
            </w:pPr>
          </w:p>
        </w:tc>
        <w:tc>
          <w:tcPr>
            <w:tcW w:w="53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Chief Financial Officer</w:t>
            </w:r>
          </w:p>
        </w:tc>
        <w:tc>
          <w:tcPr>
            <w:tcW w:w="1820" w:type="dxa"/>
            <w:vAlign w:val="bottom"/>
          </w:tcPr>
          <w:p>
            <w:pPr>
              <w:spacing w:after="0"/>
              <w:rPr>
                <w:sz w:val="20"/>
                <w:szCs w:val="20"/>
                <w:color w:val="auto"/>
              </w:rPr>
            </w:pPr>
            <w:r>
              <w:rPr>
                <w:rFonts w:ascii="Arial" w:cs="Arial" w:eastAsia="Arial" w:hAnsi="Arial"/>
                <w:sz w:val="18"/>
                <w:szCs w:val="18"/>
                <w:color w:val="auto"/>
              </w:rPr>
              <w:t>March 8, 2018</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Andrew R. Boll</w:t>
            </w:r>
          </w:p>
        </w:tc>
        <w:tc>
          <w:tcPr>
            <w:tcW w:w="240" w:type="dxa"/>
            <w:vAlign w:val="bottom"/>
          </w:tcPr>
          <w:p>
            <w:pPr>
              <w:spacing w:after="0"/>
              <w:rPr>
                <w:sz w:val="20"/>
                <w:szCs w:val="20"/>
                <w:color w:val="auto"/>
              </w:rPr>
            </w:pPr>
          </w:p>
        </w:tc>
        <w:tc>
          <w:tcPr>
            <w:tcW w:w="5360" w:type="dxa"/>
            <w:vAlign w:val="bottom"/>
            <w:gridSpan w:val="2"/>
          </w:tcPr>
          <w:p>
            <w:pPr>
              <w:jc w:val="center"/>
              <w:ind w:right="240"/>
              <w:spacing w:after="0" w:line="203" w:lineRule="exact"/>
              <w:rPr>
                <w:sz w:val="20"/>
                <w:szCs w:val="20"/>
                <w:color w:val="auto"/>
              </w:rPr>
            </w:pPr>
            <w:r>
              <w:rPr>
                <w:rFonts w:ascii="Arial" w:cs="Arial" w:eastAsia="Arial" w:hAnsi="Arial"/>
                <w:sz w:val="18"/>
                <w:szCs w:val="18"/>
                <w:i w:val="1"/>
                <w:iCs w:val="1"/>
                <w:color w:val="auto"/>
                <w:w w:val="95"/>
              </w:rPr>
              <w:t>(Principal Accounting and Financial Officer)</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J. Kammer</w:t>
            </w:r>
          </w:p>
        </w:tc>
        <w:tc>
          <w:tcPr>
            <w:tcW w:w="240" w:type="dxa"/>
            <w:vAlign w:val="bottom"/>
          </w:tcPr>
          <w:p>
            <w:pPr>
              <w:spacing w:after="0"/>
              <w:rPr>
                <w:sz w:val="24"/>
                <w:szCs w:val="24"/>
                <w:color w:val="auto"/>
              </w:rPr>
            </w:pPr>
          </w:p>
        </w:tc>
        <w:tc>
          <w:tcPr>
            <w:tcW w:w="536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2"/>
              </w:rPr>
              <w:t>Chairman of the Board of Directors</w:t>
            </w:r>
          </w:p>
        </w:tc>
        <w:tc>
          <w:tcPr>
            <w:tcW w:w="1820" w:type="dxa"/>
            <w:vAlign w:val="bottom"/>
          </w:tcPr>
          <w:p>
            <w:pPr>
              <w:spacing w:after="0"/>
              <w:rPr>
                <w:sz w:val="20"/>
                <w:szCs w:val="20"/>
                <w:color w:val="auto"/>
              </w:rPr>
            </w:pPr>
            <w:r>
              <w:rPr>
                <w:rFonts w:ascii="Arial" w:cs="Arial" w:eastAsia="Arial" w:hAnsi="Arial"/>
                <w:sz w:val="18"/>
                <w:szCs w:val="18"/>
                <w:color w:val="auto"/>
              </w:rPr>
              <w:t>March 8, 2018</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Robert J. Kammer</w:t>
            </w:r>
          </w:p>
        </w:tc>
        <w:tc>
          <w:tcPr>
            <w:tcW w:w="240" w:type="dxa"/>
            <w:vAlign w:val="bottom"/>
          </w:tcPr>
          <w:p>
            <w:pPr>
              <w:spacing w:after="0"/>
              <w:rPr>
                <w:sz w:val="20"/>
                <w:szCs w:val="20"/>
                <w:color w:val="auto"/>
              </w:rPr>
            </w:pPr>
          </w:p>
        </w:tc>
        <w:tc>
          <w:tcPr>
            <w:tcW w:w="536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Stephen G. Austin</w:t>
            </w:r>
          </w:p>
        </w:tc>
        <w:tc>
          <w:tcPr>
            <w:tcW w:w="240" w:type="dxa"/>
            <w:vAlign w:val="bottom"/>
          </w:tcPr>
          <w:p>
            <w:pPr>
              <w:spacing w:after="0"/>
              <w:rPr>
                <w:sz w:val="24"/>
                <w:szCs w:val="24"/>
                <w:color w:val="auto"/>
              </w:rPr>
            </w:pPr>
          </w:p>
        </w:tc>
        <w:tc>
          <w:tcPr>
            <w:tcW w:w="536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spacing w:after="0"/>
              <w:rPr>
                <w:sz w:val="20"/>
                <w:szCs w:val="20"/>
                <w:color w:val="auto"/>
              </w:rPr>
            </w:pPr>
            <w:r>
              <w:rPr>
                <w:rFonts w:ascii="Arial" w:cs="Arial" w:eastAsia="Arial" w:hAnsi="Arial"/>
                <w:sz w:val="18"/>
                <w:szCs w:val="18"/>
                <w:color w:val="auto"/>
              </w:rPr>
              <w:t>March 8, 2018</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Stephen G. Austin</w:t>
            </w:r>
          </w:p>
        </w:tc>
        <w:tc>
          <w:tcPr>
            <w:tcW w:w="240" w:type="dxa"/>
            <w:vAlign w:val="bottom"/>
          </w:tcPr>
          <w:p>
            <w:pPr>
              <w:spacing w:after="0"/>
              <w:rPr>
                <w:sz w:val="20"/>
                <w:szCs w:val="20"/>
                <w:color w:val="auto"/>
              </w:rPr>
            </w:pPr>
          </w:p>
        </w:tc>
        <w:tc>
          <w:tcPr>
            <w:tcW w:w="536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Richard L. Lindstrom</w:t>
            </w:r>
          </w:p>
        </w:tc>
        <w:tc>
          <w:tcPr>
            <w:tcW w:w="240" w:type="dxa"/>
            <w:vAlign w:val="bottom"/>
          </w:tcPr>
          <w:p>
            <w:pPr>
              <w:spacing w:after="0"/>
              <w:rPr>
                <w:sz w:val="24"/>
                <w:szCs w:val="24"/>
                <w:color w:val="auto"/>
              </w:rPr>
            </w:pPr>
          </w:p>
        </w:tc>
        <w:tc>
          <w:tcPr>
            <w:tcW w:w="536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spacing w:after="0"/>
              <w:rPr>
                <w:sz w:val="20"/>
                <w:szCs w:val="20"/>
                <w:color w:val="auto"/>
              </w:rPr>
            </w:pPr>
            <w:r>
              <w:rPr>
                <w:rFonts w:ascii="Arial" w:cs="Arial" w:eastAsia="Arial" w:hAnsi="Arial"/>
                <w:sz w:val="18"/>
                <w:szCs w:val="18"/>
                <w:color w:val="auto"/>
              </w:rPr>
              <w:t>March 8, 2018</w:t>
            </w:r>
          </w:p>
        </w:tc>
        <w:tc>
          <w:tcPr>
            <w:tcW w:w="0" w:type="dxa"/>
            <w:vAlign w:val="bottom"/>
          </w:tcPr>
          <w:p>
            <w:pPr>
              <w:spacing w:after="0"/>
              <w:rPr>
                <w:sz w:val="1"/>
                <w:szCs w:val="1"/>
                <w:color w:val="auto"/>
              </w:rPr>
            </w:pPr>
          </w:p>
        </w:tc>
      </w:tr>
      <w:tr>
        <w:trPr>
          <w:trHeight w:val="230"/>
        </w:trPr>
        <w:tc>
          <w:tcPr>
            <w:tcW w:w="4000" w:type="dxa"/>
            <w:vAlign w:val="bottom"/>
          </w:tcPr>
          <w:p>
            <w:pPr>
              <w:ind w:left="60"/>
              <w:spacing w:after="0"/>
              <w:rPr>
                <w:sz w:val="20"/>
                <w:szCs w:val="20"/>
                <w:color w:val="auto"/>
              </w:rPr>
            </w:pPr>
            <w:r>
              <w:rPr>
                <w:rFonts w:ascii="Arial" w:cs="Arial" w:eastAsia="Arial" w:hAnsi="Arial"/>
                <w:sz w:val="18"/>
                <w:szCs w:val="18"/>
                <w:color w:val="auto"/>
              </w:rPr>
              <w:t>Richard L. Lindstrom</w:t>
            </w:r>
          </w:p>
        </w:tc>
        <w:tc>
          <w:tcPr>
            <w:tcW w:w="240" w:type="dxa"/>
            <w:vAlign w:val="bottom"/>
          </w:tcPr>
          <w:p>
            <w:pPr>
              <w:spacing w:after="0"/>
              <w:rPr>
                <w:sz w:val="20"/>
                <w:szCs w:val="20"/>
                <w:color w:val="auto"/>
              </w:rPr>
            </w:pPr>
          </w:p>
        </w:tc>
        <w:tc>
          <w:tcPr>
            <w:tcW w:w="536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Anthony J. Principi</w:t>
            </w:r>
          </w:p>
        </w:tc>
        <w:tc>
          <w:tcPr>
            <w:tcW w:w="240" w:type="dxa"/>
            <w:vAlign w:val="bottom"/>
          </w:tcPr>
          <w:p>
            <w:pPr>
              <w:spacing w:after="0"/>
              <w:rPr>
                <w:sz w:val="24"/>
                <w:szCs w:val="24"/>
                <w:color w:val="auto"/>
              </w:rPr>
            </w:pPr>
          </w:p>
        </w:tc>
        <w:tc>
          <w:tcPr>
            <w:tcW w:w="536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spacing w:after="0"/>
              <w:rPr>
                <w:sz w:val="20"/>
                <w:szCs w:val="20"/>
                <w:color w:val="auto"/>
              </w:rPr>
            </w:pPr>
            <w:r>
              <w:rPr>
                <w:rFonts w:ascii="Arial" w:cs="Arial" w:eastAsia="Arial" w:hAnsi="Arial"/>
                <w:sz w:val="18"/>
                <w:szCs w:val="18"/>
                <w:color w:val="auto"/>
              </w:rPr>
              <w:t>March 8, 2018</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Anthony J. Principi</w:t>
            </w:r>
          </w:p>
        </w:tc>
        <w:tc>
          <w:tcPr>
            <w:tcW w:w="240" w:type="dxa"/>
            <w:vAlign w:val="bottom"/>
          </w:tcPr>
          <w:p>
            <w:pPr>
              <w:spacing w:after="0"/>
              <w:rPr>
                <w:sz w:val="20"/>
                <w:szCs w:val="20"/>
                <w:color w:val="auto"/>
              </w:rPr>
            </w:pPr>
          </w:p>
        </w:tc>
        <w:tc>
          <w:tcPr>
            <w:tcW w:w="536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400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2"/>
          </w:tcPr>
          <w:p>
            <w:pPr>
              <w:jc w:val="right"/>
              <w:ind w:right="3490"/>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60" w:type="dxa"/>
            <w:vAlign w:val="bottom"/>
            <w:gridSpan w:val="4"/>
          </w:tcPr>
          <w:p>
            <w:pPr>
              <w:jc w:val="center"/>
              <w:ind w:right="2420"/>
              <w:spacing w:after="0"/>
              <w:rPr>
                <w:sz w:val="20"/>
                <w:szCs w:val="20"/>
                <w:color w:val="auto"/>
              </w:rPr>
            </w:pPr>
            <w:r>
              <w:rPr>
                <w:rFonts w:ascii="Arial" w:cs="Arial" w:eastAsia="Arial" w:hAnsi="Arial"/>
                <w:sz w:val="18"/>
                <w:szCs w:val="18"/>
                <w:b w:val="1"/>
                <w:bCs w:val="1"/>
                <w:color w:val="auto"/>
              </w:rPr>
              <w:t>FINANCIAL STATEMENTS</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gridSpan w:val="4"/>
          </w:tcPr>
          <w:p>
            <w:pPr>
              <w:jc w:val="center"/>
              <w:ind w:right="2420"/>
              <w:spacing w:after="0"/>
              <w:rPr>
                <w:sz w:val="20"/>
                <w:szCs w:val="20"/>
                <w:color w:val="auto"/>
              </w:rPr>
            </w:pPr>
            <w:r>
              <w:rPr>
                <w:rFonts w:ascii="Arial" w:cs="Arial" w:eastAsia="Arial" w:hAnsi="Arial"/>
                <w:sz w:val="18"/>
                <w:szCs w:val="18"/>
                <w:b w:val="1"/>
                <w:bCs w:val="1"/>
                <w:color w:val="auto"/>
                <w:w w:val="91"/>
              </w:rPr>
              <w:t>Imprimis Pharmaceuticals, Inc.</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980" w:type="dxa"/>
            <w:vAlign w:val="bottom"/>
            <w:gridSpan w:val="6"/>
          </w:tcPr>
          <w:p>
            <w:pPr>
              <w:jc w:val="center"/>
              <w:ind w:right="140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80" w:type="dxa"/>
            <w:vAlign w:val="bottom"/>
            <w:gridSpan w:val="7"/>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Report of Independent Registered Public Accounting Firm</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80" w:type="dxa"/>
            <w:vAlign w:val="bottom"/>
            <w:gridSpan w:val="7"/>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Balance Sheets at December 31, 2017 and 2016</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80" w:type="dxa"/>
            <w:vAlign w:val="bottom"/>
            <w:gridSpan w:val="7"/>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Consolidated Statements of Operations for the years ended December 31, 2017 and 2016</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80" w:type="dxa"/>
            <w:vAlign w:val="bottom"/>
            <w:gridSpan w:val="7"/>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Consolidated Statements of Stockholders’ Equity/(Deficit) for the years ended December 31, 2017 and 2016</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80" w:type="dxa"/>
            <w:vAlign w:val="bottom"/>
            <w:gridSpan w:val="7"/>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Consolidated Statements of Cash Flows for the years ended December 31, 2017 and 2016</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8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Notes to the Consolidated Financial Statements</w:t>
            </w:r>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40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960" w:type="dxa"/>
            <w:vAlign w:val="bottom"/>
            <w:tcBorders>
              <w:top w:val="single" w:sz="8" w:color="CCEEFF"/>
              <w:bottom w:val="single" w:sz="8" w:color="auto"/>
            </w:tcBorders>
            <w:gridSpan w:val="4"/>
          </w:tcPr>
          <w:p>
            <w:pPr>
              <w:jc w:val="center"/>
              <w:ind w:right="2420"/>
              <w:spacing w:after="0"/>
              <w:rPr>
                <w:sz w:val="20"/>
                <w:szCs w:val="20"/>
                <w:color w:val="auto"/>
              </w:rPr>
            </w:pPr>
            <w:r>
              <w:rPr>
                <w:rFonts w:ascii="Arial" w:cs="Arial" w:eastAsia="Arial" w:hAnsi="Arial"/>
                <w:sz w:val="18"/>
                <w:szCs w:val="18"/>
                <w:color w:val="auto"/>
                <w:w w:val="96"/>
              </w:rPr>
              <w:t>F-1</w:t>
            </w:r>
          </w:p>
        </w:tc>
        <w:tc>
          <w:tcPr>
            <w:tcW w:w="20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50" w:name="page51"/>
    <w:bookmarkEnd w:id="50"/>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Imprimis Pharmaceuticals, Inc. and subsidiaries (the “Company”) as of December 31, 2017 and 2016, and the related consolidated statements of operations, stockholders’ equity (deficit) and cash flows for each of the two years in the period ended December 31, 2017, and the related notes (collectively referred to as the “consolidated financial statements”). In our opinion, the consolidated financial statements referred to above present fairly, in all material respects, the financial position of the Company as of December 31, 2017 and 2016, and the results of their operations and their cash flows for each of the two years in the period ended December 31, 2017, in conformity with accounting principles generally accepted in the United States of America.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KMJ Corbin &amp; Company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8, 2018</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December 31, 2017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December 31,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Restricted cash and short-term investments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2,249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Note receivable, current portion</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6,215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7,295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Investment in Eton Pharmaceuticals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3,507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less current portion</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2,227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vMerge w:val="restart"/>
          </w:tcPr>
          <w:p>
            <w:pPr>
              <w:ind w:left="340"/>
              <w:spacing w:after="0"/>
              <w:rPr>
                <w:sz w:val="20"/>
                <w:szCs w:val="20"/>
                <w:color w:val="auto"/>
              </w:rPr>
            </w:pPr>
            <w:r>
              <w:rPr>
                <w:rFonts w:ascii="Arial" w:cs="Arial" w:eastAsia="Arial" w:hAnsi="Arial"/>
                <w:sz w:val="18"/>
                <w:szCs w:val="18"/>
                <w:color w:val="auto"/>
              </w:rPr>
              <w:t>LIABILITIES AND STOCKHOLDERS’ EQUITY</w:t>
            </w: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6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3,885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payroll and related liabilities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Deferred revenue and customer deposits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deferred acquisition obligation and accrued interest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Current portion of note payable, net of unamortized debt discount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3,973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capital lease obligations, net of unamortized discount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598</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5,774</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9,905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net of current portion and unamortized discount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Deferred acquisition obligation, net of current portion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net of current portion</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w w:val="93"/>
              </w:rPr>
              <w:t>Note payable and paid-in-kind interest, net of unamortized debt discount and current portion</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14,008</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21,302</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20,815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tcPr>
          <w:p>
            <w:pPr>
              <w:ind w:left="340"/>
              <w:spacing w:after="0" w:line="201" w:lineRule="exact"/>
              <w:rPr>
                <w:sz w:val="20"/>
                <w:szCs w:val="20"/>
                <w:color w:val="auto"/>
              </w:rPr>
            </w:pPr>
            <w:r>
              <w:rPr>
                <w:rFonts w:ascii="Arial" w:cs="Arial" w:eastAsia="Arial" w:hAnsi="Arial"/>
                <w:sz w:val="18"/>
                <w:szCs w:val="18"/>
                <w:color w:val="auto"/>
                <w:w w:val="95"/>
              </w:rPr>
              <w:t>Preferred stock, $0.001 par value, 5,000,000 shares authorized, no shares issued and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outstanding at December 31, 2017 and 2016</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stock, $0.001 par value, 90,000,000 shares authorized, 20,623,129 and</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18,627,915 shares issued and outstanding</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 December 31, 2017 and 2016, respectively</w:t>
            </w: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91,430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83,264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(88,836)</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(76,851)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2,615</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6,432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23,917</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840"/>
              <w:spacing w:after="0"/>
              <w:rPr>
                <w:sz w:val="20"/>
                <w:szCs w:val="20"/>
                <w:color w:val="auto"/>
              </w:rPr>
            </w:pPr>
            <w:r>
              <w:rPr>
                <w:rFonts w:ascii="Arial" w:cs="Arial" w:eastAsia="Arial" w:hAnsi="Arial"/>
                <w:sz w:val="18"/>
                <w:szCs w:val="18"/>
                <w:color w:val="auto"/>
              </w:rPr>
              <w:t>For the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660"/>
              <w:spacing w:after="0"/>
              <w:rPr>
                <w:sz w:val="20"/>
                <w:szCs w:val="20"/>
                <w:color w:val="auto"/>
              </w:rPr>
            </w:pPr>
            <w:r>
              <w:rPr>
                <w:rFonts w:ascii="Arial" w:cs="Arial" w:eastAsia="Arial" w:hAnsi="Arial"/>
                <w:sz w:val="18"/>
                <w:szCs w:val="18"/>
                <w:color w:val="auto"/>
              </w:rPr>
              <w:t>Year Ended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37"/>
        </w:trPr>
        <w:tc>
          <w:tcPr>
            <w:tcW w:w="6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December 31, 2017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December 31, 2016</w:t>
            </w:r>
          </w:p>
        </w:tc>
        <w:tc>
          <w:tcPr>
            <w:tcW w:w="0" w:type="dxa"/>
            <w:vAlign w:val="bottom"/>
          </w:tcPr>
          <w:p>
            <w:pPr>
              <w:spacing w:after="0"/>
              <w:rPr>
                <w:sz w:val="1"/>
                <w:szCs w:val="1"/>
                <w:color w:val="auto"/>
              </w:rPr>
            </w:pPr>
          </w:p>
        </w:tc>
      </w:tr>
      <w:tr>
        <w:trPr>
          <w:trHeight w:val="216"/>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Sales, net</w:t>
            </w:r>
          </w:p>
        </w:tc>
        <w:tc>
          <w:tcPr>
            <w:tcW w:w="7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26,684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19,927</w:t>
            </w:r>
          </w:p>
        </w:tc>
        <w:tc>
          <w:tcPr>
            <w:tcW w:w="0" w:type="dxa"/>
            <w:vAlign w:val="bottom"/>
          </w:tcPr>
          <w:p>
            <w:pPr>
              <w:spacing w:after="0"/>
              <w:rPr>
                <w:sz w:val="1"/>
                <w:szCs w:val="1"/>
                <w:color w:val="auto"/>
              </w:rPr>
            </w:pPr>
          </w:p>
        </w:tc>
      </w:tr>
      <w:tr>
        <w:trPr>
          <w:trHeight w:val="250"/>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revenues</w:t>
            </w: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65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5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26,774</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19,942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(13,505)</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5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13,269</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10,111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7,059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7,382</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17,960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17,569</w:t>
            </w: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50"/>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long-lived assets</w:t>
            </w: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5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25,432</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25,993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5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(12,163</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6580" w:type="dxa"/>
            <w:vAlign w:val="bottom"/>
          </w:tcPr>
          <w:p>
            <w:pPr>
              <w:spacing w:after="0" w:line="203" w:lineRule="exact"/>
              <w:rPr>
                <w:sz w:val="20"/>
                <w:szCs w:val="20"/>
                <w:color w:val="auto"/>
              </w:rPr>
            </w:pPr>
            <w:r>
              <w:rPr>
                <w:rFonts w:ascii="Arial" w:cs="Arial" w:eastAsia="Arial" w:hAnsi="Arial"/>
                <w:sz w:val="18"/>
                <w:szCs w:val="18"/>
                <w:color w:val="auto"/>
              </w:rPr>
              <w:t>Other income (expense):</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Early extinguishment of debt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(884)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derivative liabilities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Investment loss from Eton Pharmaceuticals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(2,218)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deconsolidation of Eton Pharmaceuticals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Loss on sale and disposal of assets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(354)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expense, net</w:t>
            </w:r>
          </w:p>
        </w:tc>
        <w:tc>
          <w:tcPr>
            <w:tcW w:w="5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(757</w:t>
            </w:r>
          </w:p>
        </w:tc>
        <w:tc>
          <w:tcPr>
            <w:tcW w:w="180" w:type="dxa"/>
            <w:vAlign w:val="bottom"/>
            <w:tcBorders>
              <w:top w:val="single" w:sz="8" w:color="CCEEFF"/>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(3,316</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8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935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(11,985</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 of common stock</w:t>
            </w:r>
          </w:p>
        </w:tc>
        <w:tc>
          <w:tcPr>
            <w:tcW w:w="5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6580" w:type="dxa"/>
            <w:vAlign w:val="bottom"/>
            <w:tcBorders>
              <w:bottom w:val="single" w:sz="8" w:color="CCEEFF"/>
            </w:tcBorders>
            <w:vMerge w:val="continue"/>
          </w:tcPr>
          <w:p>
            <w:pPr>
              <w:spacing w:after="0"/>
              <w:rPr>
                <w:sz w:val="20"/>
                <w:szCs w:val="20"/>
                <w:color w:val="auto"/>
              </w:rPr>
            </w:pPr>
          </w:p>
        </w:tc>
        <w:tc>
          <w:tcPr>
            <w:tcW w:w="5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(0.60</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5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7"/>
              </w:rPr>
              <w:t>Weighted average number of shares of common stock outstanding, basic and diluted</w:t>
            </w:r>
          </w:p>
        </w:tc>
        <w:tc>
          <w:tcPr>
            <w:tcW w:w="5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20,027,712</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12,743,184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3" w:name="page54"/>
    <w:bookmarkEnd w:id="53"/>
    <w:p>
      <w:pPr>
        <w:jc w:val="center"/>
        <w:ind w:left="260" w:right="2560"/>
        <w:spacing w:after="0" w:line="266" w:lineRule="auto"/>
        <w:rPr>
          <w:sz w:val="20"/>
          <w:szCs w:val="20"/>
          <w:color w:val="auto"/>
        </w:rPr>
      </w:pPr>
      <w:r>
        <w:rPr>
          <w:rFonts w:ascii="Arial" w:cs="Arial" w:eastAsia="Arial" w:hAnsi="Arial"/>
          <w:sz w:val="18"/>
          <w:szCs w:val="18"/>
          <w:b w:val="1"/>
          <w:bCs w:val="1"/>
          <w:color w:val="auto"/>
        </w:rPr>
        <w:t>CONSOLIDATED STATEMENTS OF STOCKHOLDERS’ EQUITY (DEFICIT) For the years ended December 31, 2017 and 2016 (In thousands, except for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30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6"/>
                <w:szCs w:val="16"/>
                <w:color w:val="auto"/>
              </w:rPr>
              <w:t>Common Stock</w:t>
            </w:r>
          </w:p>
        </w:tc>
        <w:tc>
          <w:tcPr>
            <w:tcW w:w="2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auto"/>
              </w:rPr>
              <w:t>Additional</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Stockholders’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21"/>
              <w:spacing w:after="0"/>
              <w:rPr>
                <w:sz w:val="20"/>
                <w:szCs w:val="20"/>
                <w:color w:val="auto"/>
              </w:rPr>
            </w:pPr>
            <w:r>
              <w:rPr>
                <w:rFonts w:ascii="Arial" w:cs="Arial" w:eastAsia="Arial" w:hAnsi="Arial"/>
                <w:sz w:val="16"/>
                <w:szCs w:val="16"/>
                <w:color w:val="auto"/>
              </w:rPr>
              <w:t>Par</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6"/>
                <w:szCs w:val="16"/>
                <w:color w:val="auto"/>
              </w:rPr>
              <w:t>Paid-in</w:t>
            </w:r>
          </w:p>
        </w:tc>
        <w:tc>
          <w:tcPr>
            <w:tcW w:w="100" w:type="dxa"/>
            <w:vAlign w:val="bottom"/>
          </w:tcPr>
          <w:p>
            <w:pPr>
              <w:spacing w:after="0"/>
              <w:rPr>
                <w:sz w:val="17"/>
                <w:szCs w:val="17"/>
                <w:color w:val="auto"/>
              </w:rPr>
            </w:pPr>
          </w:p>
        </w:tc>
        <w:tc>
          <w:tcPr>
            <w:tcW w:w="1160" w:type="dxa"/>
            <w:vAlign w:val="bottom"/>
            <w:gridSpan w:val="2"/>
          </w:tcPr>
          <w:p>
            <w:pPr>
              <w:jc w:val="right"/>
              <w:ind w:right="219"/>
              <w:spacing w:after="0"/>
              <w:rPr>
                <w:sz w:val="20"/>
                <w:szCs w:val="20"/>
                <w:color w:val="auto"/>
              </w:rPr>
            </w:pPr>
            <w:r>
              <w:rPr>
                <w:rFonts w:ascii="Arial" w:cs="Arial" w:eastAsia="Arial" w:hAnsi="Arial"/>
                <w:sz w:val="16"/>
                <w:szCs w:val="16"/>
                <w:color w:val="auto"/>
                <w:w w:val="95"/>
              </w:rPr>
              <w:t>Accumulated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Equity</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Shares</w:t>
            </w:r>
          </w:p>
        </w:tc>
        <w:tc>
          <w:tcPr>
            <w:tcW w:w="140" w:type="dxa"/>
            <w:vAlign w:val="bottom"/>
          </w:tcPr>
          <w:p>
            <w:pPr>
              <w:spacing w:after="0"/>
              <w:rPr>
                <w:sz w:val="19"/>
                <w:szCs w:val="19"/>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Value</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Capital</w:t>
            </w:r>
          </w:p>
        </w:tc>
        <w:tc>
          <w:tcPr>
            <w:tcW w:w="100" w:type="dxa"/>
            <w:vAlign w:val="bottom"/>
          </w:tcPr>
          <w:p>
            <w:pPr>
              <w:spacing w:after="0"/>
              <w:rPr>
                <w:sz w:val="19"/>
                <w:szCs w:val="19"/>
                <w:color w:val="auto"/>
              </w:rPr>
            </w:pPr>
          </w:p>
        </w:tc>
        <w:tc>
          <w:tcPr>
            <w:tcW w:w="1160" w:type="dxa"/>
            <w:vAlign w:val="bottom"/>
            <w:gridSpan w:val="2"/>
          </w:tcPr>
          <w:p>
            <w:pPr>
              <w:jc w:val="right"/>
              <w:ind w:right="419"/>
              <w:spacing w:after="0"/>
              <w:rPr>
                <w:sz w:val="20"/>
                <w:szCs w:val="20"/>
                <w:color w:val="auto"/>
              </w:rPr>
            </w:pPr>
            <w:r>
              <w:rPr>
                <w:rFonts w:ascii="Arial" w:cs="Arial" w:eastAsia="Arial" w:hAnsi="Arial"/>
                <w:sz w:val="16"/>
                <w:szCs w:val="16"/>
                <w:color w:val="auto"/>
              </w:rPr>
              <w:t>Deficit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7"/>
              </w:rPr>
              <w:t>(Deficit)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2015</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9,755,678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56,369</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(57,764)</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in connection with:</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160"/>
              <w:spacing w:after="0"/>
              <w:rPr>
                <w:sz w:val="20"/>
                <w:szCs w:val="20"/>
                <w:color w:val="auto"/>
              </w:rPr>
            </w:pPr>
            <w:r>
              <w:rPr>
                <w:rFonts w:ascii="Arial" w:cs="Arial" w:eastAsia="Arial" w:hAnsi="Arial"/>
                <w:sz w:val="16"/>
                <w:szCs w:val="16"/>
                <w:color w:val="auto"/>
              </w:rPr>
              <w:t>Exercise of stock options</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15,000</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Vesting of RSUs, net of tax withholding</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132,367</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60" w:type="dxa"/>
            <w:vAlign w:val="bottom"/>
          </w:tcPr>
          <w:p>
            <w:pPr>
              <w:ind w:left="160"/>
              <w:spacing w:after="0"/>
              <w:rPr>
                <w:sz w:val="20"/>
                <w:szCs w:val="20"/>
                <w:color w:val="auto"/>
              </w:rPr>
            </w:pPr>
            <w:r>
              <w:rPr>
                <w:rFonts w:ascii="Arial" w:cs="Arial" w:eastAsia="Arial" w:hAnsi="Arial"/>
                <w:sz w:val="16"/>
                <w:szCs w:val="16"/>
                <w:color w:val="auto"/>
                <w:w w:val="98"/>
              </w:rPr>
              <w:t>Registered public offering sale of stock, net of offering costs, in</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6"/>
                <w:szCs w:val="16"/>
                <w:color w:val="auto"/>
              </w:rPr>
              <w:t>March 2016</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3,335,000</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11,085</w:t>
            </w:r>
          </w:p>
        </w:tc>
        <w:tc>
          <w:tcPr>
            <w:tcW w:w="100" w:type="dxa"/>
            <w:vAlign w:val="bottom"/>
          </w:tcPr>
          <w:p>
            <w:pPr>
              <w:spacing w:after="0"/>
              <w:rPr>
                <w:sz w:val="18"/>
                <w:szCs w:val="18"/>
                <w:color w:val="auto"/>
              </w:rPr>
            </w:pPr>
          </w:p>
        </w:tc>
        <w:tc>
          <w:tcPr>
            <w:tcW w:w="11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11,088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Sale of stock, net of costs (ATM)</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57,042</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60" w:type="dxa"/>
            <w:vAlign w:val="bottom"/>
          </w:tcPr>
          <w:p>
            <w:pPr>
              <w:ind w:left="160"/>
              <w:spacing w:after="0"/>
              <w:rPr>
                <w:sz w:val="20"/>
                <w:szCs w:val="20"/>
                <w:color w:val="auto"/>
              </w:rPr>
            </w:pPr>
            <w:r>
              <w:rPr>
                <w:rFonts w:ascii="Arial" w:cs="Arial" w:eastAsia="Arial" w:hAnsi="Arial"/>
                <w:sz w:val="16"/>
                <w:szCs w:val="16"/>
                <w:color w:val="auto"/>
                <w:w w:val="96"/>
              </w:rPr>
              <w:t>Private placement, issuance of stock and warrants at $1.915 per</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6"/>
                <w:szCs w:val="16"/>
                <w:color w:val="auto"/>
              </w:rPr>
              <w:t>unit, net of costs, in December 2016</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5,257,828</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9,217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Stock-based payment for deferred acquisition obligation</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75,000</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Derivative liabilities in connection with convertible note and</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gridSpan w:val="2"/>
          </w:tcPr>
          <w:p>
            <w:pPr>
              <w:spacing w:after="0"/>
              <w:rPr>
                <w:sz w:val="20"/>
                <w:szCs w:val="20"/>
                <w:color w:val="auto"/>
              </w:rPr>
            </w:pPr>
            <w:r>
              <w:rPr>
                <w:rFonts w:ascii="Arial" w:cs="Arial" w:eastAsia="Arial" w:hAnsi="Arial"/>
                <w:sz w:val="16"/>
                <w:szCs w:val="16"/>
                <w:color w:val="auto"/>
              </w:rPr>
              <w:t>modification of warrants to purchase common stock issued in</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80" w:type="dxa"/>
            <w:vAlign w:val="bottom"/>
            <w:gridSpan w:val="2"/>
          </w:tcPr>
          <w:p>
            <w:pPr>
              <w:spacing w:after="0"/>
              <w:rPr>
                <w:sz w:val="20"/>
                <w:szCs w:val="20"/>
                <w:color w:val="auto"/>
              </w:rPr>
            </w:pPr>
            <w:r>
              <w:rPr>
                <w:rFonts w:ascii="Arial" w:cs="Arial" w:eastAsia="Arial" w:hAnsi="Arial"/>
                <w:sz w:val="16"/>
                <w:szCs w:val="16"/>
                <w:color w:val="auto"/>
              </w:rPr>
              <w:t>connection with note payable</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2,362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2,362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3,811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Net loss</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39"/>
              <w:spacing w:after="0"/>
              <w:rPr>
                <w:sz w:val="20"/>
                <w:szCs w:val="20"/>
                <w:color w:val="auto"/>
              </w:rPr>
            </w:pPr>
            <w:r>
              <w:rPr>
                <w:rFonts w:ascii="Arial" w:cs="Arial" w:eastAsia="Arial" w:hAnsi="Arial"/>
                <w:sz w:val="16"/>
                <w:szCs w:val="16"/>
                <w:color w:val="auto"/>
              </w:rPr>
              <w:t>(19,087)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(19,087)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2016</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18,627,915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83,264</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(76,851)</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in connection with:</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160"/>
              <w:spacing w:after="0"/>
              <w:rPr>
                <w:sz w:val="20"/>
                <w:szCs w:val="20"/>
                <w:color w:val="auto"/>
              </w:rPr>
            </w:pPr>
            <w:r>
              <w:rPr>
                <w:rFonts w:ascii="Arial" w:cs="Arial" w:eastAsia="Arial" w:hAnsi="Arial"/>
                <w:sz w:val="16"/>
                <w:szCs w:val="16"/>
                <w:color w:val="auto"/>
              </w:rPr>
              <w:t>Exercise of warrants</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100,000</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9"/>
              </w:rPr>
              <w:t>Registered direct offering sale of stock, net of offering costs, in</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March 2017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1,312,500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160"/>
              <w:spacing w:after="0"/>
              <w:rPr>
                <w:sz w:val="20"/>
                <w:szCs w:val="20"/>
                <w:color w:val="auto"/>
              </w:rPr>
            </w:pPr>
            <w:r>
              <w:rPr>
                <w:rFonts w:ascii="Arial" w:cs="Arial" w:eastAsia="Arial" w:hAnsi="Arial"/>
                <w:sz w:val="16"/>
                <w:szCs w:val="16"/>
                <w:color w:val="auto"/>
              </w:rPr>
              <w:t>Sale of stock, net of costs (ATM)</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557,714</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1,123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1,124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Stock-based payment for services provided</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25,000</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60" w:type="dxa"/>
            <w:vAlign w:val="bottom"/>
          </w:tcPr>
          <w:p>
            <w:pPr>
              <w:ind w:left="160"/>
              <w:spacing w:after="0"/>
              <w:rPr>
                <w:sz w:val="20"/>
                <w:szCs w:val="20"/>
                <w:color w:val="auto"/>
              </w:rPr>
            </w:pPr>
            <w:r>
              <w:rPr>
                <w:rFonts w:ascii="Arial" w:cs="Arial" w:eastAsia="Arial" w:hAnsi="Arial"/>
                <w:sz w:val="16"/>
                <w:szCs w:val="16"/>
                <w:color w:val="auto"/>
                <w:w w:val="95"/>
              </w:rPr>
              <w:t>Relative fair value of warrants to purchase common stock issued</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60" w:type="dxa"/>
            <w:vAlign w:val="bottom"/>
          </w:tcPr>
          <w:p>
            <w:pPr>
              <w:ind w:left="160"/>
              <w:spacing w:after="0"/>
              <w:rPr>
                <w:sz w:val="20"/>
                <w:szCs w:val="20"/>
                <w:color w:val="auto"/>
              </w:rPr>
            </w:pPr>
            <w:r>
              <w:rPr>
                <w:rFonts w:ascii="Arial" w:cs="Arial" w:eastAsia="Arial" w:hAnsi="Arial"/>
                <w:sz w:val="16"/>
                <w:szCs w:val="16"/>
                <w:color w:val="auto"/>
              </w:rPr>
              <w:t>in connection with note payable</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982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982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2,883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Net loss</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39"/>
              <w:spacing w:after="0"/>
              <w:rPr>
                <w:sz w:val="20"/>
                <w:szCs w:val="20"/>
                <w:color w:val="auto"/>
              </w:rPr>
            </w:pPr>
            <w:r>
              <w:rPr>
                <w:rFonts w:ascii="Arial" w:cs="Arial" w:eastAsia="Arial" w:hAnsi="Arial"/>
                <w:sz w:val="16"/>
                <w:szCs w:val="16"/>
                <w:color w:val="auto"/>
              </w:rPr>
              <w:t>(11,985)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(11,985)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5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Balance at December 31, 2017</w:t>
            </w:r>
          </w:p>
        </w:tc>
        <w:tc>
          <w:tcPr>
            <w:tcW w:w="1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20,623,129</w:t>
            </w:r>
          </w:p>
        </w:tc>
        <w:tc>
          <w:tcPr>
            <w:tcW w:w="1020" w:type="dxa"/>
            <w:vAlign w:val="bottom"/>
            <w:gridSpan w:val="2"/>
            <w:shd w:val="clear" w:color="auto" w:fill="CCEEFF"/>
          </w:tcPr>
          <w:p>
            <w:pPr>
              <w:jc w:val="right"/>
              <w:ind w:right="721"/>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(88,836</w:t>
            </w:r>
          </w:p>
        </w:tc>
        <w:tc>
          <w:tcPr>
            <w:tcW w:w="120" w:type="dxa"/>
            <w:vAlign w:val="bottom"/>
            <w:vMerge w:val="continue"/>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4" w:name="page55"/>
    <w:bookmarkEnd w:id="54"/>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For the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Year Ended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December 31, 2017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December 31,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(11,985)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(19,087)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plant and equipment</w:t>
            </w:r>
          </w:p>
        </w:tc>
        <w:tc>
          <w:tcPr>
            <w:tcW w:w="14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1,401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Non-cash gain on contingent acquisition obligation</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Amortization of debt issuance costs and discount</w:t>
            </w:r>
          </w:p>
        </w:tc>
        <w:tc>
          <w:tcPr>
            <w:tcW w:w="14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978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extinguishment</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Paid-in-kind interest added to principal of note payable</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deconsolidation of Eton Pharmaceuticals</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Investment loss from Eton Pharmaceuticals</w:t>
            </w:r>
          </w:p>
        </w:tc>
        <w:tc>
          <w:tcPr>
            <w:tcW w:w="14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2,218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sale and disposal of assets</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Change in fair value of derivative liabilities</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long-lived assets</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2,943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warrant related to litigation settlement</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Changes in assets and liabilities:</w:t>
            </w: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(821)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346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payroll and related liabilities</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Deferred revenue and customer deposits</w:t>
            </w:r>
          </w:p>
        </w:tc>
        <w:tc>
          <w:tcPr>
            <w:tcW w:w="140" w:type="dxa"/>
            <w:vAlign w:val="bottom"/>
          </w:tcPr>
          <w:p>
            <w:pPr>
              <w:spacing w:after="0"/>
              <w:rPr>
                <w:sz w:val="19"/>
                <w:szCs w:val="19"/>
                <w:color w:val="auto"/>
              </w:rPr>
            </w:pP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(8,803</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line="203" w:lineRule="exact"/>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on sale of assets</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Payments on Pharmacy Creations contingent acquisition obligation</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restricted marketable securities</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Investment in patent and trademark assets</w:t>
            </w:r>
          </w:p>
        </w:tc>
        <w:tc>
          <w:tcPr>
            <w:tcW w:w="140" w:type="dxa"/>
            <w:vAlign w:val="bottom"/>
          </w:tcPr>
          <w:p>
            <w:pPr>
              <w:spacing w:after="0"/>
              <w:rPr>
                <w:sz w:val="18"/>
                <w:szCs w:val="18"/>
                <w:color w:val="auto"/>
              </w:rPr>
            </w:pP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Klarity license</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140" w:type="dxa"/>
            <w:vAlign w:val="bottom"/>
          </w:tcPr>
          <w:p>
            <w:pPr>
              <w:spacing w:after="0"/>
              <w:rPr>
                <w:sz w:val="19"/>
                <w:szCs w:val="19"/>
                <w:color w:val="auto"/>
              </w:rPr>
            </w:pP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(772)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(6,887)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capital lease obligations</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Net proceeds from public equity offering</w:t>
            </w:r>
          </w:p>
        </w:tc>
        <w:tc>
          <w:tcPr>
            <w:tcW w:w="14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2,940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private placement equity offering</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Payments on Park deferred acquisition obligation</w:t>
            </w:r>
          </w:p>
        </w:tc>
        <w:tc>
          <w:tcPr>
            <w:tcW w:w="140" w:type="dxa"/>
            <w:vAlign w:val="bottom"/>
          </w:tcPr>
          <w:p>
            <w:pPr>
              <w:spacing w:after="0"/>
              <w:rPr>
                <w:sz w:val="18"/>
                <w:szCs w:val="18"/>
                <w:color w:val="auto"/>
              </w:rPr>
            </w:pP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SWK debt, net of costs</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Principal payments, exit fee and other costs of LSAF debt</w:t>
            </w:r>
          </w:p>
        </w:tc>
        <w:tc>
          <w:tcPr>
            <w:tcW w:w="140" w:type="dxa"/>
            <w:vAlign w:val="bottom"/>
          </w:tcPr>
          <w:p>
            <w:pPr>
              <w:spacing w:after="0"/>
              <w:rPr>
                <w:sz w:val="18"/>
                <w:szCs w:val="18"/>
                <w:color w:val="auto"/>
              </w:rPr>
            </w:pP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(13,999)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convertible note payable, net of issuance costs</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Proceeds from Essex leaseback, net of issuance costs</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ATM sales of common stock</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w w:val="97"/>
              </w:rPr>
              <w:t>Net proceeds from exercise of warrants and stock options, net of taxes remitted for RSU’s</w:t>
            </w:r>
          </w:p>
        </w:tc>
        <w:tc>
          <w:tcPr>
            <w:tcW w:w="140" w:type="dxa"/>
            <w:vAlign w:val="bottom"/>
          </w:tcPr>
          <w:p>
            <w:pPr>
              <w:spacing w:after="0"/>
              <w:rPr>
                <w:sz w:val="19"/>
                <w:szCs w:val="19"/>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line="203" w:lineRule="exact"/>
              <w:rPr>
                <w:sz w:val="20"/>
                <w:szCs w:val="20"/>
                <w:color w:val="auto"/>
              </w:rPr>
            </w:pPr>
            <w:r>
              <w:rPr>
                <w:rFonts w:ascii="Arial" w:cs="Arial" w:eastAsia="Arial" w:hAnsi="Arial"/>
                <w:sz w:val="18"/>
                <w:szCs w:val="18"/>
                <w:color w:val="auto"/>
              </w:rPr>
              <w:t>NET CHANGE IN CASH AND CASH EQUIVALENTS</w:t>
            </w:r>
          </w:p>
        </w:tc>
        <w:tc>
          <w:tcPr>
            <w:tcW w:w="14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Arial" w:cs="Arial" w:eastAsia="Arial" w:hAnsi="Arial"/>
                <w:sz w:val="18"/>
                <w:szCs w:val="18"/>
                <w:color w:val="auto"/>
              </w:rPr>
              <w:t>(4,834)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line="203" w:lineRule="exact"/>
              <w:rPr>
                <w:sz w:val="20"/>
                <w:szCs w:val="20"/>
                <w:color w:val="auto"/>
              </w:rPr>
            </w:pPr>
            <w:r>
              <w:rPr>
                <w:rFonts w:ascii="Arial" w:cs="Arial" w:eastAsia="Arial" w:hAnsi="Arial"/>
                <w:sz w:val="18"/>
                <w:szCs w:val="18"/>
                <w:color w:val="auto"/>
              </w:rPr>
              <w:t>6,168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8,853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4,019</w:t>
            </w:r>
          </w:p>
        </w:tc>
        <w:tc>
          <w:tcPr>
            <w:tcW w:w="200" w:type="dxa"/>
            <w:vAlign w:val="bottom"/>
            <w:tcBorders>
              <w:top w:val="single" w:sz="8" w:color="CCEEFF"/>
              <w:bottom w:val="single" w:sz="8" w:color="CCEEFF"/>
            </w:tcBorders>
          </w:tcPr>
          <w:p>
            <w:pPr>
              <w:spacing w:after="0"/>
              <w:rPr>
                <w:sz w:val="21"/>
                <w:szCs w:val="21"/>
                <w:color w:val="auto"/>
              </w:rPr>
            </w:pPr>
          </w:p>
        </w:tc>
        <w:tc>
          <w:tcPr>
            <w:tcW w:w="140" w:type="dxa"/>
            <w:vAlign w:val="bottom"/>
            <w:tcBorders>
              <w:top w:val="single" w:sz="8" w:color="CCEEFF"/>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8,853</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Cash paid for interest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1,543</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300" w:type="dxa"/>
            <w:vAlign w:val="bottom"/>
            <w:shd w:val="clear" w:color="auto" w:fill="CCEEFF"/>
          </w:tcPr>
          <w:p>
            <w:pPr>
              <w:ind w:left="340"/>
              <w:spacing w:after="0" w:line="156" w:lineRule="exact"/>
              <w:rPr>
                <w:sz w:val="20"/>
                <w:szCs w:val="20"/>
                <w:color w:val="auto"/>
              </w:rPr>
            </w:pPr>
            <w:r>
              <w:rPr>
                <w:rFonts w:ascii="Arial" w:cs="Arial" w:eastAsia="Arial" w:hAnsi="Arial"/>
                <w:sz w:val="18"/>
                <w:szCs w:val="18"/>
                <w:color w:val="auto"/>
              </w:rPr>
              <w:t>SUPPLEMENTAL DISCLOSURES OF NON-CASH INVESTING AND FINANCING</w:t>
            </w:r>
          </w:p>
        </w:tc>
        <w:tc>
          <w:tcPr>
            <w:tcW w:w="14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3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w w:val="95"/>
              </w:rPr>
              <w:t>Fair value of embedded conversion feature recorded as debt discount and derivative liability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300" w:type="dxa"/>
            <w:vAlign w:val="bottom"/>
            <w:shd w:val="clear" w:color="auto" w:fill="CCEEFF"/>
          </w:tcPr>
          <w:p>
            <w:pPr>
              <w:ind w:left="340"/>
              <w:spacing w:after="0" w:line="156" w:lineRule="exact"/>
              <w:rPr>
                <w:sz w:val="20"/>
                <w:szCs w:val="20"/>
                <w:color w:val="auto"/>
              </w:rPr>
            </w:pPr>
            <w:r>
              <w:rPr>
                <w:rFonts w:ascii="Arial" w:cs="Arial" w:eastAsia="Arial" w:hAnsi="Arial"/>
                <w:sz w:val="18"/>
                <w:szCs w:val="18"/>
                <w:color w:val="auto"/>
                <w:w w:val="98"/>
              </w:rPr>
              <w:t>Reclassification of the fair value of the embedded conversion feature derivative liability to</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3"/>
                <w:szCs w:val="13"/>
                <w:color w:val="auto"/>
              </w:rPr>
            </w:pP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 upon closing of the public equity offering</w:t>
            </w:r>
          </w:p>
        </w:tc>
        <w:tc>
          <w:tcPr>
            <w:tcW w:w="140" w:type="dxa"/>
            <w:vAlign w:val="bottom"/>
            <w:vMerge w:val="continue"/>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7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bottom w:val="single" w:sz="8" w:color="CCEEFF"/>
            </w:tcBorders>
            <w:vMerge w:val="restart"/>
          </w:tcPr>
          <w:p>
            <w:pPr>
              <w:ind w:left="340"/>
              <w:spacing w:after="0" w:line="195" w:lineRule="exact"/>
              <w:rPr>
                <w:sz w:val="20"/>
                <w:szCs w:val="20"/>
                <w:color w:val="auto"/>
              </w:rPr>
            </w:pPr>
            <w:r>
              <w:rPr>
                <w:rFonts w:ascii="Arial" w:cs="Arial" w:eastAsia="Arial" w:hAnsi="Arial"/>
                <w:sz w:val="18"/>
                <w:szCs w:val="18"/>
                <w:color w:val="auto"/>
              </w:rPr>
              <w:t>Reclassification of the fair value of the LSAF warrant from additional paid-in capital to</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7300" w:type="dxa"/>
            <w:vAlign w:val="bottom"/>
            <w:vMerge w:val="continue"/>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3"/>
                <w:szCs w:val="13"/>
                <w:color w:val="auto"/>
              </w:rPr>
            </w:pPr>
          </w:p>
        </w:tc>
        <w:tc>
          <w:tcPr>
            <w:tcW w:w="140" w:type="dxa"/>
            <w:vAlign w:val="bottom"/>
            <w:vMerge w:val="restart"/>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675</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derivative liability</w:t>
            </w:r>
          </w:p>
        </w:tc>
        <w:tc>
          <w:tcPr>
            <w:tcW w:w="140" w:type="dxa"/>
            <w:vAlign w:val="bottom"/>
            <w:tcBorders>
              <w:bottom w:val="single" w:sz="8" w:color="auto"/>
            </w:tcBorders>
            <w:vMerge w:val="continue"/>
          </w:tcPr>
          <w:p>
            <w:pPr>
              <w:spacing w:after="0"/>
              <w:rPr>
                <w:sz w:val="22"/>
                <w:szCs w:val="22"/>
                <w:color w:val="auto"/>
              </w:rPr>
            </w:pPr>
          </w:p>
        </w:tc>
        <w:tc>
          <w:tcPr>
            <w:tcW w:w="170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vMerge w:val="continue"/>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6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300" w:type="dxa"/>
            <w:vAlign w:val="bottom"/>
            <w:shd w:val="clear" w:color="auto" w:fill="CCEEFF"/>
          </w:tcPr>
          <w:p>
            <w:pPr>
              <w:ind w:left="340"/>
              <w:spacing w:after="0" w:line="156" w:lineRule="exact"/>
              <w:rPr>
                <w:sz w:val="20"/>
                <w:szCs w:val="20"/>
                <w:color w:val="auto"/>
              </w:rPr>
            </w:pPr>
            <w:r>
              <w:rPr>
                <w:rFonts w:ascii="Arial" w:cs="Arial" w:eastAsia="Arial" w:hAnsi="Arial"/>
                <w:sz w:val="18"/>
                <w:szCs w:val="18"/>
                <w:color w:val="auto"/>
                <w:w w:val="98"/>
              </w:rPr>
              <w:t>Reclassification of the fair value of the LSAF warrant derivative liability to additional paid-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3"/>
                <w:szCs w:val="13"/>
                <w:color w:val="auto"/>
              </w:rPr>
            </w:pP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 capital upon closing of the public equity offering</w:t>
            </w:r>
          </w:p>
        </w:tc>
        <w:tc>
          <w:tcPr>
            <w:tcW w:w="140" w:type="dxa"/>
            <w:vAlign w:val="bottom"/>
            <w:vMerge w:val="continue"/>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7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Reduction in value of warrant in connection with debt extinguishment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300" w:type="dxa"/>
            <w:vAlign w:val="bottom"/>
            <w:shd w:val="clear" w:color="auto" w:fill="CCEEFF"/>
          </w:tcPr>
          <w:p>
            <w:pPr>
              <w:ind w:left="340"/>
              <w:spacing w:after="0" w:line="156" w:lineRule="exact"/>
              <w:rPr>
                <w:sz w:val="20"/>
                <w:szCs w:val="20"/>
                <w:color w:val="auto"/>
              </w:rPr>
            </w:pPr>
            <w:r>
              <w:rPr>
                <w:rFonts w:ascii="Arial" w:cs="Arial" w:eastAsia="Arial" w:hAnsi="Arial"/>
                <w:sz w:val="18"/>
                <w:szCs w:val="18"/>
                <w:color w:val="auto"/>
                <w:w w:val="95"/>
              </w:rPr>
              <w:t>Issuance of common stock to settle contingent acquisition obligation related to the purchase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3"/>
                <w:szCs w:val="13"/>
                <w:color w:val="auto"/>
              </w:rPr>
            </w:pP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 PC</w:t>
            </w:r>
          </w:p>
        </w:tc>
        <w:tc>
          <w:tcPr>
            <w:tcW w:w="140" w:type="dxa"/>
            <w:vAlign w:val="bottom"/>
            <w:vMerge w:val="continue"/>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7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57" w:orient="portrait"/>
          <w:cols w:equalWidth="0" w:num="1">
            <w:col w:w="11420"/>
          </w:cols>
          <w:pgMar w:left="240" w:top="688" w:right="239" w:bottom="0" w:gutter="0" w:footer="0" w:header="0"/>
        </w:sectPr>
      </w:pPr>
    </w:p>
    <w:bookmarkStart w:id="55" w:name="page56"/>
    <w:bookmarkEnd w:id="55"/>
    <w:p>
      <w:pPr>
        <w:ind w:left="360"/>
        <w:spacing w:after="0"/>
        <w:tabs>
          <w:tab w:leader="none" w:pos="7300" w:val="left"/>
        </w:tabs>
        <w:rPr>
          <w:sz w:val="20"/>
          <w:szCs w:val="20"/>
          <w:color w:val="auto"/>
        </w:rPr>
      </w:pPr>
      <w:r>
        <w:rPr>
          <w:rFonts w:ascii="Arial" w:cs="Arial" w:eastAsia="Arial" w:hAnsi="Arial"/>
          <w:sz w:val="17"/>
          <w:szCs w:val="17"/>
          <w:color w:val="auto"/>
        </w:rPr>
        <w:t>Issuance of stock options for consulting services included in accounts payable and accrued</w:t>
      </w:r>
      <w:r>
        <w:rPr>
          <w:sz w:val="20"/>
          <w:szCs w:val="20"/>
          <w:color w:val="auto"/>
        </w:rPr>
        <w:tab/>
      </w:r>
      <w:r>
        <w:rPr>
          <w:rFonts w:ascii="Arial" w:cs="Arial" w:eastAsia="Arial" w:hAnsi="Arial"/>
          <w:sz w:val="14"/>
          <w:szCs w:val="14"/>
          <w:color w:val="auto"/>
        </w:rPr>
        <w:t>$</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expenses</w:t>
      </w:r>
    </w:p>
    <w:p>
      <w:pPr>
        <w:spacing w:after="0" w:line="20" w:lineRule="exact"/>
        <w:rPr>
          <w:sz w:val="20"/>
          <w:szCs w:val="20"/>
          <w:color w:val="auto"/>
        </w:rPr>
      </w:pPr>
      <w:r>
        <w:rPr>
          <w:sz w:val="20"/>
          <w:szCs w:val="20"/>
          <w:color w:val="auto"/>
        </w:rPr>
        <w:br w:type="column"/>
      </w:r>
    </w:p>
    <w:p>
      <w:pPr>
        <w:spacing w:after="0"/>
        <w:tabs>
          <w:tab w:leader="none" w:pos="380" w:val="left"/>
          <w:tab w:leader="none" w:pos="20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23</w:t>
      </w:r>
    </w:p>
    <w:p>
      <w:pPr>
        <w:spacing w:after="0" w:line="246" w:lineRule="exact"/>
        <w:rPr>
          <w:sz w:val="20"/>
          <w:szCs w:val="20"/>
          <w:color w:val="auto"/>
        </w:rPr>
      </w:pPr>
    </w:p>
    <w:p>
      <w:pPr>
        <w:sectPr>
          <w:pgSz w:w="11900" w:h="16838" w:orient="portrait"/>
          <w:cols w:equalWidth="0" w:num="2">
            <w:col w:w="8380" w:space="720"/>
            <w:col w:w="232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21"/>
        </w:trPr>
        <w:tc>
          <w:tcPr>
            <w:tcW w:w="73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Final fee on note payable recorded as debt discount and included in accrued expenses</w:t>
            </w:r>
          </w:p>
        </w:tc>
        <w:tc>
          <w:tcPr>
            <w:tcW w:w="820" w:type="dxa"/>
            <w:vAlign w:val="bottom"/>
            <w:shd w:val="clear" w:color="auto" w:fill="CCEEFF"/>
          </w:tcPr>
          <w:p>
            <w:pPr>
              <w:jc w:val="right"/>
              <w:ind w:right="6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3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ind w:right="685"/>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Estimated relative fair value of warrants issued in connection with note payable</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982</w:t>
            </w:r>
          </w:p>
        </w:tc>
        <w:tc>
          <w:tcPr>
            <w:tcW w:w="36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7320" w:type="dxa"/>
            <w:vAlign w:val="bottom"/>
            <w:shd w:val="clear" w:color="auto" w:fill="CCEEFF"/>
          </w:tcPr>
          <w:p>
            <w:pPr>
              <w:ind w:left="360"/>
              <w:spacing w:after="0" w:line="156" w:lineRule="exact"/>
              <w:rPr>
                <w:sz w:val="20"/>
                <w:szCs w:val="20"/>
                <w:color w:val="auto"/>
              </w:rPr>
            </w:pPr>
            <w:r>
              <w:rPr>
                <w:rFonts w:ascii="Arial" w:cs="Arial" w:eastAsia="Arial" w:hAnsi="Arial"/>
                <w:sz w:val="18"/>
                <w:szCs w:val="18"/>
                <w:color w:val="auto"/>
              </w:rPr>
              <w:t>Purchase of property, plant and equipment included in accounts payable and accrued</w:t>
            </w:r>
          </w:p>
        </w:tc>
        <w:tc>
          <w:tcPr>
            <w:tcW w:w="820" w:type="dxa"/>
            <w:vAlign w:val="bottom"/>
            <w:vMerge w:val="restart"/>
            <w:shd w:val="clear" w:color="auto" w:fill="CCEEFF"/>
          </w:tcPr>
          <w:p>
            <w:pPr>
              <w:jc w:val="right"/>
              <w:ind w:right="665"/>
              <w:spacing w:after="0"/>
              <w:rPr>
                <w:sz w:val="20"/>
                <w:szCs w:val="20"/>
                <w:color w:val="auto"/>
              </w:rPr>
            </w:pPr>
            <w:r>
              <w:rPr>
                <w:rFonts w:ascii="Arial" w:cs="Arial" w:eastAsia="Arial" w:hAnsi="Arial"/>
                <w:sz w:val="15"/>
                <w:szCs w:val="15"/>
                <w:color w:val="auto"/>
                <w:w w:val="71"/>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3"/>
                <w:szCs w:val="13"/>
                <w:color w:val="auto"/>
              </w:rPr>
            </w:pPr>
          </w:p>
        </w:tc>
        <w:tc>
          <w:tcPr>
            <w:tcW w:w="840" w:type="dxa"/>
            <w:vAlign w:val="bottom"/>
            <w:vMerge w:val="restart"/>
            <w:shd w:val="clear" w:color="auto" w:fill="CCEEFF"/>
          </w:tcPr>
          <w:p>
            <w:pPr>
              <w:jc w:val="right"/>
              <w:ind w:right="685"/>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expenses</w:t>
            </w:r>
          </w:p>
        </w:tc>
        <w:tc>
          <w:tcPr>
            <w:tcW w:w="82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98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Note receivable in connection with sale of assets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vMerge w:val="continue"/>
          </w:tcPr>
          <w:p>
            <w:pPr>
              <w:spacing w:after="0"/>
              <w:rPr>
                <w:sz w:val="17"/>
                <w:szCs w:val="17"/>
                <w:color w:val="auto"/>
              </w:rPr>
            </w:pPr>
          </w:p>
        </w:tc>
        <w:tc>
          <w:tcPr>
            <w:tcW w:w="820" w:type="dxa"/>
            <w:vAlign w:val="bottom"/>
            <w:tcBorders>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410</w:t>
            </w:r>
          </w:p>
        </w:tc>
        <w:tc>
          <w:tcPr>
            <w:tcW w:w="360" w:type="dxa"/>
            <w:vAlign w:val="bottom"/>
            <w:vMerge w:val="continue"/>
          </w:tcPr>
          <w:p>
            <w:pPr>
              <w:spacing w:after="0"/>
              <w:rPr>
                <w:sz w:val="17"/>
                <w:szCs w:val="17"/>
                <w:color w:val="auto"/>
              </w:rPr>
            </w:pPr>
          </w:p>
        </w:tc>
        <w:tc>
          <w:tcPr>
            <w:tcW w:w="840" w:type="dxa"/>
            <w:vAlign w:val="bottom"/>
            <w:tcBorders>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6" w:name="page57"/>
    <w:bookmarkEnd w:id="56"/>
    <w:p>
      <w:pPr>
        <w:ind w:left="4080"/>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dollar amounts are expressed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Imprimis Pharmaceuticals, Inc. (together with its subsidiaries, unless the context indicates or otherwise requires, the “Company” or “Imprimis”) is an ophthalmology-focused pharmaceutical company specialized in the development, production and sale of innovative medications that offer unique competitive advantages and serve unmet needs in the marketplace. The Company is committed to its mission of delivering high-quality novel medications to physicians and patients at affordable prices. Imprimis operates its business through several subsidiaries: ImprimisRx, a leading ophthalmology focused compounding business; Park Compounding, a custom compounding business focused on patient specific orders; and Surface Pharmaceuticals, Inc., an ocular surface disease-focused 505(b)(2) specialty pharmaceutical subsidiary. The Company also own a passive interest, with royalty stakes on certain drug candidates, in Eton Pharmaceuticals, Inc. (or “Eton”), a specialty pharmaceutical business utilizing the 505(b)(2) pathway, which Imprimis spun-out in 2017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Imprimis has prepared the accompanying consolidated financial statements in accordance with accounting principles generally accepted in the United States of America (“GAAP”). The accompanying consolidated financial statements include the accounts of the Company and its wholly and majority owned subsidiaries. All intercompany accounts and transactions have been eliminated in consolidation.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judgments that affect the reported amounts of assets and liabilities and disclosure of contingent assets and liabilities at the date of the financial statements and reported amounts of revenues and expenses during the reporting periods. Significant estimates made by management are, among others, allowance for doubtful accounts and contractual adjustments, realizability of inventories, valuation of deferred taxes, goodwill and intangible assets, recoverability of long-lived assets and goodwill, valuation of contingent acquisition obligations and deferred acquisition obligations, valuation of notes payable and derivative liabilities, and valuation of stock-based transactions with employees and non-employees. Actual results could differ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incurred significant operating losses and negative cash flows from operations since its inception. The Company incurred net losses of $11,985 and $19,087 for the years ended December 31, 2017 and 2016, respectively, and had an accumulated deficit of $88,836 and $76,851 as of December 31, 2017 and 2016, respectively. In addition, the Company used cash in operating activities of $8,803 and $11,215 for the years ended December 31, 2017 and 2016, respectively.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there is no assurance, the Company believes its existing cash resources and restricted cash of approximately $4,219 at December 31, 2017, along with proceeds from the Sales Agreement (see Note 13) will be sufficient to sustain the Company’s planned level of operations for at least the next twelve months. However, estimates of operating expenses and working capital requirements could be incorrect, and the Company could use its cash resources faster than anticipated. Further, some or all of the ongoing or planned activities may not be successful and could result in further losses.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may seek to increase liquidity and capital resources by one or more of the following which may include, but are not limited to: the sale of assets and/or businesses, obtaining financing through the issuance of equity, debt, or convertible securities; and working to increase revenue growth through sales. There is no guarantee that the Company will be able to obtain capital when needed on terms it deems as acceptable, or at all.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revenues when all of the following criteria have been met: (1) persuasive evidence of an arrangement exists; (2) delivery has occurred; (3) the selling price is fixed and determinable; and (4) collectability is reasonably assured.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Determination of criteria (3) and (4) is based on management’s judgments regarding the fixed nature of the selling prices of the products delivered and the collectability of those amounts. Estimated returns and allowances and other adjustments are provided for in the same period during which the related sales are recorded. The Company will defer any revenues received for a product that has not been delivered or is subject to refund until such time that the Company and the customer jointly determine that the product has been delivered and no refund will be required.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 element arrangements.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 of sales includes direct and indirect costs to manufacture formulations and other products sold, including active pharmaceutical ingredients, personnel costs, packaging, storage, royalties (see Note 17), shipping and handling costs and the write-off of obsolete inventory.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expenses all costs related to research and development as they are incurred. Research and development expenses consist of expenses incurred in performing research and development activities, including salaries and benefits, other overhead expenses, and costs related to clinical trials, contract services and outsourced contracts.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 and Debt Discount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Debt issuance costs and the debt discount are recorded net of notes payable and capital lease obligations in the consolidated balance sheets. Amortization expense of debt issuance costs and the debt discount is calculated using the effective interest method over the term of the debt and is recorded in interest expense in the accompanying consolidated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costs of acquiring intellectual property rights to be used in the research and development process, including licensing fees and milestone payments, are charged to research and development expense as incurred in situations where the Company has not identified an alternative future use for the acquired rights, and are capitalized in situations where we have identified an alternative future use for the acquired rights. Patents and trademarks are recorded at cost and capitalized at a time when the future economic benefits of such patents and trademarks become more certain (see Goodwill and Intangible Assets). The Company began capitalizing certain costs associated with acquiring intellectual property rights during 2015, if costs are not capitalized they are expensed as incurred.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the process of preparing the Company’s consolidated financial statements, the Company must estimate the actual current tax liabilities and assess permanent and temporary differences that result from differing treatment of items for tax and accounting purposes. The temporary differences result in deferred tax assets and liabilities, which are included within the consolidated balance sheets. The Company must assess the likelihood that the deferred tax assets will be recovered from future taxable income and, to the extent the Company believes that recovery is not more likely than not, a valuation allowance must be established which reduces the amount of deferred tax assets recorded on the consolidated balance sheets. To the extent the Company establishes a valuation allowance or increase or decrease this allowance in a period, the impact will be included in income tax expense in the consolidated statement of operations.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8" w:name="page59"/>
    <w:bookmarkEnd w:id="58"/>
    <w:p>
      <w:pPr>
        <w:jc w:val="both"/>
        <w:spacing w:after="0" w:line="272" w:lineRule="auto"/>
        <w:rPr>
          <w:sz w:val="20"/>
          <w:szCs w:val="20"/>
          <w:color w:val="auto"/>
        </w:rPr>
      </w:pPr>
      <w:r>
        <w:rPr>
          <w:rFonts w:ascii="Arial" w:cs="Arial" w:eastAsia="Arial" w:hAnsi="Arial"/>
          <w:sz w:val="17"/>
          <w:szCs w:val="17"/>
          <w:color w:val="auto"/>
        </w:rPr>
        <w:t>The Company accounts for income taxes under the provisions of Financial Accounting Standards Board (the “FASB”) Accounting Standards Codification (“ASC”) 740, “Income Taxes”, or ASC 740. As of December 31, 2017, and 2016, there were no unrecognized tax benefits included in the consolidated balance sheets that would, if recognized, affect the effective tax rate. The Company’s practice is to recognize interest and/or penalties related to income tax matters in income tax expense. The Company had no accrual for interest or penalties in its consolidated balance sheets at December 31, 2017 and 2016, and has not recognized interest and/or penalties in the consolidated statements of operations for the years ended December 31, 2017 and 2016. The Company is subject to taxation in the United States, California and New Jersey. The Company’s tax years since 2000 may be subject to examination by the federal and state tax authorities due to the carryforward of unutilized net operating losses.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include short-term, highly liquid investments with maturities of three months or less at the time of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places its cash with financial institutions deemed by management to be of high credit quality. The Federal Deposit Insurance Corporation (“FDIC”) provides basic deposit coverage with limits up to $250 per owner. At December 31, 2017, the Company had approximately $3,969 in cash deposits in excess of FDIC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Accounts receivable are stated net of allowances for doubtful accounts and contractual adjustments. The accounts receivable balance primarily includes amounts due from customers the Company has invoiced or from third-party providers (e.g., insurance companies and governmental agencies), but for which payment has not been received. Charges to bad debt are based on both historical write-offs and specifically identified receivables. Contractual adjustments are determined by the amount expected to be collected from third-party providers. Accounts receivable are presented net of allowances for doubtful accounts and contractual adjustments in the amount of $275 and $422 as of December 31, 2017 and 2016,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are stated at the lower of cost or market. Cost is determined on a first-in, first-out basis. The Company evaluates the carrying value of inventories on a regular basis, based on the price expected to be obtained for products in their respective markets compared with historical cost. Write-downs of inventories are considered to be permanent reductions in the cost basis of inventories.</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also regularly evaluates its inventories for excess quantities and obsolescence (expiration), taking into account such factors as historical and anticipated future sales or use in production compared to quantities on hand and the remaining shelf life of products and active pharmaceutical ingredients on hand. The Company establishes reserves for excess and obsolete inventories as required based on its analyses.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Eton Pharmaceuticals, Inc.</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April 2017, the Company formed Eton Pharmaceuticals, Inc. (“Eton”) as a wholly owned subsidiary. In June 2017, Eton entered into and closed on definitive stock purchase agreements with accredited investors for the purchase of Eton’s Series A Preferred Stock that resulted in net proceeds to Eton, after deducting placement agent fees and other expenses, of approximately $18,000. At the time of closing, the Company lost voting and ownership control of Eton and it ceased consolidating Eton’s financial statements. At the time of deconsolidation, the Company recorded a gain of $5,725 and adjusted the carrying value in Eton to reflect the increased valuation of Eton and the Company’s new ownership percent in accordance with ASC 810-10-40-4(c), </w:t>
      </w:r>
      <w:r>
        <w:rPr>
          <w:rFonts w:ascii="Arial" w:cs="Arial" w:eastAsia="Arial" w:hAnsi="Arial"/>
          <w:sz w:val="16"/>
          <w:szCs w:val="16"/>
          <w:i w:val="1"/>
          <w:iCs w:val="1"/>
          <w:color w:val="auto"/>
        </w:rPr>
        <w:t>Consolidation</w:t>
      </w:r>
      <w:r>
        <w:rPr>
          <w:rFonts w:ascii="Arial" w:cs="Arial" w:eastAsia="Arial" w:hAnsi="Arial"/>
          <w:sz w:val="16"/>
          <w:szCs w:val="16"/>
          <w:color w:val="auto"/>
        </w:rPr>
        <w:t>.</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owns 3,500,000 common shares (approximately 27% issued and outstanding equity interest as of December 31, 2017) of Eton and, uses the equity method of accounting for this investment, as management has determined that the Company has the ability to exercise significant influence over the operating and financial decisions of Eton. Under this method, the Company recognizes earnings and losses of Eton in its financial statements and adjusts the carrying amount of its investment in Eton accordingly. The Company’s share of earnings and losses are based on the shares of common stock and in-substance common stock of Eton held by the Company. Any intra-entity profits and losses are eliminated. During the year ended December 31, 2017, the Company recorded equity in net loss of Eton of $2,218. As of December 31, 2017, the carrying value of the Company’s investment in Eton was $3,507.</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Property, plant and equipment is stated at cost less accumulated depreciation and amortization. Depreciation and amortization is calculated using the straight-line method over the estimated useful life of the asset. Leasehold improvements and capital lease equipment are amortized over the estimated useful life or remaining lease term, whichever is shorter. Computer software and hardware and furniture and equipment are depreciated over three to five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accounts for business combinations by recognizing the assets acquired, liabilities assumed, contractual contingencies, and contingent consideration at their fair values on the acquisition date. The purchase price allocation process requires management to make significant estimates and assumptions, especially with respect to intangible assets, estimated contingent consideration payments and pre-acquisition contingencies. Examples of critical estimates in valuing certain of the intangible assets the Company has acquired or may acquire in the future include but are not limited to:</w:t>
      </w:r>
    </w:p>
    <w:p>
      <w:pPr>
        <w:spacing w:after="0" w:line="171" w:lineRule="exact"/>
        <w:rPr>
          <w:sz w:val="20"/>
          <w:szCs w:val="20"/>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expected cash flows from product sales, support agreements, consulting contracts, other customer contracts, and acquired developed technologies and patents;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discount rates utilized in valuation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Unanticipated events and circumstances may occur that may affect the accuracy or validity of such assumptions, estimates or actual results. Additionally, any change in the fair value of the acquisition-related contingent consideration subsequent to the acquisition date, including changes from events after the acquisition date, such as changes in our estimates of relevant revenue or other targets, will be recognized in earnings in the period of the estimated fair value change. A change in fair value of the acquisition-related contingent consideration or the occurrence of events that cause results to differ from our estimates or assumptions could have a material effect on the consolidated financial position, statements of operations or cash flows in the period of the change in the estimate.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Patents and trademarks are recorded at cost and capitalized at a time when the future economic benefits of such patents and trademarks become more certain. At that time, the Company capitalizes third-party legal costs and filing fees associated with obtaining and prosecuting claims related to its patents and trademarks. Once the patents have been issued, the Company amortizes these costs over the shorter of the legal life of the patent or its estimated economic life, generally 20 years, using the straight-line method. Trademarks are an indefinite life intangible asset and are assessed for impairment based on future projected cash flows as further described below.</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reviews its goodwill and indefinite-lived intangible assets for impairment as of January 1 of each year and when an event or a change in circumstances indicates the fair value of a reporting unit may be below its carrying amount. Events or changes in circumstances considered as impairment indicators include but are not limited to the following:</w:t>
      </w:r>
    </w:p>
    <w:p>
      <w:pPr>
        <w:spacing w:after="0" w:line="18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underperformance of the Company’s business relative to expected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adverse economic and industry trends;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decline in the Company’s market capitalization for an extended period of time relative to net book value;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expectations that a reporting unit will be sold or otherwise disposed.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goodwill impairment test consists of a two-step process as follows: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Step 1. The Company compares the fair value of each reporting unit to its carrying amount, including the existing goodwill. The fair value of each reporting unit is determined using a discounted cash flow valuation analysis. The carrying amount of each reporting unit is determined by specifically identifying and allocating the assets and liabilities to each reporting unit based on headcount, relative revenues or other methods as deemed appropriate by management. If the carrying amount of a reporting unit exceeds its fair value, an indication exists that the reporting unit’s goodwill may be impaired and the Company then performs the second step of the impairment test. If the fair value of a reporting unit exceeds its carrying amount, no further analysis is required.</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Step 2. If further analysis is required, the Company compares the implied fair value of the reporting unit’s goodwill, determined by allocating the reporting unit’s fair value to all of its assets and its liabilities in a manner similar to a purchase price allocation, to its carrying amount. If the carrying amount of the reporting unit’s goodwill exceeds its fair value, an impairment loss will be recognized in an amount equal to the excess.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Long-lived assets, such as property, plant and equipment, purchased intangibles subject to amortization and patents and trademarks,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 Assets to be disposed of would be separately presented in the consolidated balance sheet and reported at the lower of the carrying amount or fair value less costs to sell, and are no longer depreciated. The assets and liabilities of a disposal group classified as held-for-sale would be presented separately in the appropriate asset and liability sections of the consolidated balance sheet, if material.</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September 2016, the Company decided to cease operations at its Texas facility, and began winding down the operations. Based on current projections regarding future cash flows of the Texas facility and the related subsidiary, the evaluation resulted in an impairment of $64 related to intangible assets and $239 related to goodwill, recorded to impairment of long-lived assets on the consolidated statements of operations during the year ended December 31, 2016. During the year ended December 31, 2017, the Company did not recognize any impairment of its long-lived assets (See Note 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 Billing and Collection Agreements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its acquisition of Park, the Company entered into a billing and collection agreement with a third party to assist in the billing and collection of workers’ compensation claims. Under the terms of the agreement, the Company is obligated to pay a fixed fee to the third party equal to 55% of the amounts billed and collected under the workers’ compensation claims. The Company accrues for such fees in accounts payable and accrued expenses in the accompanying consolidated balance sheets. Total billing and collection management expense under this agreement for the years ended December 31, 2017 and 2016 was $0 and $55, respectively, and is included in selling and marketing expenses in the accompanying consolidated statements of operations. The amount due under the agreement as of December 31, 2017 and 2016 was $41 and $73,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Rent</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accounts for rent expense related to its operating leases by determining total minimum rent payments on the leases over their respective periods and recognizing the rent expense on a straight-line basis. The difference between the actual amount paid and the amount recorded as rent expense in each fiscal year and interim periods within each fiscal year is recorded as an adjustment to deferred rent (see Note 10).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187" w:lineRule="exact"/>
        <w:rPr>
          <w:sz w:val="20"/>
          <w:szCs w:val="20"/>
          <w:color w:val="auto"/>
        </w:rPr>
      </w:pPr>
    </w:p>
    <w:p>
      <w:pPr>
        <w:ind w:left="340" w:right="20" w:hanging="332"/>
        <w:spacing w:after="0" w:line="274"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p>
      <w:pPr>
        <w:ind w:left="340" w:hanging="332"/>
        <w:spacing w:after="0" w:line="281"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 w:lineRule="exact"/>
        <w:rPr>
          <w:rFonts w:ascii="Arial" w:cs="Arial" w:eastAsia="Arial" w:hAnsi="Arial"/>
          <w:sz w:val="16"/>
          <w:szCs w:val="16"/>
          <w:color w:val="auto"/>
        </w:rPr>
      </w:pPr>
    </w:p>
    <w:p>
      <w:pPr>
        <w:jc w:val="both"/>
        <w:ind w:left="340" w:hanging="332"/>
        <w:spacing w:after="0" w:line="255"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2017 and 2016, the Company did not have any financial assets or liabilities that are measured on a recurring basis. The Company’s financial instruments included cash and cash equivalents, restricted short-term investments, accounts receivable, accounts payable and accrued expenses, accrued payroll and related liabilities, deferred revenue and customer deposits, deferred acquisition obligations, notes payable and capital leases. The carrying amount of these financial instruments, except for deferred acquisition obligations, notes payable and capital leases, approximates fair value due to the short-term maturities of these instruments. The Company’s restricted short-term investments are carried at amortized cost, which approximates fair value. Based on borrowing rates currently available to the Company, the carrying values of the deferred acquisition obligations, notes payable and capital leases, approximate their respective fair values.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free-standing derivative instruments and hybrid instruments that contain embedded derivative features as either assets or liabilities in the consolidated balance sheets and are measured at fair value with gains or losses recognized in earnings. Embedded derivatives that are not clearly and closely related to the host contract are bifurcated and are recognized at fair value with changes in fair value recognized as either a gain or loss in earnings. The Company determines the fair value of derivative instruments and hybrid instruments based on available market data using appropriate valuation models, giving consideration to all of the rights and obligations of each instrument.</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estimates the fair value of derivative instruments and hybrid instruments using various techniques (and combinations thereof) that are considered to be consistent with the objective of measuring fair value. In selecting the appropriate technique, the Company considers, among other factors, the nature of the instrument, the market risks that it embodies and the expected means of settlement. The Company generally uses the Black-Scholes-Merton option pricing model, adjusted for the effect of dilution, because it embodies all of the requisite assumptions (including trading volatility, estimated terms, dilution and risk-free rates) necessary to fair value these instruments. Estimating the fair value of derivative financial instruments requires the development of significant and subjective estimates that may, and are likely to, change over the duration of the instrument with related changes in internal and external market factors. Increases in the trading price of the Company’s common stock and increases in fair value during a given financial quarter result in the application of non-cash derivative expense. Conversely, decreases in the trading price of the Company’s common stock and decreases in fair value during a given financial quarter would result in the application of non-cash derivative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 stock-based payments to employees, directors and consultants, including grants of stock options, warrants, restricted stock units (“RSUs”) and restricted stock, are recognized in the consolidated financial statements based upon their estimated fair values. The Company uses the Black-Scholes-Merton option pricing model and Monte Carlo Simulation to estimate the fair value of stock-based awards. The estimated fair value is determined at the date of grant. The financial statement effect of forfeitures is estimated at the time of grant and revised, if necessary, if the actual effect differs from those estimates.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accounting policy for equity instruments issued to consultants and vendors in exchange for goods and services follows FASB guidance. As such, the value of the applicable stock-based compensation is periodically remeasured and income or expense is recognized during the vesting terms of the equity instruments. The measurement date for the estimated fair value of the equity instruments issued is the earlier of (i) the date at which a commitment for performance by the consultant or vendor is reached or (ii) the date at which the consultant or vendor’s performance is complete. In the case of equity instruments issued to consultants, the estimated fair value of the equity instrument is primarily recognized over the term of the consulting agreement. According to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estimated fair value of nonforfeitable equity instruments issued for future consulting services as prepaid stock-based consulting expenses in its consolidated balance sheets.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and diluted net loss per share is computed using the weighted average number of shares of common stock outstanding during the period. Common stock equivalents (using the treasury stock and “if converted” method) from deferred acquisition obligations, stock options, unvested RSUs, warrants and convertible notes were 9,980,454 and 9,162,259 at December 31, 2017 and 2016, respectively, and are excluded from the calculation of diluted net loss per share for all periods presented because the effect is anti-dilutive. Included in the basic and diluted net loss per share calculation were RSUs awarded to directors that had vested, but the issuance and delivery of the shares are deferred until the director resigns. The number of shares underlying these vested RSUs at December 31, 2017 and 2016 was 137,067 and 80,245,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2" w:name="page63"/>
    <w:bookmarkEnd w:id="62"/>
    <w:p>
      <w:pPr>
        <w:spacing w:after="0"/>
        <w:rPr>
          <w:sz w:val="20"/>
          <w:szCs w:val="20"/>
          <w:color w:val="auto"/>
        </w:rPr>
      </w:pPr>
      <w:r>
        <w:rPr>
          <w:rFonts w:ascii="Arial" w:cs="Arial" w:eastAsia="Arial" w:hAnsi="Arial"/>
          <w:sz w:val="17"/>
          <w:szCs w:val="17"/>
          <w:color w:val="auto"/>
        </w:rPr>
        <w:t>The following table shows the computation of basic and diluted net loss per share of common stock for the years ended December 31, 2017 and 2016:</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For the</w:t>
            </w:r>
          </w:p>
        </w:tc>
        <w:tc>
          <w:tcPr>
            <w:tcW w:w="100" w:type="dxa"/>
            <w:vAlign w:val="bottom"/>
          </w:tcPr>
          <w:p>
            <w:pPr>
              <w:spacing w:after="0"/>
              <w:rPr>
                <w:sz w:val="18"/>
                <w:szCs w:val="18"/>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Year Ended December</w:t>
            </w:r>
          </w:p>
        </w:tc>
        <w:tc>
          <w:tcPr>
            <w:tcW w:w="100" w:type="dxa"/>
            <w:vAlign w:val="bottom"/>
          </w:tcPr>
          <w:p>
            <w:pPr>
              <w:spacing w:after="0"/>
              <w:rPr>
                <w:sz w:val="18"/>
                <w:szCs w:val="18"/>
                <w:color w:val="auto"/>
              </w:rPr>
            </w:pPr>
          </w:p>
        </w:tc>
        <w:tc>
          <w:tcPr>
            <w:tcW w:w="18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Year Ended December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8"/>
              </w:rPr>
              <w:t>31, 2017</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30, 2016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loss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6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Denominator – weighted average</w:t>
            </w: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gridSpan w:val="2"/>
            <w:vMerge w:val="continue"/>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outstanding, basic and diluted</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20,027,712</w:t>
            </w:r>
          </w:p>
        </w:tc>
        <w:tc>
          <w:tcPr>
            <w:tcW w:w="100" w:type="dxa"/>
            <w:vAlign w:val="bottom"/>
            <w:shd w:val="clear" w:color="auto" w:fill="CCEEFF"/>
          </w:tcPr>
          <w:p>
            <w:pPr>
              <w:spacing w:after="0"/>
              <w:rPr>
                <w:sz w:val="21"/>
                <w:szCs w:val="21"/>
                <w:color w:val="auto"/>
              </w:rPr>
            </w:pPr>
          </w:p>
        </w:tc>
        <w:tc>
          <w:tcPr>
            <w:tcW w:w="1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12,743,184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300" w:type="dxa"/>
            <w:vAlign w:val="bottom"/>
            <w:tcBorders>
              <w:top w:val="single" w:sz="8" w:color="CCEEFF"/>
            </w:tcBorders>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60" w:type="dxa"/>
            <w:vAlign w:val="bottom"/>
            <w:tcBorders>
              <w:top w:val="single" w:sz="8" w:color="CCEEFF"/>
            </w:tcBorders>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March 2016, the FASB issued Accounting Standards Update (“ASU”) 2016-09, </w:t>
      </w:r>
      <w:r>
        <w:rPr>
          <w:rFonts w:ascii="Arial" w:cs="Arial" w:eastAsia="Arial" w:hAnsi="Arial"/>
          <w:sz w:val="18"/>
          <w:szCs w:val="18"/>
          <w:i w:val="1"/>
          <w:iCs w:val="1"/>
          <w:color w:val="auto"/>
        </w:rPr>
        <w:t>Compensation-Stock Compensation (Topic 718):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Employee Share-Based Payment Accounting</w:t>
      </w:r>
      <w:r>
        <w:rPr>
          <w:rFonts w:ascii="Arial" w:cs="Arial" w:eastAsia="Arial" w:hAnsi="Arial"/>
          <w:sz w:val="18"/>
          <w:szCs w:val="18"/>
          <w:color w:val="auto"/>
        </w:rPr>
        <w:t>, which addresses certain aspects of accounting for share-based payment award transactions.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adopted this standard on January 1, 2017. The adoption did not have a material impact on the Company’s financial position, results of operations and cash flows. Prior periods were not recast.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xml:space="preserve"> which requires entities to measure most inventory “at the lower of cost and net realizable value (“NRV”),” thereby simplifying the current guidance under which an entity must measure inventory at the lower of cost or market. Under the new guidance, inventory is “measured at the lower of cost and net realizable value,” which eliminates the need to determine replacement cost and evaluate whether it is above the ceiling (NRV) or below the floor (NRV less a normal profit margin). The guidance defines NRV as the “estimated selling prices in the ordinary course of business, less reasonably predictable costs of completion, disposal, and transportation.” The Company adopted this standard on January 1, 2017. The adoption did not have a material impact on the Company’s financial position, results of operations and cash flows. Prior periods were not recast.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and has subsequently issued a number of amendments to ASU 2014-09</w:t>
      </w:r>
      <w:r>
        <w:rPr>
          <w:rFonts w:ascii="Arial" w:cs="Arial" w:eastAsia="Arial" w:hAnsi="Arial"/>
          <w:sz w:val="16"/>
          <w:szCs w:val="16"/>
          <w:i w:val="1"/>
          <w:iCs w:val="1"/>
          <w:color w:val="auto"/>
        </w:rPr>
        <w:t>.</w:t>
      </w:r>
      <w:r>
        <w:rPr>
          <w:rFonts w:ascii="Arial" w:cs="Arial" w:eastAsia="Arial" w:hAnsi="Arial"/>
          <w:sz w:val="16"/>
          <w:szCs w:val="16"/>
          <w:color w:val="auto"/>
        </w:rPr>
        <w:t xml:space="preserve"> This updated guidance supersedes the current revenue recognition guidance, including industry-specific guidance. The updated guidance introduces a five-step model to achieve its core principal of the entity recognizing revenue to depict the transfer of goods or services to customers at an amount that reflects the consideration to which the entity expects to be entitled in exchange for those goods or services. The standard’s stated core principle is that an entity should recognize revenue to depict the transfer of promised goods or services to customers in an amount that reflects the consideration to which the entity expects to be entitled in exchange for those goods or services. To achieve this core principle, ASU 2014-09 includes provisions within its five-step model that includes identifying the contract with a customer, identifying the performance obligations in the contract, determining the transaction price, allocating the transaction price to the performance obligations, and recognizing revenue when, or as, an entity satisfies a performance obligation. In addition, the standard requires disclosure of the nature, amount, timing, and uncertainty of revenue and cash flows arising from contracts with customers.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new standard will be effective for the Company beginning January 1, 2018 and permits two methods of adoption: the full retrospective method, which requires the standard to be applied to each prior period presented, or the modified retrospective method, which requires the cumulative effect of adoption to be recognized as an adjustment to opening retained earnings in the period of adoption. The Company will adopt the standard using the modified retrospective method.</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has completed an analysis of existing contracts with its customers and assessed the differences in accounting for such contracts under ASU 2014-09 compared with current revenue accounting standards. Based on its review of current customer contracts, the Company does not expect the implementation of ASU 2014-09 to have a material quantitative impact on its consolidated financial statements as the timing of revenue recognition for product sales is not expected to significantly change. In limited instances, the Company may recognize revenue earlier than under the current standard. Under certain licensing arrangements that the Company has considered, there may be times the Company may defer certain revenue where the price pursuant to the underlying customer arrangement is not fixed and determinable. Under the new standard, such customer arrangements will be accounted for as variable consideration, which may result in revenue being recognized earlier provided the Company can reliably estimate the ultimate price expected to be realized from the customer. In addition, the Company does not expect a material effect for any adjustments to retained earnings upon adoption of the standard on January 1, 2018. Adoption of the new standard will also result in additional revenue-related disclosures in the footnotes to the Company’s consolidated financial statements.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Recognition and Measurement of Financial Assets and Financial Liabilities</w:t>
      </w:r>
      <w:r>
        <w:rPr>
          <w:rFonts w:ascii="Arial" w:cs="Arial" w:eastAsia="Arial" w:hAnsi="Arial"/>
          <w:sz w:val="18"/>
          <w:szCs w:val="18"/>
          <w:color w:val="auto"/>
        </w:rPr>
        <w:t>, which addresses certain aspects of recognition, measurement, presentation and disclosure of financial statements. This guidance will be effective in the first quarter of fiscal year 2019 and early adoption is not permitted. The Company is currently evaluating the impact that this guidance will have on its consolidated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3" w:name="page64"/>
    <w:bookmarkEnd w:id="63"/>
    <w:p>
      <w:pPr>
        <w:jc w:val="both"/>
        <w:spacing w:after="0" w:line="267" w:lineRule="auto"/>
        <w:rPr>
          <w:sz w:val="20"/>
          <w:szCs w:val="20"/>
          <w:color w:val="auto"/>
        </w:rPr>
      </w:pPr>
      <w:r>
        <w:rPr>
          <w:rFonts w:ascii="Arial" w:cs="Arial" w:eastAsia="Arial" w:hAnsi="Arial"/>
          <w:sz w:val="17"/>
          <w:szCs w:val="17"/>
          <w:color w:val="auto"/>
        </w:rPr>
        <w:t xml:space="preserve">In February 2016, the FASB issued new lease accounting guidance in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This new guidance was initiated as a joint project with the International Accounting Standards Board to simplify lease accounting and improve the quality of and comparability of financial information for users. This new guidance would eliminate the concept of off-balance sheet treatment for “operating leases” for lessees for the vast majority of lease contracts. Under ASU No. 2016-02, at inception, a lessee must classify all leases with a term of over one year as either finance or operating, with both classifications resulting in the recognition of a defined “right-of-use” asset and a lease liability on the balance sheet. However, recognition in the income statement will differ depending on the lease classification, with finance leases recognizing the amortization of the right-of-use asset separate from the interest on the lease liability and operating leases recognizing a single total lease expense. Lessor accounting under ASU No. 2016-02 would be substantially unchanged from the previous lease requirements under GAAP. ASU No. 2016-02 will take effect for public companies in fiscal years beginning after December 15, 2018, including interim periods within those fiscal years. Early adoption is permitted and for leases existing at, or entered into after, the beginning of the earliest comparative period presented in the financial statements, lessees and lessors must apply a modified retrospective transition approach. During the year ended December 31, 2017, the Company evaluated this new accounting standard and engaged professionals in the new lease accounting implementation to assist in determining the effect of the new standard as of January 1, 2018 with respect to the Company’s real estate leases. The Company currently has three real estate leases and evaluated each of these leases in accordance with the new lease accounting standard under ASC Topic 842. As of January 1, 2018, the Company estimates that the right of use asset to be recorded on its consolidated balance sheet would be approximately $2,400 and that the related lease liability would be approximately $3,000 related to operating leases. The difference between the right of use asset and related lease liability is predominantly deferred rent and other related lease expenses under the new lease accounting standard. The Company will continue this effort with respect to equipment leases and any other leases contemplated under Topic 842 in a manner to be appropriately prepared for its implementation on or before January 1, 2019.</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August 2016, the FASB issued ASU 2016-18, </w:t>
      </w:r>
      <w:r>
        <w:rPr>
          <w:rFonts w:ascii="Arial" w:cs="Arial" w:eastAsia="Arial" w:hAnsi="Arial"/>
          <w:sz w:val="17"/>
          <w:szCs w:val="17"/>
          <w:i w:val="1"/>
          <w:iCs w:val="1"/>
          <w:color w:val="auto"/>
        </w:rPr>
        <w:t>Statement of Cash Flows: Classification Restricted Cash</w:t>
      </w:r>
      <w:r>
        <w:rPr>
          <w:rFonts w:ascii="Arial" w:cs="Arial" w:eastAsia="Arial" w:hAnsi="Arial"/>
          <w:sz w:val="17"/>
          <w:szCs w:val="17"/>
          <w:color w:val="auto"/>
        </w:rPr>
        <w:t>,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ASU 2016-18 is effective for reporting periods beginning after December 15, 2017 with early adoption permitted. The Company expects the implementation of this standard to have an impact on the Company’s consolidated financial statements and related disclosures as the Company had restricted cash on our balance sheet of $200 as of December 31, 2017, and currently do not present the amount as a cash equivalent in our consolidated statements of cash flows.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Clarifying the Definition of a Business,</w:t>
      </w:r>
      <w:r>
        <w:rPr>
          <w:rFonts w:ascii="Arial" w:cs="Arial" w:eastAsia="Arial" w:hAnsi="Arial"/>
          <w:sz w:val="18"/>
          <w:szCs w:val="18"/>
          <w:color w:val="auto"/>
        </w:rPr>
        <w:t xml:space="preserve"> which revises the definition of a business and provides new guidance in evaluating when a set of transferred assets and activities is a business. ASU 2017-01 is effective for reporting periods beginning after December 15, 2017 with early adoption permitted. The Company does not expect the ASU 2017-01 to have a material impact on the Company’s financial position, results of operations and cash flows.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This guidance simplifies the accounting for goodwill impairment for all entities by requiring impairment charges to be based on the first step in the current two-step impairment test under ASC 350. The updated standard eliminates the requirement to calculate a goodwill impairment charge using Step 2. If a reporting unit’s carrying amount exceeds its fair value, an entity will record an impairment charge based on that difference. The impairment charge will be limited to the amount of goodwill allocated to that reporting unit. ASU 2017-04 is effective for reporting periods beginning after December 31, 2019 on a prospective basis, and early adoption is permitted. The Company does not expect ASU 2017-04 to have a material effect on the Company’s financial position, results of operations and cash flows.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 - Stock Compensation: Scope of Modification Accounting</w:t>
      </w:r>
      <w:r>
        <w:rPr>
          <w:rFonts w:ascii="Arial" w:cs="Arial" w:eastAsia="Arial" w:hAnsi="Arial"/>
          <w:sz w:val="17"/>
          <w:szCs w:val="17"/>
          <w:color w:val="auto"/>
        </w:rPr>
        <w:t>. The amendments in this update provide guidance about which changes to the terms or conditions of a share-based payment award require an entity to apply modification accounting under Topic 718. An entity should account for effects of a modification unless all of the following are met: (1) the fair value of the modified award is the same as the fair value of the original award immediately before the original award is modified; (2) the vesting conditions of the modified award are the same as the vesting conditions of the original award immediately before the original award is modified; (3) the classification of the modified award as an equity instrument or a liability instrument is the same as the classification of the original award immediately before the original award is modified. The amendments in this update are effective for all entities for annual periods and interim periods within those annual periods, beginning after December 15, 2017, which for the Company means January 1, 2018. Early adoption is permitted, including adoption in any interim period for public business entities for reporting periods for which financial statements have not yet been issued. The Company does not expect the adoption of ASU 2017-09 to have a material effect on the Company’s financial position, results of operations and cash flows.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NOTE 3. INVESTMENT IN ETON PHARMACEUTICALS, INC. AND AGREEMENTS - RELATED PARTY TRANSACTIONS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May 2017, the Company entered into two asset purchase and license agreements (the “Eton License Agreements”) with its previously wholly owned subsidiary, Eton Pharmaceuticals, Inc. Pursuant to the terms of the Eton License Agreements, the Company assigned and licensed to Eton certain intellectual property and related rights to develop, formulate, make, sell, and sub-license formulations of synthetic corticotropin and injectable pentoxifylline (collectively, the “Eton Products”). Eton is required to make royalty payments to the Company of six percent (6%) of net sales of the Eton Products while any patent rights remain outstanding and then three percent (3%) of net sales in the event patent claims are not issued. In addition, Eton is required to make certain milestone payments to the Company including payments of $50 upon initial patent issuances for each Eton Product. The Eton License Agreements were conditioned upon Eton receiving net proceeds of the sale of its equity securities of not less than $10,000, which occurred in June 2017. See also Note 2, under the subheading </w:t>
      </w:r>
      <w:r>
        <w:rPr>
          <w:rFonts w:ascii="Arial" w:cs="Arial" w:eastAsia="Arial" w:hAnsi="Arial"/>
          <w:sz w:val="17"/>
          <w:szCs w:val="17"/>
          <w:i w:val="1"/>
          <w:iCs w:val="1"/>
          <w:color w:val="auto"/>
        </w:rPr>
        <w:t>Investment in Eton Pharmaceuticals, Inc.</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May 1, 2017, the Company and Eton entered into a Management Services Agreement (the “MSA”), whereby the Company provided to Eton certain administrative services and support, including bookkeeping, web services and human resources related activities, and Eton will pay the Company a monthly amount of $10. A 30-day notice of termination was delivered to the Company on August 29, 2017. Eton paid the Company $40 for services under the MSA.</w:t>
      </w:r>
    </w:p>
    <w:p>
      <w:pPr>
        <w:spacing w:after="0" w:line="14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of December 31, 2017, the Company was due $50 from Eton for amounts due related a milestone payment under the Eton Licenses Agreement for the issuance of certain patent rights, this amount is included in license revenues and other current assets on the accompanying consolidated financial statements.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owns approximately 27% of the voting interests in Eton. The Company’s Chief Executive Officer, Mark L. Baum, is a director of Eton, and several employees of the Company (including Mr. Baum and the Company’s Chief Financial Officer, Andrew R. Boll) have entered into consulting agreements with Eton.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results of operations information of Eton is summarized below (in thousands):</w:t>
      </w:r>
    </w:p>
    <w:p>
      <w:pPr>
        <w:spacing w:after="0" w:line="225"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From the period beginning April</w:t>
      </w:r>
    </w:p>
    <w:p>
      <w:pPr>
        <w:spacing w:after="0" w:line="23" w:lineRule="exact"/>
        <w:rPr>
          <w:sz w:val="20"/>
          <w:szCs w:val="20"/>
          <w:color w:val="auto"/>
        </w:rPr>
      </w:pPr>
    </w:p>
    <w:p>
      <w:pPr>
        <w:jc w:val="center"/>
        <w:ind w:left="780"/>
        <w:spacing w:after="0"/>
        <w:rPr>
          <w:sz w:val="20"/>
          <w:szCs w:val="20"/>
          <w:color w:val="auto"/>
        </w:rPr>
      </w:pPr>
      <w:r>
        <w:rPr>
          <w:rFonts w:ascii="Arial" w:cs="Arial" w:eastAsia="Arial" w:hAnsi="Arial"/>
          <w:sz w:val="18"/>
          <w:szCs w:val="18"/>
          <w:color w:val="auto"/>
        </w:rPr>
        <w:t>27, 2017</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(inception) to</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December 31, 2017</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40" w:type="dxa"/>
            <w:vAlign w:val="bottom"/>
            <w:tcBorders>
              <w:top w:val="single" w:sz="8" w:color="auto"/>
            </w:tcBorders>
            <w:shd w:val="clear" w:color="auto" w:fill="CCEEFF"/>
          </w:tcPr>
          <w:p>
            <w:pPr>
              <w:jc w:val="right"/>
              <w:ind w:right="88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18"/>
                <w:szCs w:val="18"/>
                <w:color w:val="auto"/>
              </w:rPr>
              <w:t>Loss from operations</w:t>
            </w:r>
          </w:p>
        </w:tc>
        <w:tc>
          <w:tcPr>
            <w:tcW w:w="10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8,036</w:t>
            </w:r>
          </w:p>
        </w:tc>
      </w:tr>
      <w:tr>
        <w:trPr>
          <w:trHeight w:val="230"/>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40" w:type="dxa"/>
            <w:vAlign w:val="bottom"/>
            <w:tcBorders>
              <w:top w:val="single" w:sz="8" w:color="auto"/>
              <w:bottom w:val="single" w:sz="8" w:color="auto"/>
            </w:tcBorders>
            <w:shd w:val="clear" w:color="auto" w:fill="CCEEFF"/>
          </w:tcPr>
          <w:p>
            <w:pPr>
              <w:jc w:val="right"/>
              <w:ind w:right="88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(8,036</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balance sheet information of Eton is summarized below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jc w:val="center"/>
              <w:ind w:right="240"/>
              <w:spacing w:after="0"/>
              <w:rPr>
                <w:sz w:val="20"/>
                <w:szCs w:val="20"/>
                <w:color w:val="auto"/>
              </w:rPr>
            </w:pPr>
            <w:r>
              <w:rPr>
                <w:rFonts w:ascii="Arial" w:cs="Arial" w:eastAsia="Arial" w:hAnsi="Arial"/>
                <w:sz w:val="18"/>
                <w:szCs w:val="18"/>
                <w:color w:val="auto"/>
              </w:rPr>
              <w:t>At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December 31, 2017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13,440</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764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12,676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6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13,440</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RESTRICTED CASH</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restricted cash at December 31, 2017 and 2016 consisted of funds held in a money market account. At December 31, 2017 and 2016, the restricted cash was recorded at amortized cost, which approximates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2017 and 2016, the funds held in a money market account of $200 were classified as a current asset. The money market account funds are required as collateral as additional security for the Company’s New Jersey facility 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are comprised of finished compounded formulations, over-the-counter and prescription retail pharmacy products, commercial pharmaceutical products, related laboratory supplies and active pharmaceutical ingredients. The composition of inventories as of December 31, 2017 and 2016 was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December 31, 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2016</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42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669</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20"/>
                <w:szCs w:val="20"/>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1,293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1,172</w:t>
            </w:r>
          </w:p>
        </w:tc>
        <w:tc>
          <w:tcPr>
            <w:tcW w:w="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F-15</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gridSpan w:val="4"/>
          </w:tcPr>
          <w:p>
            <w:pPr>
              <w:spacing w:after="0"/>
              <w:rPr>
                <w:sz w:val="20"/>
                <w:szCs w:val="20"/>
                <w:color w:val="auto"/>
              </w:rPr>
            </w:pPr>
            <w:r>
              <w:rPr>
                <w:rFonts w:ascii="Arial" w:cs="Arial" w:eastAsia="Arial" w:hAnsi="Arial"/>
                <w:sz w:val="18"/>
                <w:szCs w:val="18"/>
                <w:b w:val="1"/>
                <w:bCs w:val="1"/>
                <w:color w:val="auto"/>
              </w:rPr>
              <w:t>NOTE 6. PREPAID EXPENSES AND OTHER CURRENT ASSETS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5120" w:type="dxa"/>
            <w:vAlign w:val="bottom"/>
            <w:gridSpan w:val="2"/>
          </w:tcPr>
          <w:p>
            <w:pPr>
              <w:spacing w:after="0"/>
              <w:rPr>
                <w:sz w:val="20"/>
                <w:szCs w:val="20"/>
                <w:color w:val="auto"/>
              </w:rPr>
            </w:pPr>
            <w:r>
              <w:rPr>
                <w:rFonts w:ascii="Arial" w:cs="Arial" w:eastAsia="Arial" w:hAnsi="Arial"/>
                <w:sz w:val="18"/>
                <w:szCs w:val="18"/>
                <w:color w:val="auto"/>
                <w:w w:val="92"/>
              </w:rPr>
              <w:t>Prepaid expenses and other current assets consisted of the following:</w:t>
            </w: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3"/>
        </w:trPr>
        <w:tc>
          <w:tcPr>
            <w:tcW w:w="4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2"/>
              </w:rPr>
              <w:t>December 31, 2017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 2016</w:t>
            </w:r>
          </w:p>
        </w:tc>
      </w:tr>
      <w:tr>
        <w:trPr>
          <w:trHeight w:val="216"/>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prepaid expenses</w:t>
            </w:r>
          </w:p>
        </w:tc>
        <w:tc>
          <w:tcPr>
            <w:tcW w:w="160" w:type="dxa"/>
            <w:vAlign w:val="bottom"/>
          </w:tcPr>
          <w:p>
            <w:pPr>
              <w:spacing w:after="0"/>
              <w:rPr>
                <w:sz w:val="18"/>
                <w:szCs w:val="18"/>
                <w:color w:val="auto"/>
              </w:rPr>
            </w:pPr>
          </w:p>
        </w:tc>
        <w:tc>
          <w:tcPr>
            <w:tcW w:w="2020" w:type="dxa"/>
            <w:vAlign w:val="bottom"/>
            <w:gridSpan w:val="2"/>
          </w:tcPr>
          <w:p>
            <w:pPr>
              <w:jc w:val="right"/>
              <w:ind w:right="260"/>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517</w:t>
            </w:r>
          </w:p>
        </w:tc>
        <w:tc>
          <w:tcPr>
            <w:tcW w:w="60" w:type="dxa"/>
            <w:vAlign w:val="bottom"/>
          </w:tcPr>
          <w:p>
            <w:pPr>
              <w:spacing w:after="0"/>
              <w:rPr>
                <w:sz w:val="18"/>
                <w:szCs w:val="18"/>
                <w:color w:val="auto"/>
              </w:rPr>
            </w:pPr>
          </w:p>
        </w:tc>
      </w:tr>
      <w:tr>
        <w:trPr>
          <w:trHeight w:val="25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current assets</w:t>
            </w:r>
          </w:p>
        </w:tc>
        <w:tc>
          <w:tcPr>
            <w:tcW w:w="16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21"/>
                <w:szCs w:val="21"/>
                <w:color w:val="auto"/>
              </w:rPr>
            </w:pPr>
          </w:p>
        </w:tc>
      </w:tr>
      <w:tr>
        <w:trPr>
          <w:trHeight w:val="217"/>
        </w:trPr>
        <w:tc>
          <w:tcPr>
            <w:tcW w:w="4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prepaid expenses and other current assets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ASSET SALES AND NOTE RECEIVABLE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27, 2017, the Company entered into an Asset Purchase Agreement (the “PA Agreement”) with Creative Pharmacy Solutions Central, LLC (the “Buyers”), which closed in July 2017. Under the terms of the PA Agreement, the Company sold substantially all its assets associated with its sinus related business, including but not limited to, certain intellectual property rights, trademarks, copyrights, inventories, equipment, customer lists, databases, permits, licenses, and assignment of the Company’s lease obligation for its Pennsylvania based pharmacy (the “PA Assets”), for a total purchase price of approximately $450.</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terms of the PA Agreement, the Buyers, upon closing, paid to the Company an aggregate cash amount of $40. In addition, the Buyers are obligated to pay the remaining $410 pursuant to a note bearing interest at 6% per annum (the “Sellers Note”). The Buyers are required to make forty-eight monthly cash payments to the Company of $10 following the closing, totaling $462; provided however, that the Buyer had the option to make a one-time payment of $365 any time prior to December 31, 2017, and the Company would have waive any remaining amounts due on the Sellers Note. The principal amount of the Sellers Note was also subject to post-closing adjustment through December 31, 2017, if certain criteria were met, however, that period ended and no adjustments were made. There was $400 due under the Sellers Note as of December 31, 2017, which has not yet been paid.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future minimum payments to the Company under its note receivable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20" w:type="dxa"/>
            <w:vAlign w:val="bottom"/>
            <w:gridSpan w:val="2"/>
          </w:tcPr>
          <w:p>
            <w:pPr>
              <w:ind w:left="500"/>
              <w:spacing w:after="0"/>
              <w:rPr>
                <w:sz w:val="20"/>
                <w:szCs w:val="20"/>
                <w:color w:val="auto"/>
              </w:rPr>
            </w:pPr>
            <w:r>
              <w:rPr>
                <w:rFonts w:ascii="Arial" w:cs="Arial" w:eastAsia="Arial" w:hAnsi="Arial"/>
                <w:sz w:val="18"/>
                <w:szCs w:val="18"/>
                <w:b w:val="1"/>
                <w:bCs w:val="1"/>
                <w:color w:val="auto"/>
              </w:rPr>
              <w:t>Amount</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0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2019</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20" w:type="dxa"/>
            <w:vAlign w:val="bottom"/>
            <w:gridSpan w:val="2"/>
          </w:tcPr>
          <w:p>
            <w:pPr>
              <w:jc w:val="right"/>
              <w:ind w:right="80"/>
              <w:spacing w:after="0"/>
              <w:rPr>
                <w:sz w:val="20"/>
                <w:szCs w:val="20"/>
                <w:color w:val="auto"/>
              </w:rPr>
            </w:pPr>
            <w:r>
              <w:rPr>
                <w:rFonts w:ascii="Arial" w:cs="Arial" w:eastAsia="Arial" w:hAnsi="Arial"/>
                <w:sz w:val="18"/>
                <w:szCs w:val="18"/>
                <w:color w:val="auto"/>
              </w:rPr>
              <w:t>116</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r>
      <w:tr>
        <w:trPr>
          <w:trHeight w:val="237"/>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2021</w:t>
            </w:r>
          </w:p>
        </w:tc>
        <w:tc>
          <w:tcPr>
            <w:tcW w:w="104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80" w:type="dxa"/>
            <w:vAlign w:val="bottom"/>
            <w:tcBorders>
              <w:bottom w:val="single" w:sz="8" w:color="CCEEFF"/>
            </w:tcBorders>
          </w:tcPr>
          <w:p>
            <w:pPr>
              <w:spacing w:after="0"/>
              <w:rPr>
                <w:sz w:val="20"/>
                <w:szCs w:val="20"/>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note receivable, including interest</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8"/>
                <w:szCs w:val="18"/>
                <w:color w:val="auto"/>
              </w:rPr>
            </w:pPr>
          </w:p>
        </w:tc>
      </w:tr>
      <w:tr>
        <w:trPr>
          <w:trHeight w:val="237"/>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amount representing interest income</w:t>
            </w:r>
          </w:p>
        </w:tc>
        <w:tc>
          <w:tcPr>
            <w:tcW w:w="104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CEEFF"/>
            </w:tcBorders>
          </w:tcPr>
          <w:p>
            <w:pPr>
              <w:spacing w:after="0"/>
              <w:rPr>
                <w:sz w:val="20"/>
                <w:szCs w:val="20"/>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future minimum note receivable</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80" w:type="dxa"/>
            <w:vAlign w:val="bottom"/>
            <w:shd w:val="clear" w:color="auto" w:fill="CCEEFF"/>
          </w:tcPr>
          <w:p>
            <w:pPr>
              <w:spacing w:after="0"/>
              <w:rPr>
                <w:sz w:val="18"/>
                <w:szCs w:val="18"/>
                <w:color w:val="auto"/>
              </w:rPr>
            </w:pPr>
          </w:p>
        </w:tc>
      </w:tr>
      <w:tr>
        <w:trPr>
          <w:trHeight w:val="237"/>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104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80" w:type="dxa"/>
            <w:vAlign w:val="bottom"/>
            <w:tcBorders>
              <w:bottom w:val="single" w:sz="8" w:color="CCEEFF"/>
            </w:tcBorders>
          </w:tcPr>
          <w:p>
            <w:pPr>
              <w:spacing w:after="0"/>
              <w:rPr>
                <w:sz w:val="20"/>
                <w:szCs w:val="20"/>
                <w:color w:val="auto"/>
              </w:rPr>
            </w:pPr>
          </w:p>
        </w:tc>
      </w:tr>
      <w:tr>
        <w:trPr>
          <w:trHeight w:val="230"/>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 receivable net of current portion</w:t>
            </w:r>
          </w:p>
        </w:tc>
        <w:tc>
          <w:tcPr>
            <w:tcW w:w="10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a loss of $69 during the year ended December 31, 2017, related to the sale of the PA Assets.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June 2017, in a separate transaction, the Company entered into an agreement to sell certain equipment to a third party for amount of $60 and closed the transaction in July 2017. The Company recorded a loss related to equipment of $52 during the year ended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Assets sold during the year ended December 31, 2017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tcPr>
          <w:p>
            <w:pPr>
              <w:jc w:val="right"/>
              <w:ind w:right="470"/>
              <w:spacing w:after="0"/>
              <w:rPr>
                <w:sz w:val="20"/>
                <w:szCs w:val="20"/>
                <w:color w:val="auto"/>
              </w:rPr>
            </w:pPr>
            <w:r>
              <w:rPr>
                <w:rFonts w:ascii="Arial" w:cs="Arial" w:eastAsia="Arial" w:hAnsi="Arial"/>
                <w:sz w:val="18"/>
                <w:szCs w:val="18"/>
                <w:b w:val="1"/>
                <w:bCs w:val="1"/>
                <w:color w:val="auto"/>
              </w:rPr>
              <w:t>December 31, 2017</w:t>
            </w:r>
          </w:p>
        </w:tc>
        <w:tc>
          <w:tcPr>
            <w:tcW w:w="4000" w:type="dxa"/>
            <w:vAlign w:val="bottom"/>
          </w:tcPr>
          <w:p>
            <w:pPr>
              <w:spacing w:after="0"/>
              <w:rPr>
                <w:sz w:val="20"/>
                <w:szCs w:val="20"/>
                <w:color w:val="auto"/>
              </w:rPr>
            </w:pPr>
          </w:p>
        </w:tc>
      </w:tr>
      <w:tr>
        <w:trPr>
          <w:trHeight w:val="216"/>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Inventories</w:t>
            </w: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22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4000" w:type="dxa"/>
            <w:vAlign w:val="bottom"/>
          </w:tcPr>
          <w:p>
            <w:pPr>
              <w:spacing w:after="0"/>
              <w:rPr>
                <w:sz w:val="18"/>
                <w:szCs w:val="18"/>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3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226</w:t>
            </w:r>
          </w:p>
        </w:tc>
        <w:tc>
          <w:tcPr>
            <w:tcW w:w="4000" w:type="dxa"/>
            <w:vAlign w:val="bottom"/>
          </w:tcPr>
          <w:p>
            <w:pPr>
              <w:spacing w:after="0"/>
              <w:rPr>
                <w:sz w:val="20"/>
                <w:szCs w:val="20"/>
                <w:color w:val="auto"/>
              </w:rPr>
            </w:pPr>
          </w:p>
        </w:tc>
      </w:tr>
      <w:tr>
        <w:trPr>
          <w:trHeight w:val="216"/>
        </w:trPr>
        <w:tc>
          <w:tcPr>
            <w:tcW w:w="49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2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4000" w:type="dxa"/>
            <w:vAlign w:val="bottom"/>
          </w:tcPr>
          <w:p>
            <w:pPr>
              <w:spacing w:after="0"/>
              <w:rPr>
                <w:sz w:val="18"/>
                <w:szCs w:val="18"/>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18"/>
                <w:szCs w:val="18"/>
                <w:color w:val="auto"/>
              </w:rPr>
              <w:t>Loss on asset sale</w:t>
            </w:r>
          </w:p>
        </w:tc>
        <w:tc>
          <w:tcPr>
            <w:tcW w:w="3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(127)</w:t>
            </w:r>
          </w:p>
        </w:tc>
        <w:tc>
          <w:tcPr>
            <w:tcW w:w="4000" w:type="dxa"/>
            <w:vAlign w:val="bottom"/>
          </w:tcPr>
          <w:p>
            <w:pPr>
              <w:spacing w:after="0"/>
              <w:rPr>
                <w:sz w:val="20"/>
                <w:szCs w:val="20"/>
                <w:color w:val="auto"/>
              </w:rPr>
            </w:pPr>
          </w:p>
        </w:tc>
      </w:tr>
      <w:tr>
        <w:trPr>
          <w:trHeight w:val="230"/>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 sold</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22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400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420"/>
        </w:trPr>
        <w:tc>
          <w:tcPr>
            <w:tcW w:w="4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color w:val="auto"/>
              </w:rPr>
              <w:t>F-16</w:t>
            </w: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66" w:name="page67"/>
    <w:bookmarkEnd w:id="66"/>
    <w:p>
      <w:pPr>
        <w:jc w:val="both"/>
        <w:spacing w:after="0" w:line="273" w:lineRule="auto"/>
        <w:rPr>
          <w:sz w:val="20"/>
          <w:szCs w:val="20"/>
          <w:color w:val="auto"/>
        </w:rPr>
      </w:pPr>
      <w:r>
        <w:rPr>
          <w:rFonts w:ascii="Arial" w:cs="Arial" w:eastAsia="Arial" w:hAnsi="Arial"/>
          <w:sz w:val="17"/>
          <w:szCs w:val="17"/>
          <w:color w:val="auto"/>
        </w:rPr>
        <w:t>In February 2017, the Company entered into a stock purchase agreement (the “SPA”) with Livernois &amp; London, LLC (“Livernois”). Pursuant to the terms of the SPA, the Company sold to Livernois 100% of the issued and outstanding shares of common stock of its Texas based subsidiary, ImprimisRx TX, Inc. dba ImprimisRx (“Imprimis TX”). The SPA did not transfer to Livernois any of the Company’s rights to intellectual property, products, clients, nor any of its existing business operations. As consideration for the purchase of Imprimis TX, Livernois paid the Company $10 and the Company assigned, and Livernois assumed, the remaining lease obligation totaling $113 for the Texas based facility. The Company recorded a loss of $173 from the sale of Imprimis TX for the year ended December 31, 2017, which is included in the accompanying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at December 31, 2017 and 2016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2"/>
              </w:rPr>
              <w:t>December 31, 2017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2"/>
              </w:rPr>
              <w:t>December 31, 2016</w:t>
            </w:r>
          </w:p>
        </w:tc>
      </w:tr>
      <w:tr>
        <w:trPr>
          <w:trHeight w:val="216"/>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Computer software and hardware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1,239</w:t>
            </w:r>
          </w:p>
        </w:tc>
        <w:tc>
          <w:tcPr>
            <w:tcW w:w="260" w:type="dxa"/>
            <w:vAlign w:val="bottom"/>
          </w:tcPr>
          <w:p>
            <w:pPr>
              <w:spacing w:after="0"/>
              <w:rPr>
                <w:sz w:val="18"/>
                <w:szCs w:val="18"/>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831</w:t>
            </w:r>
          </w:p>
        </w:tc>
        <w:tc>
          <w:tcPr>
            <w:tcW w:w="60" w:type="dxa"/>
            <w:vAlign w:val="bottom"/>
          </w:tcPr>
          <w:p>
            <w:pPr>
              <w:spacing w:after="0"/>
              <w:rPr>
                <w:sz w:val="18"/>
                <w:szCs w:val="18"/>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equipment</w:t>
            </w:r>
          </w:p>
        </w:tc>
        <w:tc>
          <w:tcPr>
            <w:tcW w:w="1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w:t>
            </w:r>
          </w:p>
        </w:tc>
        <w:tc>
          <w:tcPr>
            <w:tcW w:w="60" w:type="dxa"/>
            <w:vAlign w:val="bottom"/>
            <w:shd w:val="clear" w:color="auto" w:fill="CCEEFF"/>
          </w:tcPr>
          <w:p>
            <w:pPr>
              <w:spacing w:after="0"/>
              <w:rPr>
                <w:sz w:val="18"/>
                <w:szCs w:val="18"/>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Lab and pharmacy equipment</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2,545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2,559</w:t>
            </w:r>
          </w:p>
        </w:tc>
        <w:tc>
          <w:tcPr>
            <w:tcW w:w="60" w:type="dxa"/>
            <w:vAlign w:val="bottom"/>
          </w:tcPr>
          <w:p>
            <w:pPr>
              <w:spacing w:after="0"/>
              <w:rPr>
                <w:sz w:val="18"/>
                <w:szCs w:val="18"/>
                <w:color w:val="auto"/>
              </w:rPr>
            </w:pPr>
          </w:p>
        </w:tc>
      </w:tr>
      <w:tr>
        <w:trPr>
          <w:trHeight w:val="25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w:t>
            </w: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4,836</w:t>
            </w:r>
          </w:p>
        </w:tc>
        <w:tc>
          <w:tcPr>
            <w:tcW w:w="60" w:type="dxa"/>
            <w:vAlign w:val="bottom"/>
            <w:shd w:val="clear" w:color="auto" w:fill="CCEEFF"/>
          </w:tcPr>
          <w:p>
            <w:pPr>
              <w:spacing w:after="0"/>
              <w:rPr>
                <w:sz w:val="21"/>
                <w:szCs w:val="21"/>
                <w:color w:val="auto"/>
              </w:rPr>
            </w:pPr>
          </w:p>
        </w:tc>
      </w:tr>
      <w:tr>
        <w:trPr>
          <w:trHeight w:val="203"/>
        </w:trPr>
        <w:tc>
          <w:tcPr>
            <w:tcW w:w="49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8,971</w:t>
            </w: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8,650</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6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(2,756)</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(1,355)</w:t>
            </w:r>
          </w:p>
        </w:tc>
      </w:tr>
      <w:tr>
        <w:trPr>
          <w:trHeight w:val="217"/>
        </w:trPr>
        <w:tc>
          <w:tcPr>
            <w:tcW w:w="49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6,215</w:t>
            </w: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7,295</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depreciation and amortization expense of $1,401 and $1,055 during the years ended December 31, 2017 and 2016,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at December 31, 2017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Amortization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8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periods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w w:val="97"/>
              </w:rPr>
              <w:t>Accumulated</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Net</w:t>
            </w:r>
          </w:p>
        </w:tc>
      </w:tr>
      <w:tr>
        <w:trPr>
          <w:trHeight w:val="237"/>
        </w:trPr>
        <w:tc>
          <w:tcPr>
            <w:tcW w:w="28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(in years)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Cost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amortization</w:t>
            </w:r>
          </w:p>
        </w:tc>
        <w:tc>
          <w:tcPr>
            <w:tcW w:w="120" w:type="dxa"/>
            <w:vAlign w:val="bottom"/>
          </w:tcPr>
          <w:p>
            <w:pPr>
              <w:spacing w:after="0"/>
              <w:rPr>
                <w:sz w:val="20"/>
                <w:szCs w:val="20"/>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Impairment</w:t>
            </w:r>
          </w:p>
        </w:tc>
        <w:tc>
          <w:tcPr>
            <w:tcW w:w="180" w:type="dxa"/>
            <w:vAlign w:val="bottom"/>
          </w:tcPr>
          <w:p>
            <w:pPr>
              <w:spacing w:after="0"/>
              <w:rPr>
                <w:sz w:val="20"/>
                <w:szCs w:val="20"/>
                <w:color w:val="auto"/>
              </w:rPr>
            </w:pPr>
          </w:p>
        </w:tc>
        <w:tc>
          <w:tcPr>
            <w:tcW w:w="1560" w:type="dxa"/>
            <w:vAlign w:val="bottom"/>
            <w:gridSpan w:val="3"/>
          </w:tcPr>
          <w:p>
            <w:pPr>
              <w:jc w:val="center"/>
              <w:ind w:right="280"/>
              <w:spacing w:after="0"/>
              <w:rPr>
                <w:sz w:val="20"/>
                <w:szCs w:val="20"/>
                <w:color w:val="auto"/>
              </w:rPr>
            </w:pPr>
            <w:r>
              <w:rPr>
                <w:rFonts w:ascii="Arial" w:cs="Arial" w:eastAsia="Arial" w:hAnsi="Arial"/>
                <w:sz w:val="18"/>
                <w:szCs w:val="18"/>
                <w:color w:val="auto"/>
                <w:w w:val="93"/>
              </w:rPr>
              <w:t>Carrying value</w:t>
            </w:r>
          </w:p>
        </w:tc>
      </w:tr>
      <w:tr>
        <w:trPr>
          <w:trHeight w:val="216"/>
        </w:trPr>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17-19 years</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Licenses</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 years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3-15 years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2,170</w:t>
            </w:r>
          </w:p>
        </w:tc>
        <w:tc>
          <w:tcPr>
            <w:tcW w:w="80" w:type="dxa"/>
            <w:vAlign w:val="bottom"/>
          </w:tcPr>
          <w:p>
            <w:pPr>
              <w:spacing w:after="0"/>
              <w:rPr>
                <w:sz w:val="18"/>
                <w:szCs w:val="18"/>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Non-competition clause</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3-4 years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r>
      <w:tr>
        <w:trPr>
          <w:trHeight w:val="25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State pharmacy licenses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 years</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7"/>
        </w:trPr>
        <w:tc>
          <w:tcPr>
            <w:tcW w:w="2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4,044</w:t>
            </w: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300" w:type="dxa"/>
            <w:vAlign w:val="bottom"/>
            <w:tcBorders>
              <w:top w:val="single" w:sz="8" w:color="CCEEFF"/>
            </w:tcBorders>
          </w:tcPr>
          <w:p>
            <w:pPr>
              <w:jc w:val="right"/>
              <w:ind w:right="1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00" w:type="dxa"/>
            <w:vAlign w:val="bottom"/>
            <w:tcBorders>
              <w:top w:val="single" w:sz="8" w:color="CCEEFF"/>
            </w:tcBorders>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2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intangible assets for the year ended December 31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For the</w:t>
            </w:r>
          </w:p>
        </w:tc>
        <w:tc>
          <w:tcPr>
            <w:tcW w:w="2860" w:type="dxa"/>
            <w:vAlign w:val="bottom"/>
          </w:tcPr>
          <w:p>
            <w:pPr>
              <w:spacing w:after="0"/>
              <w:rPr>
                <w:sz w:val="18"/>
                <w:szCs w:val="18"/>
                <w:color w:val="auto"/>
              </w:rPr>
            </w:pPr>
          </w:p>
        </w:tc>
      </w:tr>
      <w:tr>
        <w:trPr>
          <w:trHeight w:val="230"/>
        </w:trPr>
        <w:tc>
          <w:tcPr>
            <w:tcW w:w="4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Year Ended</w:t>
            </w:r>
          </w:p>
        </w:tc>
        <w:tc>
          <w:tcPr>
            <w:tcW w:w="140" w:type="dxa"/>
            <w:vAlign w:val="bottom"/>
          </w:tcPr>
          <w:p>
            <w:pPr>
              <w:spacing w:after="0"/>
              <w:rPr>
                <w:sz w:val="19"/>
                <w:szCs w:val="19"/>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Year Ended</w:t>
            </w:r>
          </w:p>
        </w:tc>
        <w:tc>
          <w:tcPr>
            <w:tcW w:w="2860" w:type="dxa"/>
            <w:vAlign w:val="bottom"/>
          </w:tcPr>
          <w:p>
            <w:pPr>
              <w:spacing w:after="0"/>
              <w:rPr>
                <w:sz w:val="19"/>
                <w:szCs w:val="19"/>
                <w:color w:val="auto"/>
              </w:rPr>
            </w:pPr>
          </w:p>
        </w:tc>
      </w:tr>
      <w:tr>
        <w:trPr>
          <w:trHeight w:val="237"/>
        </w:trPr>
        <w:tc>
          <w:tcPr>
            <w:tcW w:w="4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December 31, 2017</w:t>
            </w:r>
          </w:p>
        </w:tc>
        <w:tc>
          <w:tcPr>
            <w:tcW w:w="14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31, 2016</w:t>
            </w:r>
          </w:p>
        </w:tc>
        <w:tc>
          <w:tcPr>
            <w:tcW w:w="2860" w:type="dxa"/>
            <w:vAlign w:val="bottom"/>
          </w:tcPr>
          <w:p>
            <w:pPr>
              <w:spacing w:after="0"/>
              <w:rPr>
                <w:sz w:val="20"/>
                <w:szCs w:val="20"/>
                <w:color w:val="auto"/>
              </w:rPr>
            </w:pPr>
          </w:p>
        </w:tc>
      </w:tr>
      <w:tr>
        <w:trPr>
          <w:trHeight w:val="216"/>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tcBorders>
            <w:shd w:val="clear" w:color="auto" w:fill="CCEEFF"/>
          </w:tcPr>
          <w:p>
            <w:pPr>
              <w:spacing w:after="0"/>
              <w:rPr>
                <w:sz w:val="18"/>
                <w:szCs w:val="18"/>
                <w:color w:val="auto"/>
              </w:rPr>
            </w:pPr>
          </w:p>
        </w:tc>
        <w:tc>
          <w:tcPr>
            <w:tcW w:w="286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1900" w:type="dxa"/>
            <w:vAlign w:val="bottom"/>
            <w:gridSpan w:val="2"/>
          </w:tcPr>
          <w:p>
            <w:pPr>
              <w:jc w:val="right"/>
              <w:ind w:right="240"/>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8"/>
                <w:szCs w:val="18"/>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255</w:t>
            </w:r>
          </w:p>
        </w:tc>
        <w:tc>
          <w:tcPr>
            <w:tcW w:w="286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286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Non-competition clause</w:t>
            </w:r>
          </w:p>
        </w:tc>
        <w:tc>
          <w:tcPr>
            <w:tcW w:w="140" w:type="dxa"/>
            <w:vAlign w:val="bottom"/>
          </w:tcPr>
          <w:p>
            <w:pPr>
              <w:spacing w:after="0"/>
              <w:rPr>
                <w:sz w:val="18"/>
                <w:szCs w:val="18"/>
                <w:color w:val="auto"/>
              </w:rPr>
            </w:pPr>
          </w:p>
        </w:tc>
        <w:tc>
          <w:tcPr>
            <w:tcW w:w="1900" w:type="dxa"/>
            <w:vAlign w:val="bottom"/>
            <w:gridSpan w:val="2"/>
          </w:tcPr>
          <w:p>
            <w:pPr>
              <w:jc w:val="right"/>
              <w:ind w:right="24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5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State pharmacy licenses</w:t>
            </w:r>
          </w:p>
        </w:tc>
        <w:tc>
          <w:tcPr>
            <w:tcW w:w="1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860" w:type="dxa"/>
            <w:vAlign w:val="bottom"/>
          </w:tcPr>
          <w:p>
            <w:pPr>
              <w:spacing w:after="0"/>
              <w:rPr>
                <w:sz w:val="21"/>
                <w:szCs w:val="21"/>
                <w:color w:val="auto"/>
              </w:rPr>
            </w:pPr>
          </w:p>
        </w:tc>
      </w:tr>
      <w:tr>
        <w:trPr>
          <w:trHeight w:val="217"/>
        </w:trPr>
        <w:tc>
          <w:tcPr>
            <w:tcW w:w="46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80" w:type="dxa"/>
            <w:vAlign w:val="bottom"/>
            <w:tcBorders>
              <w:top w:val="single" w:sz="8" w:color="CCEEFF"/>
            </w:tcBorders>
          </w:tcPr>
          <w:p>
            <w:pPr>
              <w:spacing w:after="0"/>
              <w:rPr>
                <w:sz w:val="18"/>
                <w:szCs w:val="18"/>
                <w:color w:val="auto"/>
              </w:rPr>
            </w:pPr>
          </w:p>
        </w:tc>
        <w:tc>
          <w:tcPr>
            <w:tcW w:w="2860" w:type="dxa"/>
            <w:vAlign w:val="bottom"/>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420"/>
        </w:trPr>
        <w:tc>
          <w:tcPr>
            <w:tcW w:w="4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color w:val="auto"/>
              </w:rPr>
              <w:t>F-17</w:t>
            </w: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Estimated future amortization expense for the Company’s intangible assets at December 31, 2017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Years ending December 31,</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7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r>
      <w:tr>
        <w:trPr>
          <w:trHeight w:val="237"/>
        </w:trPr>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40" w:type="dxa"/>
            <w:vAlign w:val="bottom"/>
            <w:tcBorders>
              <w:bottom w:val="single" w:sz="8" w:color="CCEEFF"/>
            </w:tcBorders>
          </w:tcPr>
          <w:p>
            <w:pPr>
              <w:spacing w:after="0"/>
              <w:rPr>
                <w:sz w:val="20"/>
                <w:szCs w:val="20"/>
                <w:color w:val="auto"/>
              </w:rPr>
            </w:pPr>
          </w:p>
        </w:tc>
      </w:tr>
      <w:tr>
        <w:trPr>
          <w:trHeight w:val="230"/>
        </w:trPr>
        <w:tc>
          <w:tcPr>
            <w:tcW w:w="4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the Company’s goodwill during the years ended December 31, 2017 and 2016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680" w:type="dxa"/>
            <w:vAlign w:val="bottom"/>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2,466</w:t>
            </w:r>
          </w:p>
        </w:tc>
      </w:tr>
      <w:tr>
        <w:trPr>
          <w:trHeight w:val="237"/>
        </w:trPr>
        <w:tc>
          <w:tcPr>
            <w:tcW w:w="6240" w:type="dxa"/>
            <w:vAlign w:val="bottom"/>
          </w:tcPr>
          <w:p>
            <w:pPr>
              <w:ind w:left="180"/>
              <w:spacing w:after="0"/>
              <w:rPr>
                <w:sz w:val="20"/>
                <w:szCs w:val="20"/>
                <w:color w:val="auto"/>
              </w:rPr>
            </w:pPr>
            <w:r>
              <w:rPr>
                <w:rFonts w:ascii="Arial" w:cs="Arial" w:eastAsia="Arial" w:hAnsi="Arial"/>
                <w:sz w:val="18"/>
                <w:szCs w:val="18"/>
                <w:color w:val="auto"/>
              </w:rPr>
              <w:t>Impairment of ImprimisRx TX</w:t>
            </w:r>
          </w:p>
        </w:tc>
        <w:tc>
          <w:tcPr>
            <w:tcW w:w="6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(239)</w:t>
            </w:r>
          </w:p>
        </w:tc>
      </w:tr>
      <w:tr>
        <w:trPr>
          <w:trHeight w:val="236"/>
        </w:trPr>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680" w:type="dxa"/>
            <w:vAlign w:val="bottom"/>
            <w:tcBorders>
              <w:top w:val="single" w:sz="8" w:color="auto"/>
              <w:bottom w:val="single" w:sz="8" w:color="auto"/>
            </w:tcBorders>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6240" w:type="dxa"/>
            <w:vAlign w:val="bottom"/>
            <w:tcBorders>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No changes</w:t>
            </w:r>
          </w:p>
        </w:tc>
        <w:tc>
          <w:tcPr>
            <w:tcW w:w="6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r>
      <w:tr>
        <w:trPr>
          <w:trHeight w:val="230"/>
        </w:trPr>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680" w:type="dxa"/>
            <w:vAlign w:val="bottom"/>
            <w:tcBorders>
              <w:bottom w:val="single" w:sz="8" w:color="auto"/>
            </w:tcBorders>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ACCOUNTS PAYABLE AND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at December 31, 2017 and 2016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1"/>
              </w:rPr>
              <w:t>December 31, 2017</w:t>
            </w:r>
          </w:p>
        </w:tc>
        <w:tc>
          <w:tcPr>
            <w:tcW w:w="140" w:type="dxa"/>
            <w:vAlign w:val="bottom"/>
          </w:tcPr>
          <w:p>
            <w:pPr>
              <w:spacing w:after="0"/>
              <w:rPr>
                <w:sz w:val="20"/>
                <w:szCs w:val="20"/>
                <w:color w:val="auto"/>
              </w:rPr>
            </w:pPr>
          </w:p>
        </w:tc>
        <w:tc>
          <w:tcPr>
            <w:tcW w:w="17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1"/>
              </w:rPr>
              <w:t>December 31, 2016</w:t>
            </w:r>
          </w:p>
        </w:tc>
      </w:tr>
      <w:tr>
        <w:trPr>
          <w:trHeight w:val="216"/>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Deferred rent</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388</w:t>
            </w:r>
          </w:p>
        </w:tc>
        <w:tc>
          <w:tcPr>
            <w:tcW w:w="1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412</w:t>
            </w:r>
          </w:p>
        </w:tc>
        <w:tc>
          <w:tcPr>
            <w:tcW w:w="6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(see Note 11)</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Accrued exit fee for notes payable (see Note 11)</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667</w:t>
            </w:r>
          </w:p>
        </w:tc>
        <w:tc>
          <w:tcPr>
            <w:tcW w:w="60" w:type="dxa"/>
            <w:vAlign w:val="bottom"/>
          </w:tcPr>
          <w:p>
            <w:pPr>
              <w:spacing w:after="0"/>
              <w:rPr>
                <w:sz w:val="18"/>
                <w:szCs w:val="18"/>
                <w:color w:val="auto"/>
              </w:rPr>
            </w:pPr>
          </w:p>
        </w:tc>
      </w:tr>
      <w:tr>
        <w:trPr>
          <w:trHeight w:val="25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Building lease liability</w:t>
            </w: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21"/>
                <w:szCs w:val="21"/>
                <w:color w:val="auto"/>
              </w:rPr>
            </w:pPr>
          </w:p>
        </w:tc>
      </w:tr>
      <w:tr>
        <w:trPr>
          <w:trHeight w:val="203"/>
        </w:trPr>
        <w:tc>
          <w:tcPr>
            <w:tcW w:w="45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accounts payable and accrued expenses</w:t>
            </w:r>
          </w:p>
        </w:tc>
        <w:tc>
          <w:tcPr>
            <w:tcW w:w="10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4,685</w:t>
            </w:r>
          </w:p>
        </w:tc>
        <w:tc>
          <w:tcPr>
            <w:tcW w:w="3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4,205</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(3,885)</w:t>
            </w:r>
          </w:p>
        </w:tc>
        <w:tc>
          <w:tcPr>
            <w:tcW w:w="140" w:type="dxa"/>
            <w:vAlign w:val="bottom"/>
            <w:shd w:val="clear" w:color="auto" w:fill="CCEEFF"/>
          </w:tcPr>
          <w:p>
            <w:pPr>
              <w:spacing w:after="0"/>
              <w:rPr>
                <w:sz w:val="21"/>
                <w:szCs w:val="21"/>
                <w:color w:val="auto"/>
              </w:rPr>
            </w:pP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(3,538)</w:t>
            </w:r>
          </w:p>
        </w:tc>
      </w:tr>
      <w:tr>
        <w:trPr>
          <w:trHeight w:val="217"/>
        </w:trPr>
        <w:tc>
          <w:tcPr>
            <w:tcW w:w="45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Non-current total accrued expenses</w:t>
            </w:r>
          </w:p>
        </w:tc>
        <w:tc>
          <w:tcPr>
            <w:tcW w:w="10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LSAF Senior Note – 2015</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11, 2015, the Company entered into a loan and security agreement (the “Loan Agreement”) with IMMY Funding LLC, an affiliate of Life Sciences Alternative Funding LLC (the “LSAF”), as lender and collateral agent. Pursuant to the terms of the Loan Agreement, as amended in January 2016 and December 2016 (see further description of December 2016 amendment below), LSAF made available to the Company a term loan in the aggregate principal amount of up to $10,000, all of which was drawn on May 11, 2015. The term loan bore interest at a fixed per-annum rate of 12.5% and allowed for 2% of the interest to be paid-in-kind until December 2016. The Company was permitted to pay interest only until June 1, 2017. The Company was required to pay interest, plus repayments of the principal amount of the term loan, in 20 equal monthly installments. All amounts owed under the Loan Agreement, including a final fee of 5% of the aggregate principal amount of the term loan and prepayment fees of up to 1% of the principal balance were due on January 1, 2019. The Company incurred expenses of approximately $1,066 in connection with the Loan Agreement. The final fee and expenses were amortized as interest expense over the term of the debt using the interest method and the related liability of $667 for the final fee, as of December 31, 2016, is included in accrued expenses (see Note 10) in the accompanying consolidated balance sheets.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8" w:name="page69"/>
    <w:bookmarkEnd w:id="68"/>
    <w:p>
      <w:pPr>
        <w:jc w:val="both"/>
        <w:spacing w:after="0" w:line="272" w:lineRule="auto"/>
        <w:rPr>
          <w:sz w:val="20"/>
          <w:szCs w:val="20"/>
          <w:color w:val="auto"/>
        </w:rPr>
      </w:pPr>
      <w:r>
        <w:rPr>
          <w:rFonts w:ascii="Arial" w:cs="Arial" w:eastAsia="Arial" w:hAnsi="Arial"/>
          <w:sz w:val="17"/>
          <w:szCs w:val="17"/>
          <w:color w:val="auto"/>
        </w:rPr>
        <w:t>In connection with the Loan Agreement, the Company issued to LSAF a warrant to purchase up to 125,000 shares of the Company’s common stock, which is exercisable immediately, has an exercise price of $7.85 per share upon issuance and has a term of 10 years. The relative fair value of the warrants was approximately $840 and was estimated using the Black-Scholes-Merton option pricing model with the following assumptions: fair value of the Company’s common stock at issuance of $7.97 per share; ten-year contractual term; 109% volatility; 0% dividend rate; and a risk-free interest rate of 1.25%. The relative fair value of the warrants was recorded as a debt discount, decreasing notes payable and increasing additional paid-in capital on the accompanying consolidated balance sheet. The debt discount is being amortized to interest expense over the term of the debt using the effective interest rate method. As described further, this warrant was amended in January 2016 and December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 and Exchange Agreement – 2016</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22, 2016, the Company entered into a note purchase agreement (the “NPA”) with, and issued an 8.00% Convertible Senior Secured Note (“Convertible Note”) in the principal amount of $3,000 to LSAF. Pursuant to the terms of the NPA, on the date thereof, the Company issued the Convertible Note to LSAF and, as consideration therefor, LSAF paid the Company in cash the full principal amount of the Convertible Note. The Company incurred expenses of approximately $228 in connection with the Convertible Note and these expenses were recorded as a debt discount. The debt discount was being amortized as interest expense over the term of the debt using the effective interest rate method.</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the terms of the Convertible Note, the Company was obligated to pay interest on the principal amount of the Convertible Note monthly in cash at a fixed per-annum rate of 8.00%, and the Company was obligated to repay the full principal amount of the Convertible Note in cash on May 11, 2021. The Company was permitted to redeem the Convertible Note prior to its maturity at any time on or after March 1, 2018 for cash purchase prices equal to 109% - 105% of the outstanding principal amount of the Convertible Note, depending on the date of redemption. The Convertible Note was initially convertible by the holder at any time into shares of the Company’s common stock at an effective conversion price of approximately $5.90 and subject to anti-dilution adjustment upon the Company’s first equity financing while the Convertible Note is outstanding in which it receives gross proceeds of at least $3,000, if such equity financing is completed at a per share price that is less than the conversion rate of the Convertible Note, and also subject to adjustment upon stock combinations or splits, certain recapitalizations, stock or cash dividends or other distributions of property or equity rights. Additionally, in the event of certain change of control events affecting the Company, the Company may be required, at the option of LSAF, to repurchase the Convertible Note in cash for the greater of 105% of the outstanding principal amount of the Convertible Note or the value of the shares of common stock issuable upon conversion of the Convertible Note. The fair value of the conversion feature was $2,322 and was recorded as a debt discount, decreasing notes payable and increasing additional paid-in capital on the accompanying consolidated balance sheet (see also Note 13). The debt discount is being amortized to interest expense over the term of the debt using the effective interest method.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and concurrently with the execution of the NPA and the issuance of the Convertible Note, the Company and LSAF also entered into an amendment (the “Loan Agreement Amendment”) to the Loan Agreement (see above). The Loan Agreement Amendment modifies the terms of the Loan Agreement in order to eliminate the potential borrowing of a second term loan thereunder and to permit the Company to issue the Convertible Note. Additionally, the Company and LSAF entered into an amendment (the “Warrant Amendment”) to the warrants that were issued to LSAF in connection with the Loan Agreement. The Warrant Amendment modifies the terms of the warrants in order to reduce the exercise price thereof to $5.90 per share, which is consistent with the initial conversion rate of the Convertible Note, and to add an anti-dilution adjustment provision that is consistent with the same such provision in the Convertible Note.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16, 2016, upon the closing of the Offering (see Note 13) and pursuant to the anti-dilution adjustment provisions of the Convertible Note and the Warrant Amendment, the effective conversion price of the Convertible Note was adjusted to approximately $3.60, and the exercise price of the warrants was adjusted to $3.60 per share (see also Note 13 for further accounting discussion of the warrant exercise price and conversion provisions and related derivative liabilities). The warrant was amended again in December 2016, to adjust the exercise price to $1.79 per share, in connection with the Exchange Agreement (described below).</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December 27, 2016, the Company entered into a third amendment (the “Amendment”) to the Loan Agreement with LSAF. Concurrently with entering into and related to the Amendment, the Company and LSAF also entered into an Exchange and Discharge Agreement (the “Exchange Agreement”). The Amendment and Exchange Agreement, among other things, primarily allowed for the Company and LSAF to exchange the Convertible Note for a $3,000 term loan (the “Term B Loan”). The Term B Loan was issued in exchange for, and not funded separately, cancellation and discharge of all indebtedness related to the Convertible Note. Terms, conditions and security interests of the Term B Loan are substantially equal to those of the Loan Agreement. The Amendment also amended certain terms and definitions associated with prepayment, payment schedule, amortization periods and defined the outstanding principal amounts due to LSAF under the Loan Agreement and Term B Loan, including any interest that has been paid in kind of the principal balance, in aggregate, as $13,332. In connection with the Exchange Agreement, during the year ended December 31, 2016, the Company recorded early extinguishment expense of $1,966 for remaining unamortized debt discounts related to the Convertible Note at the time of the Exchange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SWK Senior Note and LSAF Payoff – 2017</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July 2017, the Company entered into a term loan and security agreement in the principal amount of $16,000 (the “SWK Loan Agreement” or “SWK Loan”) with SWK Funding LLC and its partners (“SWK”), as lender and collateral agent. The SWK Loan Agreement was fully funded at closing with a five-year term, however, such term may be reduced to four years if certain revenue requirements are not achieved. Concurrently with the funding, the Company utilized a portion of the SWK Loan funds as full payment to an affiliate of LSAF to terminate all amounts due to LSAF in connection with the LSAF related loans (Loan Agreement and Term B Loan). In total, including previously made principal payments, the Company made payments of $13,999 to pay-off the LSAF related loans and expenses, which also included the previously accrued exit fee, interest paid in kind and other expenses related to the payoff. The Company also recorded a loss on early extinguishment of debt during the year ended December 31, 2017 of $884 related to the pay-off.</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SWK Loan bears interest at a variable rate equal to the three-month London Inter-Bank Offered Rate (subject to a minimum of 1.50% and maximum of 3.00%), plus an applicable margin of 10.50%. The SWK Loan Agreement permits the Company to pay interest only on the principal amount loaned thereunder for the first six payments (payments are due on a quarterly basis), which interest-only period may be reduced to four payments if the Company does not meet certain minimum revenue requirements. Following the interest-only period, the Company will be required to pay interest, plus repayments of the principal amount loaned under the SWK Loan Agreement, in quarterly payments, which shall not exceed $750 per quarter. All amounts owed under the SWK Loan Agreement, including a final fee equal to 5% of the aggregate principal amount loaned thereunder, will be due and payable on July 19, 2022, or if certain revenue requirements are not met, July 19, 2021. The Company may elect to prepay all, but not less than all, of the amounts owed under the SWK Loan Agreement prior to the maturity date at any time after July 19, 2019. If certain revenue requirements are not met, the Company may be allowed to prepay the loan from July 19, 2018 to July 19, 2019, provided that a prepayment fee equal to 6% of the principal amount of the loan will also be due. The Company is also obligated under the SWK Loan Agreement to pay for certain expenses incurred by the SWK Lender through and after the date of the SWK Loan Agreement, including certain fees and expenses relating to the preparation and administration of the SWK Loan Agreement. The Company incurred expenses and final fee of approximately $1,282 in connection with the Loan Agreement. The final fee and expenses are being amortized as interest expense over the term of the debt using the effective interest rate method and the related liability of $800 for the final fee is included in accrued expenses (see Note 10) in the accompanying consolidated balance sheet as of December 31, 2017.</w:t>
      </w:r>
    </w:p>
    <w:p>
      <w:pPr>
        <w:spacing w:after="0" w:line="3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SWK Loan Agreement, the Company issued to SWK warrants to purchase up to 415,586 shares of the Company’s common stock (the “Lender Warrants”) with an exercise price of $3.08. In August 2017, the Company and SWK amended the warrants, to allow for the purchase up to 615,386 warrants with an exercise price of $2.08. The Lender Warrants are exercisable immediately, and have a term of 7 years. The Lender Warrants are subject to a cashless exercise feature, with the exercise price and number of shares issuable upon exercise subject to change in connection with stock splits, dividends, reclassifications and other conditions. The relative fair value of the Lender Warrants were approximately $982 and was estimated using the Black-Scholes-Merton option pricing model with the following assumptions: fair value of the Company’s common stock at issuance of $2.08 per share; seven-year contractual term; 113.5% volatility; 0% dividend rate; and a risk-free interest rate of 1.77%.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2017 and 2016, debt discount amortization related to notes payable were $811 and $970,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Notes payable at December 31, 2017 were as follows:</w:t>
            </w: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3"/>
        </w:trPr>
        <w:tc>
          <w:tcPr>
            <w:tcW w:w="5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2"/>
              </w:rPr>
              <w:t>December 31, 2017</w:t>
            </w:r>
          </w:p>
        </w:tc>
      </w:tr>
      <w:tr>
        <w:trPr>
          <w:trHeight w:val="216"/>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SWK note</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37"/>
        </w:trPr>
        <w:tc>
          <w:tcPr>
            <w:tcW w:w="5420" w:type="dxa"/>
            <w:vAlign w:val="bottom"/>
          </w:tcPr>
          <w:p>
            <w:pPr>
              <w:spacing w:after="0"/>
              <w:rPr>
                <w:sz w:val="20"/>
                <w:szCs w:val="20"/>
                <w:color w:val="auto"/>
              </w:rPr>
            </w:pPr>
            <w:r>
              <w:rPr>
                <w:rFonts w:ascii="Arial" w:cs="Arial" w:eastAsia="Arial" w:hAnsi="Arial"/>
                <w:sz w:val="18"/>
                <w:szCs w:val="18"/>
                <w:color w:val="auto"/>
              </w:rPr>
              <w:t>Less: Discount on note</w:t>
            </w:r>
          </w:p>
        </w:tc>
        <w:tc>
          <w:tcPr>
            <w:tcW w:w="16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(1,992)</w:t>
            </w:r>
          </w:p>
        </w:tc>
      </w:tr>
      <w:tr>
        <w:trPr>
          <w:trHeight w:val="236"/>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5420" w:type="dxa"/>
            <w:vAlign w:val="bottom"/>
          </w:tcPr>
          <w:p>
            <w:pPr>
              <w:spacing w:after="0"/>
              <w:rPr>
                <w:sz w:val="20"/>
                <w:szCs w:val="20"/>
                <w:color w:val="auto"/>
              </w:rPr>
            </w:pPr>
            <w:r>
              <w:rPr>
                <w:rFonts w:ascii="Arial" w:cs="Arial" w:eastAsia="Arial" w:hAnsi="Arial"/>
                <w:sz w:val="18"/>
                <w:szCs w:val="18"/>
                <w:b w:val="1"/>
                <w:bCs w:val="1"/>
                <w:color w:val="auto"/>
              </w:rPr>
              <w:t>Long-term portion</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14,008</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payments under notes payable outstanding at December 31, 2017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2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490"/>
              <w:spacing w:after="0"/>
              <w:rPr>
                <w:sz w:val="20"/>
                <w:szCs w:val="20"/>
                <w:color w:val="auto"/>
              </w:rPr>
            </w:pPr>
            <w:r>
              <w:rPr>
                <w:rFonts w:ascii="Arial" w:cs="Arial" w:eastAsia="Arial" w:hAnsi="Arial"/>
                <w:sz w:val="18"/>
                <w:szCs w:val="18"/>
                <w:b w:val="1"/>
                <w:bCs w:val="1"/>
                <w:color w:val="auto"/>
              </w:rPr>
              <w:t>Amount</w:t>
            </w:r>
          </w:p>
        </w:tc>
        <w:tc>
          <w:tcPr>
            <w:tcW w:w="3440" w:type="dxa"/>
            <w:vAlign w:val="bottom"/>
          </w:tcPr>
          <w:p>
            <w:pPr>
              <w:spacing w:after="0"/>
              <w:rPr>
                <w:sz w:val="20"/>
                <w:szCs w:val="20"/>
                <w:color w:val="auto"/>
              </w:rPr>
            </w:pPr>
          </w:p>
        </w:tc>
      </w:tr>
      <w:tr>
        <w:trPr>
          <w:trHeight w:val="216"/>
        </w:trPr>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2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3440" w:type="dxa"/>
            <w:vAlign w:val="bottom"/>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2019</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3,657</w:t>
            </w:r>
          </w:p>
        </w:tc>
        <w:tc>
          <w:tcPr>
            <w:tcW w:w="344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3440" w:type="dxa"/>
            <w:vAlign w:val="bottom"/>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2021</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3,214</w:t>
            </w:r>
          </w:p>
        </w:tc>
        <w:tc>
          <w:tcPr>
            <w:tcW w:w="3440" w:type="dxa"/>
            <w:vAlign w:val="bottom"/>
          </w:tcPr>
          <w:p>
            <w:pPr>
              <w:spacing w:after="0"/>
              <w:rPr>
                <w:sz w:val="18"/>
                <w:szCs w:val="18"/>
                <w:color w:val="auto"/>
              </w:rPr>
            </w:pPr>
          </w:p>
        </w:tc>
      </w:tr>
      <w:tr>
        <w:trPr>
          <w:trHeight w:val="25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11,201</w:t>
            </w:r>
          </w:p>
        </w:tc>
        <w:tc>
          <w:tcPr>
            <w:tcW w:w="3440" w:type="dxa"/>
            <w:vAlign w:val="bottom"/>
          </w:tcPr>
          <w:p>
            <w:pPr>
              <w:spacing w:after="0"/>
              <w:rPr>
                <w:sz w:val="21"/>
                <w:szCs w:val="21"/>
                <w:color w:val="auto"/>
              </w:rPr>
            </w:pPr>
          </w:p>
        </w:tc>
      </w:tr>
      <w:tr>
        <w:trPr>
          <w:trHeight w:val="203"/>
        </w:trPr>
        <w:tc>
          <w:tcPr>
            <w:tcW w:w="4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minimum payments</w:t>
            </w:r>
          </w:p>
        </w:tc>
        <w:tc>
          <w:tcPr>
            <w:tcW w:w="20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23,459</w:t>
            </w:r>
          </w:p>
        </w:tc>
        <w:tc>
          <w:tcPr>
            <w:tcW w:w="3440" w:type="dxa"/>
            <w:vAlign w:val="bottom"/>
          </w:tcPr>
          <w:p>
            <w:pPr>
              <w:spacing w:after="0"/>
              <w:rPr>
                <w:sz w:val="17"/>
                <w:szCs w:val="17"/>
                <w:color w:val="auto"/>
              </w:rPr>
            </w:pPr>
          </w:p>
        </w:tc>
      </w:tr>
      <w:tr>
        <w:trPr>
          <w:trHeight w:val="25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2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(7,459)</w:t>
            </w:r>
          </w:p>
        </w:tc>
        <w:tc>
          <w:tcPr>
            <w:tcW w:w="3440" w:type="dxa"/>
            <w:vAlign w:val="bottom"/>
          </w:tcPr>
          <w:p>
            <w:pPr>
              <w:spacing w:after="0"/>
              <w:rPr>
                <w:sz w:val="21"/>
                <w:szCs w:val="21"/>
                <w:color w:val="auto"/>
              </w:rPr>
            </w:pPr>
          </w:p>
        </w:tc>
      </w:tr>
      <w:tr>
        <w:trPr>
          <w:trHeight w:val="217"/>
        </w:trPr>
        <w:tc>
          <w:tcPr>
            <w:tcW w:w="4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Notes payable, gross</w:t>
            </w:r>
          </w:p>
        </w:tc>
        <w:tc>
          <w:tcPr>
            <w:tcW w:w="20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16,000</w:t>
            </w:r>
          </w:p>
        </w:tc>
        <w:tc>
          <w:tcPr>
            <w:tcW w:w="3440" w:type="dxa"/>
            <w:vAlign w:val="bottom"/>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20"/>
        </w:trPr>
        <w:tc>
          <w:tcPr>
            <w:tcW w:w="40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right"/>
              <w:ind w:right="585"/>
              <w:spacing w:after="0"/>
              <w:rPr>
                <w:sz w:val="20"/>
                <w:szCs w:val="20"/>
                <w:color w:val="auto"/>
              </w:rPr>
            </w:pPr>
            <w:r>
              <w:rPr>
                <w:rFonts w:ascii="Arial" w:cs="Arial" w:eastAsia="Arial" w:hAnsi="Arial"/>
                <w:sz w:val="18"/>
                <w:szCs w:val="18"/>
                <w:color w:val="auto"/>
              </w:rPr>
              <w:t>F-20</w:t>
            </w:r>
          </w:p>
        </w:tc>
        <w:tc>
          <w:tcPr>
            <w:tcW w:w="14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NOTE 12. CAPITAL LEASE OBLIGATION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August 9, 2016, the Company entered into a commercial lease agreement (the “Lease Agreement”) with Essex Capital Corporation (“Essex”). Pursuant to the terms of the Lease Agreement, the Company sold certain equipment (the “Equipment”) to Essex for a total purchase price of approximately $2,000, which was then leased back to the Company under a thirty-six month term net basis lease with monthly payments of approximately $64. The fair value of equipment sold and then leased under the Lease Agreement totaled approximately $2,000. The lease term may be extended for an additional twelve month period in the event the Company achieves certain financial milestones. The Company has the right to purchase the Equipment from Essex upon the expiration of the Lease Agreement for a purchase price equal to the Equipment’s then fair market value, with such fair market value not to exceed fifteen percent of the original Equipment value on August 9, 2016. If the Equipment is not purchased at the end of the term, the Company may automatically extend the lease on a month-to-month basis or return the Equipment and terminate the Lease Agreement. The Company expects to purchase the Equipment at the end of the term of the lease and has accrued the final payment amount of $300. The Company also incurred expenses of approximately $67 in connection with the Lease Agreement. The issuance costs were recorded as a discount. The discount is being amortized as interest expense over the term of the lease using the effective interest method. The Company used an interest rate of 16.8% for calculation of the present value of the future minimum payments under the Lease Agreement. For the years ended December 31, 2017 and 2016, debt discount amortization related to the Lease Agreement was $167 and $90, respectively, and is included in interest expense in the accompanying consolidated statement of operations.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tcPr>
          <w:p>
            <w:pPr>
              <w:spacing w:after="0"/>
              <w:rPr>
                <w:sz w:val="20"/>
                <w:szCs w:val="20"/>
                <w:color w:val="auto"/>
              </w:rPr>
            </w:pPr>
            <w:r>
              <w:rPr>
                <w:rFonts w:ascii="Arial" w:cs="Arial" w:eastAsia="Arial" w:hAnsi="Arial"/>
                <w:sz w:val="18"/>
                <w:szCs w:val="18"/>
                <w:color w:val="auto"/>
                <w:w w:val="96"/>
              </w:rPr>
              <w:t>At December 31, 2017, future payments under the Company’s capital lease were as follows:</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7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Amount</w:t>
            </w:r>
          </w:p>
        </w:tc>
      </w:tr>
      <w:tr>
        <w:trPr>
          <w:trHeight w:val="216"/>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7120" w:type="dxa"/>
            <w:vAlign w:val="bottom"/>
          </w:tcPr>
          <w:p>
            <w:pPr>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751</w:t>
            </w:r>
          </w:p>
        </w:tc>
      </w:tr>
      <w:tr>
        <w:trPr>
          <w:trHeight w:val="216"/>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7120" w:type="dxa"/>
            <w:vAlign w:val="bottom"/>
          </w:tcPr>
          <w:p>
            <w:pPr>
              <w:spacing w:after="0"/>
              <w:rPr>
                <w:sz w:val="20"/>
                <w:szCs w:val="20"/>
                <w:color w:val="auto"/>
              </w:rPr>
            </w:pPr>
            <w:r>
              <w:rPr>
                <w:rFonts w:ascii="Arial" w:cs="Arial" w:eastAsia="Arial" w:hAnsi="Arial"/>
                <w:sz w:val="18"/>
                <w:szCs w:val="18"/>
                <w:color w:val="auto"/>
              </w:rPr>
              <w:t>Less: amount representing interest payments</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r>
      <w:tr>
        <w:trPr>
          <w:trHeight w:val="216"/>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future minimum lease payment</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7120" w:type="dxa"/>
            <w:vAlign w:val="bottom"/>
          </w:tcPr>
          <w:p>
            <w:pPr>
              <w:spacing w:after="0"/>
              <w:rPr>
                <w:sz w:val="20"/>
                <w:szCs w:val="20"/>
                <w:color w:val="auto"/>
              </w:rPr>
            </w:pPr>
            <w:r>
              <w:rPr>
                <w:rFonts w:ascii="Arial" w:cs="Arial" w:eastAsia="Arial" w:hAnsi="Arial"/>
                <w:sz w:val="18"/>
                <w:szCs w:val="18"/>
                <w:color w:val="auto"/>
              </w:rPr>
              <w:t>Less: unamortized discount</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r>
      <w:tr>
        <w:trPr>
          <w:trHeight w:val="216"/>
        </w:trPr>
        <w:tc>
          <w:tcPr>
            <w:tcW w:w="7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7120" w:type="dxa"/>
            <w:vAlign w:val="bottom"/>
          </w:tcPr>
          <w:p>
            <w:pPr>
              <w:spacing w:after="0"/>
              <w:rPr>
                <w:sz w:val="20"/>
                <w:szCs w:val="20"/>
                <w:color w:val="auto"/>
              </w:rPr>
            </w:pPr>
            <w:r>
              <w:rPr>
                <w:rFonts w:ascii="Arial" w:cs="Arial" w:eastAsia="Arial" w:hAnsi="Arial"/>
                <w:sz w:val="18"/>
                <w:szCs w:val="18"/>
                <w:color w:val="auto"/>
              </w:rPr>
              <w:t>Less: current portion, net of unamortized discount</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(598)</w:t>
            </w:r>
          </w:p>
        </w:tc>
      </w:tr>
      <w:tr>
        <w:trPr>
          <w:trHeight w:val="230"/>
        </w:trPr>
        <w:tc>
          <w:tcPr>
            <w:tcW w:w="7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lease obligation net of current portion and unamortized discount</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value of the equipment under capital leases as of December 31, 2017 and 2016 was $2,070, with related accumulated depreciation of $444 and $293,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STOCKHOLDERS’ EQUITY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and 2016, the Company had 90,000,000 shares of common stock, $0.001 par value, authorized.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During the Year Ended December 31, 2016</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2016, the Company entered into an underwriting agreement (the “Underwriting Agreement”) with National Securities Corporation and several other underwriters, under which the Company sold in a firm-commitment public offering (the “Offering”), 3,335,000 shares of the Company’s common stock at $3.60 per share. The Offering closed on March 16, 2016. The Company received net proceeds of $11,088, after deducting the underwriting discount and the offering expenses payable by the Company.</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In November 2015, the Company entered into a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(the “Sales Agreement”) with Cantor Fitzgerald &amp; Co., as agent (“Cantor Fitzgerald”), pursuant to which the Company may offer and sell, from time to time through Cantor Fitzgerald, shares of our common stock having an aggregate offering price as set forth in the Sales Agreement and a related prospectus supplement filed with the Securities and Exchange Commission. The Company agreed to pay Cantor Fitzgerald a cash commission of 3.0% of the aggregate gross proceeds from each sale of shares under the Sales Agreement. The Company sold 57,042 shares of common stock and received net proceeds of $212, after deducting $20 for sales commission and offering expenses, under the Sales Agreement during the year ended December 31, 2016.</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2016, we issued 75,000 shares of the Company’s common stock, with a fair value of $302, as a contingent payment related to the acquisition of PC (see Note 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1" w:name="page72"/>
    <w:bookmarkEnd w:id="71"/>
    <w:p>
      <w:pPr>
        <w:jc w:val="both"/>
        <w:spacing w:after="0" w:line="277" w:lineRule="auto"/>
        <w:rPr>
          <w:sz w:val="20"/>
          <w:szCs w:val="20"/>
          <w:color w:val="auto"/>
        </w:rPr>
      </w:pPr>
      <w:r>
        <w:rPr>
          <w:rFonts w:ascii="Arial" w:cs="Arial" w:eastAsia="Arial" w:hAnsi="Arial"/>
          <w:sz w:val="18"/>
          <w:szCs w:val="18"/>
          <w:color w:val="auto"/>
        </w:rPr>
        <w:t>In October 2016, the Company issued 16,076 shares of its common stock in connection with RSUs that had been awarded to a non-employee director and had vested, but were not issued and settled until the resignation of the director in September 2016.</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December 2016, the Company issued 116,291 shares of its common stock to its CEO, Mark L. Baum, in connection with 200,000 RSUs that had vested in May 2016. The issuance of common stock was net of 83,709 shares of common stock withheld for payroll tax withholdings totaling $144.</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2016, the Company entered into a securities purchase agreement with certain purchasers, which provided for the sale of 5,257,828 Units, with each Unit consisting of one share of common stock of the Company, and one warrant to purchase one share of common stock (the “Investor Warrants”), at a price of $1.915 per Unit for aggregate net proceeds of approximately $9,217 after deducting $852 in placement agent fees and offering expenses (the “PIPE Offering”). The Investor Warrants have an exercise price of $1.79 per share, are non-exercisable for the first six months and will expire three years from the date of issuance. The Company paid National Securities Corporation (the “Placement Agent”), in consideration for its services as placement agent for the PIPE Offering, a cash amount equal to 7.5% of the gross proceeds from the sale of the Units. The Company also issued to the Placement Agent a warrant (the “Agent Warrant”) to purchase up to 210,313 shares of the Company’s common stock. The Agent Warrant was issued on the same terms and conditions of the Investor Warrants.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2016, the Company issued a total of 15,000 shares of common stock as a result of option exercises. The Company received $55 in cash proceeds for the issuance of the shares of common stock upon the exercise pursuant to exercise provisions of stock options to purchase 15,000 shares of common stock with exercise price of $3.68 per share.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2017, 24,421 shares of the Company’s common stock underlying RSUs issued to directors vested, but the issuance and delivery of these shares are deferred until the director resigns.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During the Year Ended December 31, 2017</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2017, we entered into securities purchase agreements with two accredited investors, which provided for the sale by the Company of 1,312,500 shares of its common stock, at a price of $2.40 per share (the “Registered Offering”). We received net proceeds of $2,940 after deducting the underwriter discount of 6% of the gross proceeds from the Registered Offering and other related expenses.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March 2017, the Company issued 25,000 shares of its restricted common stock, with a fair value of $60, as payment for investor relations related services.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2017, the Company issued 100,000 shares of common stock as a result of warrant exercises. The Company received cash proceeds of $179 upon the exercise of the warrants with an exercise price of $1.79.</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sold 557,714 shares of common stock and received net proceeds of $1,124, after deducting $35 for sales commission and offering expenses, under the Sales Agreement during the year ended December 31, 2017, leaving an aggregate of $8,040 available for future sales of shares thereunder as of December 31, 2017.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2017, 56,822 shares of the Company’s common stock underlying RSUs issued to directors vested, but the issuance and delivery of these shares are deferred until the director resigns.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December 31, 2017 and 2016, the Company had 5,000,000 shares of preferred stock, $0.001 par value, authorized and no shares of preferred stock issued and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still outstanding and previously issued under the 2007 Plan will remain outstanding until they are exercised, reach their maturity or are otherwise cancelled/forfeited. On June 13, 2017, the Company’s Board of Directors and stockholders adopted the Company’s 2017 Incentive Stock and Awards Plan (the “2017 Plan” together with the 2007 Plan, the “Plan”). As of December 31, 2017, the 2017 Plan provide for the issuance of a maximum of 2,000,000 shares of the Company’s common stock. The purpose of the Plan is to attract and retain directors, officers, consultants, advisors and employees whose services are considered valuable, to encourage a sense of proprietorship and to stimulate an active interest of such persons in the Company’s development and financial success. Under the Plan, the Company is authorized to issue incentive stock options intended to qualify under Section 422 of the Internal Revenue Code, non-qualified stock options, restricted stock units and restricted stock. The Plan is administered by the Compensation Committee of the Company’s Board of Directors. The Company had 1,997,500 shares available for future issuances under the 2017 Plan at December 31, 2017.</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60" w:type="dxa"/>
            <w:vAlign w:val="bottom"/>
            <w:gridSpan w:val="6"/>
          </w:tcPr>
          <w:p>
            <w:pPr>
              <w:spacing w:after="0"/>
              <w:rPr>
                <w:sz w:val="20"/>
                <w:szCs w:val="20"/>
                <w:color w:val="auto"/>
              </w:rPr>
            </w:pPr>
            <w:r>
              <w:rPr>
                <w:rFonts w:ascii="Arial" w:cs="Arial" w:eastAsia="Arial" w:hAnsi="Arial"/>
                <w:sz w:val="18"/>
                <w:szCs w:val="18"/>
                <w:color w:val="auto"/>
                <w:w w:val="99"/>
              </w:rPr>
              <w:t>A summary of stock option activity under the Plan for the year ended December 31, 2017 is as follows:</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Weighted Avg.</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color w:val="auto"/>
              </w:rPr>
              <w:t>Weighted Avg.</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Remaining</w:t>
            </w: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Aggregate Intrinsic</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2080" w:type="dxa"/>
            <w:vAlign w:val="bottom"/>
            <w:gridSpan w:val="2"/>
          </w:tcPr>
          <w:p>
            <w:pPr>
              <w:jc w:val="right"/>
              <w:ind w:right="800"/>
              <w:spacing w:after="0"/>
              <w:rPr>
                <w:sz w:val="20"/>
                <w:szCs w:val="20"/>
                <w:color w:val="auto"/>
              </w:rPr>
            </w:pPr>
            <w:r>
              <w:rPr>
                <w:rFonts w:ascii="Arial" w:cs="Arial" w:eastAsia="Arial" w:hAnsi="Arial"/>
                <w:sz w:val="18"/>
                <w:szCs w:val="18"/>
                <w:color w:val="auto"/>
                <w:w w:val="88"/>
              </w:rPr>
              <w:t>Number of shares</w:t>
            </w:r>
          </w:p>
        </w:tc>
        <w:tc>
          <w:tcPr>
            <w:tcW w:w="18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color w:val="auto"/>
              </w:rPr>
              <w:t>Exercise Price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Contractual Life</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2017</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2,013,313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Options granted</w:t>
            </w: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538,000</w:t>
            </w:r>
          </w:p>
        </w:tc>
        <w:tc>
          <w:tcPr>
            <w:tcW w:w="180" w:type="dxa"/>
            <w:vAlign w:val="bottom"/>
          </w:tcPr>
          <w:p>
            <w:pPr>
              <w:jc w:val="right"/>
              <w:ind w:right="19"/>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Options cancelled/forfeit</w:t>
            </w:r>
          </w:p>
        </w:tc>
        <w:tc>
          <w:tcPr>
            <w:tcW w:w="2080" w:type="dxa"/>
            <w:vAlign w:val="bottom"/>
            <w:gridSpan w:val="2"/>
          </w:tcPr>
          <w:p>
            <w:pPr>
              <w:jc w:val="right"/>
              <w:ind w:right="180"/>
              <w:spacing w:after="0"/>
              <w:rPr>
                <w:sz w:val="20"/>
                <w:szCs w:val="20"/>
                <w:color w:val="auto"/>
              </w:rPr>
            </w:pPr>
            <w:r>
              <w:rPr>
                <w:rFonts w:ascii="Arial" w:cs="Arial" w:eastAsia="Arial" w:hAnsi="Arial"/>
                <w:sz w:val="18"/>
                <w:szCs w:val="18"/>
                <w:color w:val="auto"/>
              </w:rPr>
              <w:t>(291,334)</w:t>
            </w:r>
          </w:p>
        </w:tc>
        <w:tc>
          <w:tcPr>
            <w:tcW w:w="180" w:type="dxa"/>
            <w:vAlign w:val="bottom"/>
          </w:tcPr>
          <w:p>
            <w:pPr>
              <w:jc w:val="right"/>
              <w:ind w:right="19"/>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4.45</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December 31, 2017</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2,259,979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w:t>
            </w:r>
          </w:p>
        </w:tc>
        <w:tc>
          <w:tcPr>
            <w:tcW w:w="15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6.11</w:t>
            </w:r>
          </w:p>
        </w:tc>
        <w:tc>
          <w:tcPr>
            <w:tcW w:w="420" w:type="dxa"/>
            <w:vAlign w:val="bottom"/>
            <w:tcBorders>
              <w:top w:val="single" w:sz="8" w:color="CCEEFF"/>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5.74</w:t>
            </w:r>
          </w:p>
        </w:tc>
        <w:tc>
          <w:tcPr>
            <w:tcW w:w="15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6.38</w:t>
            </w:r>
          </w:p>
        </w:tc>
        <w:tc>
          <w:tcPr>
            <w:tcW w:w="42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37"/>
        </w:trPr>
        <w:tc>
          <w:tcPr>
            <w:tcW w:w="4360" w:type="dxa"/>
            <w:vAlign w:val="bottom"/>
            <w:tcBorders>
              <w:bottom w:val="single" w:sz="8" w:color="CCEEFF"/>
            </w:tcBorders>
            <w:vMerge w:val="continue"/>
          </w:tcPr>
          <w:p>
            <w:pPr>
              <w:spacing w:after="0"/>
              <w:rPr>
                <w:sz w:val="20"/>
                <w:szCs w:val="20"/>
                <w:color w:val="auto"/>
              </w:rPr>
            </w:pPr>
          </w:p>
        </w:tc>
        <w:tc>
          <w:tcPr>
            <w:tcW w:w="1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989,664</w:t>
            </w:r>
          </w:p>
        </w:tc>
        <w:tc>
          <w:tcPr>
            <w:tcW w:w="2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1540" w:type="dxa"/>
            <w:vAlign w:val="bottom"/>
            <w:tcBorders>
              <w:bottom w:val="single" w:sz="8" w:color="CCEEFF"/>
            </w:tcBorders>
            <w:gridSpan w:val="2"/>
            <w:vMerge w:val="continue"/>
          </w:tcPr>
          <w:p>
            <w:pPr>
              <w:spacing w:after="0"/>
              <w:rPr>
                <w:sz w:val="20"/>
                <w:szCs w:val="20"/>
                <w:color w:val="auto"/>
              </w:rPr>
            </w:pPr>
          </w:p>
        </w:tc>
        <w:tc>
          <w:tcPr>
            <w:tcW w:w="1580" w:type="dxa"/>
            <w:vAlign w:val="bottom"/>
            <w:tcBorders>
              <w:bottom w:val="single" w:sz="8" w:color="CCEEFF"/>
            </w:tcBorders>
            <w:gridSpan w:val="2"/>
            <w:vMerge w:val="continue"/>
          </w:tcPr>
          <w:p>
            <w:pPr>
              <w:spacing w:after="0"/>
              <w:rPr>
                <w:sz w:val="20"/>
                <w:szCs w:val="20"/>
                <w:color w:val="auto"/>
              </w:rPr>
            </w:pPr>
          </w:p>
        </w:tc>
        <w:tc>
          <w:tcPr>
            <w:tcW w:w="420" w:type="dxa"/>
            <w:vAlign w:val="bottom"/>
            <w:tcBorders>
              <w:bottom w:val="single" w:sz="8" w:color="CCEEFF"/>
            </w:tcBorders>
            <w:gridSpan w:val="2"/>
            <w:vMerge w:val="continue"/>
          </w:tcPr>
          <w:p>
            <w:pPr>
              <w:spacing w:after="0"/>
              <w:rPr>
                <w:sz w:val="20"/>
                <w:szCs w:val="20"/>
                <w:color w:val="auto"/>
              </w:rPr>
            </w:pPr>
          </w:p>
        </w:tc>
        <w:tc>
          <w:tcPr>
            <w:tcW w:w="126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3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vested and expected to vest</w:t>
            </w:r>
          </w:p>
        </w:tc>
        <w:tc>
          <w:tcPr>
            <w:tcW w:w="1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2,137,854</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220"/>
              <w:spacing w:after="0" w:line="190" w:lineRule="exact"/>
              <w:rPr>
                <w:sz w:val="20"/>
                <w:szCs w:val="20"/>
                <w:color w:val="auto"/>
              </w:rPr>
            </w:pPr>
            <w:r>
              <w:rPr>
                <w:rFonts w:ascii="Arial" w:cs="Arial" w:eastAsia="Arial" w:hAnsi="Arial"/>
                <w:sz w:val="18"/>
                <w:szCs w:val="18"/>
                <w:color w:val="auto"/>
              </w:rPr>
              <w:t>5.51</w:t>
            </w:r>
          </w:p>
        </w:tc>
        <w:tc>
          <w:tcPr>
            <w:tcW w:w="1580" w:type="dxa"/>
            <w:vAlign w:val="bottom"/>
            <w:tcBorders>
              <w:bottom w:val="single" w:sz="8" w:color="CCEEFF"/>
            </w:tcBorders>
            <w:gridSpan w:val="2"/>
            <w:shd w:val="clear" w:color="auto" w:fill="CCEEFF"/>
          </w:tcPr>
          <w:p>
            <w:pPr>
              <w:jc w:val="right"/>
              <w:ind w:right="120"/>
              <w:spacing w:after="0" w:line="190" w:lineRule="exact"/>
              <w:rPr>
                <w:sz w:val="20"/>
                <w:szCs w:val="20"/>
                <w:color w:val="auto"/>
              </w:rPr>
            </w:pPr>
            <w:r>
              <w:rPr>
                <w:rFonts w:ascii="Arial" w:cs="Arial" w:eastAsia="Arial" w:hAnsi="Arial"/>
                <w:sz w:val="18"/>
                <w:szCs w:val="18"/>
                <w:color w:val="auto"/>
              </w:rPr>
              <w:t>6.12</w:t>
            </w:r>
          </w:p>
        </w:tc>
        <w:tc>
          <w:tcPr>
            <w:tcW w:w="420" w:type="dxa"/>
            <w:vAlign w:val="bottom"/>
            <w:tcBorders>
              <w:bottom w:val="single" w:sz="8" w:color="CCEEFF"/>
            </w:tcBorders>
            <w:gridSpan w:val="2"/>
            <w:shd w:val="clear" w:color="auto" w:fill="CCEEFF"/>
          </w:tcPr>
          <w:p>
            <w:pPr>
              <w:jc w:val="right"/>
              <w:ind w:right="150"/>
              <w:spacing w:after="0" w:line="190"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December 31, 2017, based on the closing price of the Company’s common stock of $1.70 on that date.</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2017 and 2016, the Company granted stock options to certain employees, directors and consultants. The stock options were granted with an exercise price equal to the current market price of the Company’s common stock, as reported by the securities exchange on which the common stock was then listed, at the grant date and have contractual terms ranging from five to 10 years. Vesting terms for options granted in 2017 and 2016 to employees and consultants typically included one of the following vesting schedules: 25% of the shares subject to the option vest and become exercisable on the first anniversary of the grant date and the remaining 75% of the shares subject to the option vest and become exercisable quarterly in equal installments thereafter over three years; quarterly vesting over three years. Certain option awards provide for accelerated vesting if there is a change in control (as defined in the Plan) and in the event of certain modifications to the option award agreement.</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fair value of each option award is estimated on the date of grant using the Black-Scholes-Merton option pricing model. The expected volatility is based on the historical volatilities of the common stock of the Company and comparable publicly traded companies based on the Company’s belief that it currently has limited relevant historical data regarding the volatility of its stock price on which to base a meaningful estimate of expected volatility. The expected term of options granted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using the Black-Scholes-Merton option pricing model with the following assumptions used for valuing options granted to employees: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CEEFF"/>
            </w:tcBorders>
          </w:tcPr>
          <w:p>
            <w:pPr>
              <w:spacing w:after="0"/>
              <w:rPr>
                <w:sz w:val="20"/>
                <w:szCs w:val="20"/>
                <w:color w:val="auto"/>
              </w:rPr>
            </w:pPr>
          </w:p>
        </w:tc>
        <w:tc>
          <w:tcPr>
            <w:tcW w:w="2520" w:type="dxa"/>
            <w:vAlign w:val="bottom"/>
          </w:tcPr>
          <w:p>
            <w:pPr>
              <w:spacing w:after="0"/>
              <w:rPr>
                <w:sz w:val="20"/>
                <w:szCs w:val="20"/>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60" w:type="dxa"/>
            <w:vAlign w:val="bottom"/>
            <w:shd w:val="clear" w:color="auto" w:fill="CCEEFF"/>
          </w:tcPr>
          <w:p>
            <w:pPr>
              <w:spacing w:after="0"/>
              <w:rPr>
                <w:sz w:val="18"/>
                <w:szCs w:val="18"/>
                <w:color w:val="auto"/>
              </w:rPr>
            </w:pPr>
          </w:p>
        </w:tc>
        <w:tc>
          <w:tcPr>
            <w:tcW w:w="2520" w:type="dxa"/>
            <w:vAlign w:val="bottom"/>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10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5.81 - 6.11</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5.81 - 6.11</w:t>
            </w:r>
          </w:p>
        </w:tc>
        <w:tc>
          <w:tcPr>
            <w:tcW w:w="252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112 - 117%</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101 - 112%</w:t>
            </w:r>
          </w:p>
        </w:tc>
        <w:tc>
          <w:tcPr>
            <w:tcW w:w="2520" w:type="dxa"/>
            <w:vAlign w:val="bottom"/>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1.77 - 2.01%</w:t>
            </w:r>
          </w:p>
        </w:tc>
        <w:tc>
          <w:tcPr>
            <w:tcW w:w="3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1.07 - 1.70%</w:t>
            </w:r>
          </w:p>
        </w:tc>
        <w:tc>
          <w:tcPr>
            <w:tcW w:w="252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520" w:type="dxa"/>
            <w:vAlign w:val="bottom"/>
          </w:tcPr>
          <w:p>
            <w:pPr>
              <w:spacing w:after="0"/>
              <w:rPr>
                <w:sz w:val="18"/>
                <w:szCs w:val="18"/>
                <w:color w:val="auto"/>
              </w:rPr>
            </w:pPr>
          </w:p>
        </w:tc>
      </w:tr>
      <w:tr>
        <w:trPr>
          <w:trHeight w:val="439"/>
        </w:trPr>
        <w:tc>
          <w:tcPr>
            <w:tcW w:w="5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right"/>
              <w:ind w:right="1360"/>
              <w:spacing w:after="0"/>
              <w:rPr>
                <w:sz w:val="20"/>
                <w:szCs w:val="20"/>
                <w:color w:val="auto"/>
              </w:rPr>
            </w:pPr>
            <w:r>
              <w:rPr>
                <w:rFonts w:ascii="Arial" w:cs="Arial" w:eastAsia="Arial" w:hAnsi="Arial"/>
                <w:sz w:val="18"/>
                <w:szCs w:val="18"/>
                <w:color w:val="auto"/>
                <w:w w:val="91"/>
              </w:rPr>
              <w:t>F-23</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73" w:name="page74"/>
    <w:bookmarkEnd w:id="73"/>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using the Black-Scholes-Merton option pricing model with the following assumptions used for valuing options granted to consultants: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CEEFF"/>
            </w:tcBorders>
          </w:tcPr>
          <w:p>
            <w:pPr>
              <w:spacing w:after="0"/>
              <w:rPr>
                <w:sz w:val="20"/>
                <w:szCs w:val="20"/>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6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40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0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December 31, 2017:</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76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Options Outstanding</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gridSpan w:val="6"/>
          </w:tcPr>
          <w:p>
            <w:pPr>
              <w:ind w:left="620"/>
              <w:spacing w:after="0"/>
              <w:rPr>
                <w:sz w:val="20"/>
                <w:szCs w:val="20"/>
                <w:color w:val="auto"/>
              </w:rPr>
            </w:pPr>
            <w:r>
              <w:rPr>
                <w:rFonts w:ascii="Arial" w:cs="Arial" w:eastAsia="Arial" w:hAnsi="Arial"/>
                <w:sz w:val="18"/>
                <w:szCs w:val="18"/>
                <w:color w:val="auto"/>
              </w:rPr>
              <w:t>Options Exercisable</w:t>
            </w:r>
          </w:p>
        </w:tc>
      </w:tr>
      <w:tr>
        <w:trPr>
          <w:trHeight w:val="202"/>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center"/>
              <w:ind w:right="240"/>
              <w:spacing w:after="0" w:line="201" w:lineRule="exact"/>
              <w:rPr>
                <w:sz w:val="20"/>
                <w:szCs w:val="20"/>
                <w:color w:val="auto"/>
              </w:rPr>
            </w:pPr>
            <w:r>
              <w:rPr>
                <w:rFonts w:ascii="Arial" w:cs="Arial" w:eastAsia="Arial" w:hAnsi="Arial"/>
                <w:sz w:val="18"/>
                <w:szCs w:val="18"/>
                <w:color w:val="auto"/>
                <w:w w:val="89"/>
              </w:rPr>
              <w:t>Weighted</w:t>
            </w: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Weighted</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Weighted</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Remaining</w:t>
            </w:r>
          </w:p>
        </w:tc>
        <w:tc>
          <w:tcPr>
            <w:tcW w:w="18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Average</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Average</w:t>
            </w:r>
          </w:p>
        </w:tc>
      </w:tr>
      <w:tr>
        <w:trPr>
          <w:trHeight w:val="230"/>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Number</w:t>
            </w:r>
          </w:p>
        </w:tc>
        <w:tc>
          <w:tcPr>
            <w:tcW w:w="240" w:type="dxa"/>
            <w:vAlign w:val="bottom"/>
          </w:tcPr>
          <w:p>
            <w:pPr>
              <w:spacing w:after="0"/>
              <w:rPr>
                <w:sz w:val="19"/>
                <w:szCs w:val="19"/>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Contractual</w:t>
            </w:r>
          </w:p>
        </w:tc>
        <w:tc>
          <w:tcPr>
            <w:tcW w:w="180" w:type="dxa"/>
            <w:vAlign w:val="bottom"/>
          </w:tcPr>
          <w:p>
            <w:pPr>
              <w:spacing w:after="0"/>
              <w:rPr>
                <w:sz w:val="19"/>
                <w:szCs w:val="19"/>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Exercise</w:t>
            </w:r>
          </w:p>
        </w:tc>
        <w:tc>
          <w:tcPr>
            <w:tcW w:w="126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Number</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Exercise</w:t>
            </w:r>
          </w:p>
        </w:tc>
      </w:tr>
      <w:tr>
        <w:trPr>
          <w:trHeight w:val="237"/>
        </w:trPr>
        <w:tc>
          <w:tcPr>
            <w:tcW w:w="4120" w:type="dxa"/>
            <w:vAlign w:val="bottom"/>
            <w:gridSpan w:val="2"/>
          </w:tcPr>
          <w:p>
            <w:pPr>
              <w:spacing w:after="0"/>
              <w:rPr>
                <w:sz w:val="20"/>
                <w:szCs w:val="20"/>
                <w:color w:val="auto"/>
              </w:rPr>
            </w:pPr>
            <w:r>
              <w:rPr>
                <w:rFonts w:ascii="Arial" w:cs="Arial" w:eastAsia="Arial" w:hAnsi="Arial"/>
                <w:sz w:val="18"/>
                <w:szCs w:val="18"/>
                <w:color w:val="auto"/>
              </w:rPr>
              <w:t>Range of Exercise Prices</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Life in Years</w:t>
            </w:r>
          </w:p>
        </w:tc>
        <w:tc>
          <w:tcPr>
            <w:tcW w:w="180" w:type="dxa"/>
            <w:vAlign w:val="bottom"/>
          </w:tcPr>
          <w:p>
            <w:pPr>
              <w:spacing w:after="0"/>
              <w:rPr>
                <w:sz w:val="20"/>
                <w:szCs w:val="20"/>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Price</w:t>
            </w: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Exercisable</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Price</w:t>
            </w:r>
          </w:p>
        </w:tc>
      </w:tr>
      <w:tr>
        <w:trPr>
          <w:trHeight w:val="216"/>
        </w:trPr>
        <w:tc>
          <w:tcPr>
            <w:tcW w:w="4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$1.47 - $2.60</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584,500</w:t>
            </w: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79"/>
              </w:rPr>
              <w:t>8.15</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197,997</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jc w:val="center"/>
              <w:spacing w:after="0"/>
              <w:rPr>
                <w:sz w:val="20"/>
                <w:szCs w:val="20"/>
                <w:color w:val="auto"/>
              </w:rPr>
            </w:pPr>
            <w:r>
              <w:rPr>
                <w:rFonts w:ascii="Arial" w:cs="Arial" w:eastAsia="Arial" w:hAnsi="Arial"/>
                <w:sz w:val="18"/>
                <w:szCs w:val="18"/>
                <w:color w:val="auto"/>
                <w:w w:val="90"/>
              </w:rPr>
              <w:t>$3.20 - $4.50</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539,906</w:t>
            </w:r>
          </w:p>
        </w:tc>
        <w:tc>
          <w:tcPr>
            <w:tcW w:w="1760" w:type="dxa"/>
            <w:vAlign w:val="bottom"/>
            <w:gridSpan w:val="3"/>
          </w:tcPr>
          <w:p>
            <w:pPr>
              <w:ind w:left="1200"/>
              <w:spacing w:after="0"/>
              <w:rPr>
                <w:sz w:val="20"/>
                <w:szCs w:val="20"/>
                <w:color w:val="auto"/>
              </w:rPr>
            </w:pPr>
            <w:r>
              <w:rPr>
                <w:rFonts w:ascii="Arial" w:cs="Arial" w:eastAsia="Arial" w:hAnsi="Arial"/>
                <w:sz w:val="18"/>
                <w:szCs w:val="18"/>
                <w:color w:val="auto"/>
              </w:rPr>
              <w:t>7.94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3.97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286,855</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r>
      <w:tr>
        <w:trPr>
          <w:trHeight w:val="216"/>
        </w:trPr>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$5.49 - $6.36</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106,536</w:t>
            </w:r>
          </w:p>
        </w:tc>
        <w:tc>
          <w:tcPr>
            <w:tcW w:w="176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5.61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103,092</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r>
      <w:tr>
        <w:trPr>
          <w:trHeight w:val="216"/>
        </w:trPr>
        <w:tc>
          <w:tcPr>
            <w:tcW w:w="4000" w:type="dxa"/>
            <w:vAlign w:val="bottom"/>
          </w:tcPr>
          <w:p>
            <w:pPr>
              <w:jc w:val="center"/>
              <w:spacing w:after="0"/>
              <w:rPr>
                <w:sz w:val="20"/>
                <w:szCs w:val="20"/>
                <w:color w:val="auto"/>
              </w:rPr>
            </w:pPr>
            <w:r>
              <w:rPr>
                <w:rFonts w:ascii="Arial" w:cs="Arial" w:eastAsia="Arial" w:hAnsi="Arial"/>
                <w:sz w:val="18"/>
                <w:szCs w:val="18"/>
                <w:color w:val="auto"/>
                <w:w w:val="90"/>
              </w:rPr>
              <w:t>$6.64 - $8.99</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1,024,007</w:t>
            </w:r>
          </w:p>
        </w:tc>
        <w:tc>
          <w:tcPr>
            <w:tcW w:w="1760" w:type="dxa"/>
            <w:vAlign w:val="bottom"/>
            <w:gridSpan w:val="3"/>
          </w:tcPr>
          <w:p>
            <w:pPr>
              <w:ind w:left="1200"/>
              <w:spacing w:after="0"/>
              <w:rPr>
                <w:sz w:val="20"/>
                <w:szCs w:val="20"/>
                <w:color w:val="auto"/>
              </w:rPr>
            </w:pPr>
            <w:r>
              <w:rPr>
                <w:rFonts w:ascii="Arial" w:cs="Arial" w:eastAsia="Arial" w:hAnsi="Arial"/>
                <w:sz w:val="18"/>
                <w:szCs w:val="18"/>
                <w:color w:val="auto"/>
              </w:rPr>
              <w:t>4.05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7.98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396,690</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r>
      <w:tr>
        <w:trPr>
          <w:trHeight w:val="250"/>
        </w:trPr>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$42.80</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w:t>
            </w:r>
          </w:p>
        </w:tc>
        <w:tc>
          <w:tcPr>
            <w:tcW w:w="176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5,030</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42.80</w:t>
            </w:r>
          </w:p>
        </w:tc>
      </w:tr>
      <w:tr>
        <w:trPr>
          <w:trHeight w:val="217"/>
        </w:trPr>
        <w:tc>
          <w:tcPr>
            <w:tcW w:w="400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1"/>
              </w:rPr>
              <w:t>$1.47 - $42.80</w:t>
            </w: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2,259,979</w:t>
            </w:r>
          </w:p>
        </w:tc>
        <w:tc>
          <w:tcPr>
            <w:tcW w:w="1500" w:type="dxa"/>
            <w:vAlign w:val="bottom"/>
            <w:tcBorders>
              <w:top w:val="single" w:sz="8" w:color="CCEEFF"/>
            </w:tcBorders>
            <w:gridSpan w:val="2"/>
          </w:tcPr>
          <w:p>
            <w:pPr>
              <w:ind w:left="1200"/>
              <w:spacing w:after="0"/>
              <w:rPr>
                <w:sz w:val="20"/>
                <w:szCs w:val="20"/>
                <w:color w:val="auto"/>
              </w:rPr>
            </w:pPr>
            <w:r>
              <w:rPr>
                <w:rFonts w:ascii="Arial" w:cs="Arial" w:eastAsia="Arial" w:hAnsi="Arial"/>
                <w:sz w:val="18"/>
                <w:szCs w:val="18"/>
                <w:color w:val="auto"/>
                <w:w w:val="79"/>
              </w:rPr>
              <w:t>6.11</w:t>
            </w: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5.51</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989,664</w:t>
            </w:r>
          </w:p>
        </w:tc>
        <w:tc>
          <w:tcPr>
            <w:tcW w:w="20" w:type="dxa"/>
            <w:vAlign w:val="bottom"/>
            <w:tcBorders>
              <w:top w:val="single" w:sz="8" w:color="CCEEFF"/>
              <w:bottom w:val="single" w:sz="8" w:color="auto"/>
            </w:tcBorders>
          </w:tcPr>
          <w:p>
            <w:pPr>
              <w:spacing w:after="0"/>
              <w:rPr>
                <w:sz w:val="18"/>
                <w:szCs w:val="18"/>
                <w:color w:val="auto"/>
              </w:rPr>
            </w:pPr>
          </w:p>
        </w:tc>
        <w:tc>
          <w:tcPr>
            <w:tcW w:w="380" w:type="dxa"/>
            <w:vAlign w:val="bottom"/>
            <w:tcBorders>
              <w:top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5.74</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there was approximately $4,103 of total unrecognized compensation expense related to unvested stock options granted under the Plan. That expense is expected to be recognized over the weighted-average remaining vesting period of 2.5 years. The stock-based compensation for all stock options was $1,672 and $2,159 during the years ended December 31, 2017 and 2016,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RSU awards are granted subject to certain vesting requirements and other restrictions, including performance and market based vesting criteria. The grant-date fair value of the RSUs, which has been determined based upon the market value of the Company’s common stock on the grant date, is expensed over the vesting period of the RSUs. Unvested portions of RSUs issued to consultants are remeasured on an interim basis until vesting criteria is met.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During the Year Ended December 31, 2016</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April 2016, the Company granted performance-based RSU awards to its CEO, Mark L. Baum, of up to 1,050,000 performance stock units and to its CFO, Andrew R. Boll, of up to 157,500 performance stock units. The performance stock units will vest on the fifth anniversary of the grant date, subject to Mr. Baum’s and Mr. Boll’s continued employment with the Company, respectively, and may vest earlier if the Company achieves and maintains certain stock price targets during the five-year period following the grant date or upon a change in control if the performance-based equity award is not assumed, continued or substituted for by the acquiring entity. The market-based accelerated vesting criteria are broken into five equal tranches and require that the Company achieve and maintain certain stock price targets ranging from $9 per share to $15 per share during the five-year period following the grant date. These market-based accelerated vesting conditions and share amounts (in aggregate) are set forth below:</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6180" w:type="dxa"/>
            <w:vAlign w:val="bottom"/>
          </w:tcPr>
          <w:p>
            <w:pPr>
              <w:spacing w:after="0"/>
              <w:rPr>
                <w:sz w:val="20"/>
                <w:szCs w:val="20"/>
                <w:color w:val="auto"/>
              </w:rPr>
            </w:pPr>
            <w:r>
              <w:rPr>
                <w:rFonts w:ascii="Arial" w:cs="Arial" w:eastAsia="Arial" w:hAnsi="Arial"/>
                <w:sz w:val="18"/>
                <w:szCs w:val="18"/>
                <w:color w:val="auto"/>
              </w:rPr>
              <w:t>Tranche</w:t>
            </w:r>
          </w:p>
        </w:tc>
        <w:tc>
          <w:tcPr>
            <w:tcW w:w="2060" w:type="dxa"/>
            <w:vAlign w:val="bottom"/>
            <w:gridSpan w:val="2"/>
          </w:tcPr>
          <w:p>
            <w:pPr>
              <w:ind w:left="220"/>
              <w:spacing w:after="0"/>
              <w:rPr>
                <w:sz w:val="20"/>
                <w:szCs w:val="20"/>
                <w:color w:val="auto"/>
              </w:rPr>
            </w:pPr>
            <w:r>
              <w:rPr>
                <w:rFonts w:ascii="Arial" w:cs="Arial" w:eastAsia="Arial" w:hAnsi="Arial"/>
                <w:sz w:val="18"/>
                <w:szCs w:val="18"/>
                <w:color w:val="auto"/>
              </w:rPr>
              <w:t>Number of shares</w:t>
            </w:r>
          </w:p>
        </w:tc>
        <w:tc>
          <w:tcPr>
            <w:tcW w:w="2040" w:type="dxa"/>
            <w:vAlign w:val="bottom"/>
            <w:gridSpan w:val="2"/>
          </w:tcPr>
          <w:p>
            <w:pPr>
              <w:ind w:left="180"/>
              <w:spacing w:after="0"/>
              <w:rPr>
                <w:sz w:val="20"/>
                <w:szCs w:val="20"/>
                <w:color w:val="auto"/>
              </w:rPr>
            </w:pPr>
            <w:r>
              <w:rPr>
                <w:rFonts w:ascii="Arial" w:cs="Arial" w:eastAsia="Arial" w:hAnsi="Arial"/>
                <w:sz w:val="18"/>
                <w:szCs w:val="18"/>
                <w:color w:val="auto"/>
              </w:rPr>
              <w:t>Target share price</w:t>
            </w:r>
          </w:p>
        </w:tc>
      </w:tr>
      <w:tr>
        <w:trPr>
          <w:trHeight w:val="216"/>
        </w:trPr>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Tranche 1</w:t>
            </w:r>
          </w:p>
        </w:tc>
        <w:tc>
          <w:tcPr>
            <w:tcW w:w="2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230,000 shares</w:t>
            </w:r>
          </w:p>
        </w:tc>
        <w:tc>
          <w:tcPr>
            <w:tcW w:w="2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$9.00 or greater</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Tranche 2</w:t>
            </w:r>
          </w:p>
        </w:tc>
        <w:tc>
          <w:tcPr>
            <w:tcW w:w="2060" w:type="dxa"/>
            <w:vAlign w:val="bottom"/>
            <w:gridSpan w:val="2"/>
          </w:tcPr>
          <w:p>
            <w:pPr>
              <w:ind w:left="220"/>
              <w:spacing w:after="0"/>
              <w:rPr>
                <w:sz w:val="20"/>
                <w:szCs w:val="20"/>
                <w:color w:val="auto"/>
              </w:rPr>
            </w:pPr>
            <w:r>
              <w:rPr>
                <w:rFonts w:ascii="Arial" w:cs="Arial" w:eastAsia="Arial" w:hAnsi="Arial"/>
                <w:sz w:val="18"/>
                <w:szCs w:val="18"/>
                <w:color w:val="auto"/>
              </w:rPr>
              <w:t>230,000 shares</w:t>
            </w:r>
          </w:p>
        </w:tc>
        <w:tc>
          <w:tcPr>
            <w:tcW w:w="2040" w:type="dxa"/>
            <w:vAlign w:val="bottom"/>
            <w:gridSpan w:val="2"/>
          </w:tcPr>
          <w:p>
            <w:pPr>
              <w:ind w:left="180"/>
              <w:spacing w:after="0"/>
              <w:rPr>
                <w:sz w:val="20"/>
                <w:szCs w:val="20"/>
                <w:color w:val="auto"/>
              </w:rPr>
            </w:pPr>
            <w:r>
              <w:rPr>
                <w:rFonts w:ascii="Arial" w:cs="Arial" w:eastAsia="Arial" w:hAnsi="Arial"/>
                <w:sz w:val="18"/>
                <w:szCs w:val="18"/>
                <w:color w:val="auto"/>
              </w:rPr>
              <w:t>$10.00 or greater</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Tranche 3</w:t>
            </w:r>
          </w:p>
        </w:tc>
        <w:tc>
          <w:tcPr>
            <w:tcW w:w="2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230,000 shares</w:t>
            </w:r>
          </w:p>
        </w:tc>
        <w:tc>
          <w:tcPr>
            <w:tcW w:w="2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$12.00 or greater</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Tranche 4</w:t>
            </w:r>
          </w:p>
        </w:tc>
        <w:tc>
          <w:tcPr>
            <w:tcW w:w="2060" w:type="dxa"/>
            <w:vAlign w:val="bottom"/>
            <w:gridSpan w:val="2"/>
          </w:tcPr>
          <w:p>
            <w:pPr>
              <w:ind w:left="220"/>
              <w:spacing w:after="0"/>
              <w:rPr>
                <w:sz w:val="20"/>
                <w:szCs w:val="20"/>
                <w:color w:val="auto"/>
              </w:rPr>
            </w:pPr>
            <w:r>
              <w:rPr>
                <w:rFonts w:ascii="Arial" w:cs="Arial" w:eastAsia="Arial" w:hAnsi="Arial"/>
                <w:sz w:val="18"/>
                <w:szCs w:val="18"/>
                <w:color w:val="auto"/>
              </w:rPr>
              <w:t>230,000 shares</w:t>
            </w:r>
          </w:p>
        </w:tc>
        <w:tc>
          <w:tcPr>
            <w:tcW w:w="2040" w:type="dxa"/>
            <w:vAlign w:val="bottom"/>
            <w:gridSpan w:val="2"/>
          </w:tcPr>
          <w:p>
            <w:pPr>
              <w:ind w:left="180"/>
              <w:spacing w:after="0"/>
              <w:rPr>
                <w:sz w:val="20"/>
                <w:szCs w:val="20"/>
                <w:color w:val="auto"/>
              </w:rPr>
            </w:pPr>
            <w:r>
              <w:rPr>
                <w:rFonts w:ascii="Arial" w:cs="Arial" w:eastAsia="Arial" w:hAnsi="Arial"/>
                <w:sz w:val="18"/>
                <w:szCs w:val="18"/>
                <w:color w:val="auto"/>
              </w:rPr>
              <w:t>$14.00 or greater</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Tranche 5</w:t>
            </w:r>
          </w:p>
        </w:tc>
        <w:tc>
          <w:tcPr>
            <w:tcW w:w="2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287,500 shares</w:t>
            </w:r>
          </w:p>
        </w:tc>
        <w:tc>
          <w:tcPr>
            <w:tcW w:w="2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$15.00 or greater</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the executive must be in service with the Company through the date of vesting.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4" w:name="page75"/>
    <w:bookmarkEnd w:id="74"/>
    <w:p>
      <w:pPr>
        <w:jc w:val="both"/>
        <w:spacing w:after="0" w:line="257" w:lineRule="auto"/>
        <w:rPr>
          <w:sz w:val="20"/>
          <w:szCs w:val="20"/>
          <w:color w:val="auto"/>
        </w:rPr>
      </w:pPr>
      <w:r>
        <w:rPr>
          <w:rFonts w:ascii="Arial" w:cs="Arial" w:eastAsia="Arial" w:hAnsi="Arial"/>
          <w:sz w:val="18"/>
          <w:szCs w:val="18"/>
          <w:color w:val="auto"/>
        </w:rPr>
        <w:t>Concurrent with the issuance of the performance-based restricted stock unit awards, Mr. Baum agreed to forfeit 1,050,000 RSUs subject to performance-based vesting granted to him in May 2013 and Mr. Boll agreed to forfeit the Boll Performance Equity Award granted to him in February 2015. As a result, the issuance of the performance-based RSUs awarded in April 2016 have been treated as modifications of the RSUs granted to Mr. Baum in May 2013 and Mr. Boll in February 2015 for accounting purposes. The Company used a lattice binomial model to estimate a derived service period of 33 months related to the performance-based vesting grants and used the following assumptions: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tcPr>
          <w:p>
            <w:pPr>
              <w:spacing w:after="0"/>
              <w:rPr>
                <w:sz w:val="20"/>
                <w:szCs w:val="20"/>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Market price</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Contractual terms (in years)</w:t>
            </w:r>
          </w:p>
        </w:tc>
        <w:tc>
          <w:tcPr>
            <w:tcW w:w="4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0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2016, the Company granted an aggregate of 63,450 RSUs to its non-employee directors valued at $250. These RSUs vest in equal quarterly installments over a one-year period subject to the director’s continued service at the vesting date, but the issuance and delivery of these shares are deferred until the director resigns.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During the Year Ended December 31, 2017</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2017, the Company granted an aggregate of 62,892 RSUs to its non-employee directors valued at $200. These RSUs vest in equal quarterly installments over a one-year period subject to the director’s continued service at the vesting date, but the issuance and delivery of these shares are deferred until the director resigns.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activity and related information for the year ended December 31, 2017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Weighted Average</w:t>
            </w:r>
          </w:p>
        </w:tc>
      </w:tr>
      <w:tr>
        <w:trPr>
          <w:trHeight w:val="237"/>
        </w:trPr>
        <w:tc>
          <w:tcPr>
            <w:tcW w:w="6040" w:type="dxa"/>
            <w:vAlign w:val="bottom"/>
          </w:tcPr>
          <w:p>
            <w:pPr>
              <w:spacing w:after="0"/>
              <w:rPr>
                <w:sz w:val="20"/>
                <w:szCs w:val="20"/>
                <w:color w:val="auto"/>
              </w:rPr>
            </w:pPr>
          </w:p>
        </w:tc>
        <w:tc>
          <w:tcPr>
            <w:tcW w:w="1940" w:type="dxa"/>
            <w:vAlign w:val="bottom"/>
            <w:gridSpan w:val="2"/>
          </w:tcPr>
          <w:p>
            <w:pPr>
              <w:jc w:val="right"/>
              <w:ind w:right="500"/>
              <w:spacing w:after="0"/>
              <w:rPr>
                <w:sz w:val="20"/>
                <w:szCs w:val="20"/>
                <w:color w:val="auto"/>
              </w:rPr>
            </w:pPr>
            <w:r>
              <w:rPr>
                <w:rFonts w:ascii="Arial" w:cs="Arial" w:eastAsia="Arial" w:hAnsi="Arial"/>
                <w:sz w:val="18"/>
                <w:szCs w:val="18"/>
                <w:color w:val="auto"/>
              </w:rPr>
              <w:t>Number of RSUs</w:t>
            </w:r>
          </w:p>
        </w:tc>
        <w:tc>
          <w:tcPr>
            <w:tcW w:w="1720" w:type="dxa"/>
            <w:vAlign w:val="bottom"/>
            <w:gridSpan w:val="3"/>
          </w:tcPr>
          <w:p>
            <w:pPr>
              <w:ind w:left="20"/>
              <w:spacing w:after="0"/>
              <w:rPr>
                <w:sz w:val="20"/>
                <w:szCs w:val="20"/>
                <w:color w:val="auto"/>
              </w:rPr>
            </w:pPr>
            <w:r>
              <w:rPr>
                <w:rFonts w:ascii="Arial" w:cs="Arial" w:eastAsia="Arial" w:hAnsi="Arial"/>
                <w:sz w:val="18"/>
                <w:szCs w:val="18"/>
                <w:color w:val="auto"/>
                <w:w w:val="95"/>
              </w:rPr>
              <w:t>Grant Date Fair Value</w:t>
            </w:r>
          </w:p>
        </w:tc>
      </w:tr>
      <w:tr>
        <w:trPr>
          <w:trHeight w:val="216"/>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 January 1, 2017</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1,292,876</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RSUs granted</w:t>
            </w: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62,892</w:t>
            </w:r>
          </w:p>
        </w:tc>
        <w:tc>
          <w:tcPr>
            <w:tcW w:w="1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3.18</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w:t>
            </w: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RSUs cancelled/forfeit</w:t>
            </w: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at December 31, 2017</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1,298,946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w:t>
            </w:r>
          </w:p>
        </w:tc>
      </w:tr>
      <w:tr>
        <w:trPr>
          <w:trHeight w:val="20"/>
        </w:trPr>
        <w:tc>
          <w:tcPr>
            <w:tcW w:w="60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the total unrecognized compensation expense related to unvested RSUs was approximately $1,326 which is expected to be recognized over a weighted-average period of 0.9 years, based on estimated vesting schedules. The stock-based compensation for RSUs was $1,211 and $1,539 during the years ended December 31, 2017 and 2016,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stock-based compensation (including issuance of common stock for services and accrual for stock-based compensation) related to equity instruments granted to employees, directors and consultants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For the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For the</w:t>
            </w:r>
          </w:p>
        </w:tc>
      </w:tr>
      <w:tr>
        <w:trPr>
          <w:trHeight w:val="230"/>
        </w:trPr>
        <w:tc>
          <w:tcPr>
            <w:tcW w:w="4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Year Ended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Year Ended</w:t>
            </w:r>
          </w:p>
        </w:tc>
      </w:tr>
      <w:tr>
        <w:trPr>
          <w:trHeight w:val="237"/>
        </w:trPr>
        <w:tc>
          <w:tcPr>
            <w:tcW w:w="4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December 31, 2017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31, 2016</w:t>
            </w:r>
          </w:p>
        </w:tc>
      </w:tr>
      <w:tr>
        <w:trPr>
          <w:trHeight w:val="216"/>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Employees - selling and marketing</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Employees - general and administrative</w:t>
            </w:r>
          </w:p>
        </w:tc>
        <w:tc>
          <w:tcPr>
            <w:tcW w:w="140" w:type="dxa"/>
            <w:vAlign w:val="bottom"/>
          </w:tcPr>
          <w:p>
            <w:pPr>
              <w:spacing w:after="0"/>
              <w:rPr>
                <w:sz w:val="18"/>
                <w:szCs w:val="18"/>
                <w:color w:val="auto"/>
              </w:rPr>
            </w:pPr>
          </w:p>
        </w:tc>
        <w:tc>
          <w:tcPr>
            <w:tcW w:w="1900" w:type="dxa"/>
            <w:vAlign w:val="bottom"/>
            <w:gridSpan w:val="2"/>
          </w:tcPr>
          <w:p>
            <w:pPr>
              <w:jc w:val="right"/>
              <w:ind w:right="240"/>
              <w:spacing w:after="0"/>
              <w:rPr>
                <w:sz w:val="20"/>
                <w:szCs w:val="20"/>
                <w:color w:val="auto"/>
              </w:rPr>
            </w:pPr>
            <w:r>
              <w:rPr>
                <w:rFonts w:ascii="Arial" w:cs="Arial" w:eastAsia="Arial" w:hAnsi="Arial"/>
                <w:sz w:val="18"/>
                <w:szCs w:val="18"/>
                <w:color w:val="auto"/>
              </w:rPr>
              <w:t>2,229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2,954</w:t>
            </w:r>
          </w:p>
        </w:tc>
        <w:tc>
          <w:tcPr>
            <w:tcW w:w="8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Directors - general and administrative</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Consultants - selling and marketing</w:t>
            </w:r>
          </w:p>
        </w:tc>
        <w:tc>
          <w:tcPr>
            <w:tcW w:w="140" w:type="dxa"/>
            <w:vAlign w:val="bottom"/>
          </w:tcPr>
          <w:p>
            <w:pPr>
              <w:spacing w:after="0"/>
              <w:rPr>
                <w:sz w:val="18"/>
                <w:szCs w:val="18"/>
                <w:color w:val="auto"/>
              </w:rPr>
            </w:pPr>
          </w:p>
        </w:tc>
        <w:tc>
          <w:tcPr>
            <w:tcW w:w="1900" w:type="dxa"/>
            <w:vAlign w:val="bottom"/>
            <w:gridSpan w:val="2"/>
          </w:tcPr>
          <w:p>
            <w:pPr>
              <w:jc w:val="right"/>
              <w:ind w:right="24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 general and administrative</w:t>
            </w:r>
          </w:p>
        </w:tc>
        <w:tc>
          <w:tcPr>
            <w:tcW w:w="1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r>
      <w:tr>
        <w:trPr>
          <w:trHeight w:val="217"/>
        </w:trPr>
        <w:tc>
          <w:tcPr>
            <w:tcW w:w="46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2,943</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3,788</w:t>
            </w:r>
          </w:p>
        </w:tc>
        <w:tc>
          <w:tcPr>
            <w:tcW w:w="80" w:type="dxa"/>
            <w:vAlign w:val="bottom"/>
            <w:tcBorders>
              <w:top w:val="single" w:sz="8" w:color="CCEEFF"/>
            </w:tcBorders>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lenders (see Note 11), underwriters and other non-employees for services rendered or to be rendered in the future.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A summary of warrant activity during the year ended December 31, 2017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08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Number of Shares Subject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Weighted Avg. Exercise</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2080" w:type="dxa"/>
            <w:vAlign w:val="bottom"/>
            <w:gridSpan w:val="3"/>
          </w:tcPr>
          <w:p>
            <w:pPr>
              <w:jc w:val="right"/>
              <w:ind w:right="240"/>
              <w:spacing w:after="0"/>
              <w:rPr>
                <w:sz w:val="20"/>
                <w:szCs w:val="20"/>
                <w:color w:val="auto"/>
              </w:rPr>
            </w:pPr>
            <w:r>
              <w:rPr>
                <w:rFonts w:ascii="Arial" w:cs="Arial" w:eastAsia="Arial" w:hAnsi="Arial"/>
                <w:sz w:val="18"/>
                <w:szCs w:val="18"/>
                <w:color w:val="auto"/>
                <w:w w:val="93"/>
              </w:rPr>
              <w:t>to Warrants Outstanding</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Price</w:t>
            </w:r>
          </w:p>
        </w:tc>
        <w:tc>
          <w:tcPr>
            <w:tcW w:w="0" w:type="dxa"/>
            <w:vAlign w:val="bottom"/>
          </w:tcPr>
          <w:p>
            <w:pPr>
              <w:spacing w:after="0"/>
              <w:rPr>
                <w:sz w:val="1"/>
                <w:szCs w:val="1"/>
                <w:color w:val="auto"/>
              </w:rPr>
            </w:pPr>
          </w:p>
        </w:tc>
      </w:tr>
      <w:tr>
        <w:trPr>
          <w:trHeight w:val="216"/>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 January 1, 2017</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5,748,829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615,386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Expired</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and exercisable - December 31, 2017</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6,264,215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line="195" w:lineRule="exact"/>
              <w:rPr>
                <w:sz w:val="20"/>
                <w:szCs w:val="20"/>
                <w:color w:val="auto"/>
              </w:rPr>
            </w:pPr>
            <w:r>
              <w:rPr>
                <w:rFonts w:ascii="Arial" w:cs="Arial" w:eastAsia="Arial" w:hAnsi="Arial"/>
                <w:sz w:val="18"/>
                <w:szCs w:val="18"/>
                <w:color w:val="auto"/>
                <w:w w:val="92"/>
              </w:rPr>
              <w:t>Weighted average remaining contractual life of the outstanding warrants in years -</w:t>
            </w:r>
          </w:p>
        </w:tc>
        <w:tc>
          <w:tcPr>
            <w:tcW w:w="1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080" w:type="dxa"/>
            <w:vAlign w:val="bottom"/>
            <w:vMerge w:val="continue"/>
          </w:tcPr>
          <w:p>
            <w:pPr>
              <w:spacing w:after="0"/>
              <w:rPr>
                <w:sz w:val="13"/>
                <w:szCs w:val="13"/>
                <w:color w:val="auto"/>
              </w:rPr>
            </w:pPr>
          </w:p>
        </w:tc>
        <w:tc>
          <w:tcPr>
            <w:tcW w:w="1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6080" w:type="dxa"/>
            <w:vAlign w:val="bottom"/>
          </w:tcPr>
          <w:p>
            <w:pPr>
              <w:spacing w:after="0"/>
              <w:rPr>
                <w:sz w:val="20"/>
                <w:szCs w:val="20"/>
                <w:color w:val="auto"/>
              </w:rPr>
            </w:pPr>
            <w:r>
              <w:rPr>
                <w:rFonts w:ascii="Arial" w:cs="Arial" w:eastAsia="Arial" w:hAnsi="Arial"/>
                <w:sz w:val="18"/>
                <w:szCs w:val="18"/>
                <w:color w:val="auto"/>
              </w:rPr>
              <w:t>December 31, 2017</w:t>
            </w:r>
          </w:p>
        </w:tc>
        <w:tc>
          <w:tcPr>
            <w:tcW w:w="1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warrants granted during the year ended December 31, 2016 related to settlement agreements: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2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CEEFF"/>
            </w:tcBorders>
          </w:tcPr>
          <w:p>
            <w:pPr>
              <w:spacing w:after="0"/>
              <w:rPr>
                <w:sz w:val="20"/>
                <w:szCs w:val="20"/>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warrants granted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6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0.79%</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warrants granted during the year ended December 31, 2017 related to loan agreements: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4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Weighted-average fair value of warrants granted</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71"/>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Expected terms (in years)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4"/>
          </w:tcPr>
          <w:p>
            <w:pPr>
              <w:jc w:val="right"/>
              <w:ind w:right="160"/>
              <w:spacing w:after="0"/>
              <w:rPr>
                <w:sz w:val="20"/>
                <w:szCs w:val="20"/>
                <w:color w:val="auto"/>
              </w:rPr>
            </w:pPr>
            <w:r>
              <w:rPr>
                <w:rFonts w:ascii="Arial" w:cs="Arial" w:eastAsia="Arial" w:hAnsi="Arial"/>
                <w:sz w:val="18"/>
                <w:szCs w:val="18"/>
                <w:color w:val="auto"/>
              </w:rPr>
              <w:t>7.00</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1"/>
              </w:rPr>
              <w:t>113.5%</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1.77%</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32"/>
        </w:trPr>
        <w:tc>
          <w:tcPr>
            <w:tcW w:w="6440" w:type="dxa"/>
            <w:vAlign w:val="bottom"/>
            <w:gridSpan w:val="6"/>
          </w:tcPr>
          <w:p>
            <w:pPr>
              <w:spacing w:after="0"/>
              <w:rPr>
                <w:sz w:val="20"/>
                <w:szCs w:val="20"/>
                <w:color w:val="auto"/>
              </w:rPr>
            </w:pPr>
            <w:r>
              <w:rPr>
                <w:rFonts w:ascii="Arial" w:cs="Arial" w:eastAsia="Arial" w:hAnsi="Arial"/>
                <w:sz w:val="18"/>
                <w:szCs w:val="18"/>
                <w:color w:val="auto"/>
                <w:w w:val="95"/>
              </w:rPr>
              <w:t>All warrants outstanding as of December 31, 2017 are included in the following table:</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Warrants Outstanding</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4"/>
          </w:tcPr>
          <w:p>
            <w:pPr>
              <w:jc w:val="right"/>
              <w:ind w:right="840"/>
              <w:spacing w:after="0"/>
              <w:rPr>
                <w:sz w:val="20"/>
                <w:szCs w:val="20"/>
                <w:color w:val="auto"/>
              </w:rPr>
            </w:pPr>
            <w:r>
              <w:rPr>
                <w:rFonts w:ascii="Arial" w:cs="Arial" w:eastAsia="Arial" w:hAnsi="Arial"/>
                <w:sz w:val="18"/>
                <w:szCs w:val="18"/>
                <w:color w:val="auto"/>
              </w:rPr>
              <w:t>Warrants Exercisable</w:t>
            </w:r>
          </w:p>
        </w:tc>
      </w:tr>
      <w:tr>
        <w:trPr>
          <w:trHeight w:val="215"/>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2"/>
          </w:tcPr>
          <w:p>
            <w:pPr>
              <w:jc w:val="right"/>
              <w:ind w:right="780"/>
              <w:spacing w:after="0"/>
              <w:rPr>
                <w:sz w:val="20"/>
                <w:szCs w:val="20"/>
                <w:color w:val="auto"/>
              </w:rPr>
            </w:pPr>
            <w:r>
              <w:rPr>
                <w:rFonts w:ascii="Arial" w:cs="Arial" w:eastAsia="Arial" w:hAnsi="Arial"/>
                <w:sz w:val="18"/>
                <w:szCs w:val="18"/>
                <w:color w:val="auto"/>
              </w:rPr>
              <w:t>Warrants</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8"/>
                <w:szCs w:val="18"/>
                <w:color w:val="auto"/>
                <w:w w:val="89"/>
              </w:rPr>
              <w:t>Exercise</w:t>
            </w:r>
          </w:p>
        </w:tc>
        <w:tc>
          <w:tcPr>
            <w:tcW w:w="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jc w:val="center"/>
              <w:ind w:right="620"/>
              <w:spacing w:after="0"/>
              <w:rPr>
                <w:sz w:val="20"/>
                <w:szCs w:val="20"/>
                <w:color w:val="auto"/>
              </w:rPr>
            </w:pPr>
            <w:r>
              <w:rPr>
                <w:rFonts w:ascii="Arial" w:cs="Arial" w:eastAsia="Arial" w:hAnsi="Arial"/>
                <w:sz w:val="18"/>
                <w:szCs w:val="18"/>
                <w:color w:val="auto"/>
                <w:w w:val="87"/>
              </w:rPr>
              <w:t>Warrants</w:t>
            </w:r>
          </w:p>
        </w:tc>
        <w:tc>
          <w:tcPr>
            <w:tcW w:w="13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Expiration</w:t>
            </w:r>
          </w:p>
        </w:tc>
        <w:tc>
          <w:tcPr>
            <w:tcW w:w="20" w:type="dxa"/>
            <w:vAlign w:val="bottom"/>
          </w:tcPr>
          <w:p>
            <w:pPr>
              <w:spacing w:after="0"/>
              <w:rPr>
                <w:sz w:val="18"/>
                <w:szCs w:val="18"/>
                <w:color w:val="auto"/>
              </w:rPr>
            </w:pPr>
          </w:p>
        </w:tc>
      </w:tr>
      <w:tr>
        <w:trPr>
          <w:trHeight w:val="237"/>
        </w:trPr>
        <w:tc>
          <w:tcPr>
            <w:tcW w:w="2980" w:type="dxa"/>
            <w:vAlign w:val="bottom"/>
            <w:gridSpan w:val="2"/>
          </w:tcPr>
          <w:p>
            <w:pPr>
              <w:spacing w:after="0"/>
              <w:rPr>
                <w:sz w:val="20"/>
                <w:szCs w:val="20"/>
                <w:color w:val="auto"/>
              </w:rPr>
            </w:pPr>
            <w:r>
              <w:rPr>
                <w:rFonts w:ascii="Arial" w:cs="Arial" w:eastAsia="Arial" w:hAnsi="Arial"/>
                <w:sz w:val="18"/>
                <w:szCs w:val="18"/>
                <w:color w:val="auto"/>
              </w:rPr>
              <w:t>Warrant Series</w:t>
            </w:r>
          </w:p>
        </w:tc>
        <w:tc>
          <w:tcPr>
            <w:tcW w:w="1600" w:type="dxa"/>
            <w:vAlign w:val="bottom"/>
            <w:gridSpan w:val="2"/>
          </w:tcPr>
          <w:p>
            <w:pPr>
              <w:ind w:left="320"/>
              <w:spacing w:after="0"/>
              <w:rPr>
                <w:sz w:val="20"/>
                <w:szCs w:val="20"/>
                <w:color w:val="auto"/>
              </w:rPr>
            </w:pPr>
            <w:r>
              <w:rPr>
                <w:rFonts w:ascii="Arial" w:cs="Arial" w:eastAsia="Arial" w:hAnsi="Arial"/>
                <w:sz w:val="18"/>
                <w:szCs w:val="18"/>
                <w:color w:val="auto"/>
              </w:rPr>
              <w:t>Issue Date</w:t>
            </w:r>
          </w:p>
        </w:tc>
        <w:tc>
          <w:tcPr>
            <w:tcW w:w="1860" w:type="dxa"/>
            <w:vAlign w:val="bottom"/>
            <w:gridSpan w:val="2"/>
          </w:tcPr>
          <w:p>
            <w:pPr>
              <w:jc w:val="right"/>
              <w:ind w:right="660"/>
              <w:spacing w:after="0"/>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20"/>
                <w:szCs w:val="20"/>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Price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8"/>
                <w:szCs w:val="18"/>
                <w:color w:val="auto"/>
                <w:w w:val="90"/>
              </w:rPr>
              <w:t>Exercisable</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Date</w:t>
            </w:r>
          </w:p>
        </w:tc>
      </w:tr>
      <w:tr>
        <w:trPr>
          <w:trHeight w:val="216"/>
        </w:trPr>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Lender warrants</w:t>
            </w:r>
          </w:p>
        </w:tc>
        <w:tc>
          <w:tcPr>
            <w:tcW w:w="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5/11/2015</w:t>
            </w: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5/11/2025</w:t>
            </w:r>
          </w:p>
        </w:tc>
        <w:tc>
          <w:tcPr>
            <w:tcW w:w="20" w:type="dxa"/>
            <w:vAlign w:val="bottom"/>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Underwriter warrants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2/7/2013</w:t>
            </w: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55,688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5.25</w:t>
            </w:r>
          </w:p>
        </w:tc>
        <w:tc>
          <w:tcPr>
            <w:tcW w:w="2100" w:type="dxa"/>
            <w:vAlign w:val="bottom"/>
            <w:gridSpan w:val="6"/>
          </w:tcPr>
          <w:p>
            <w:pPr>
              <w:jc w:val="right"/>
              <w:ind w:right="320"/>
              <w:spacing w:after="0"/>
              <w:rPr>
                <w:sz w:val="20"/>
                <w:szCs w:val="20"/>
                <w:color w:val="auto"/>
              </w:rPr>
            </w:pPr>
            <w:r>
              <w:rPr>
                <w:rFonts w:ascii="Arial" w:cs="Arial" w:eastAsia="Arial" w:hAnsi="Arial"/>
                <w:sz w:val="18"/>
                <w:szCs w:val="18"/>
                <w:color w:val="auto"/>
              </w:rPr>
              <w:t>55,688</w:t>
            </w:r>
          </w:p>
        </w:tc>
        <w:tc>
          <w:tcPr>
            <w:tcW w:w="1360" w:type="dxa"/>
            <w:vAlign w:val="bottom"/>
          </w:tcPr>
          <w:p>
            <w:pPr>
              <w:jc w:val="right"/>
              <w:spacing w:after="0"/>
              <w:rPr>
                <w:sz w:val="20"/>
                <w:szCs w:val="20"/>
                <w:color w:val="auto"/>
              </w:rPr>
            </w:pPr>
            <w:r>
              <w:rPr>
                <w:rFonts w:ascii="Arial" w:cs="Arial" w:eastAsia="Arial" w:hAnsi="Arial"/>
                <w:sz w:val="18"/>
                <w:szCs w:val="18"/>
                <w:color w:val="auto"/>
              </w:rPr>
              <w:t>2/7/2018</w:t>
            </w:r>
          </w:p>
        </w:tc>
        <w:tc>
          <w:tcPr>
            <w:tcW w:w="2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 warrants</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8/16/2016</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c>
          <w:tcPr>
            <w:tcW w:w="2100" w:type="dxa"/>
            <w:vAlign w:val="bottom"/>
            <w:gridSpan w:val="6"/>
            <w:shd w:val="clear" w:color="auto" w:fill="CCEEFF"/>
          </w:tcPr>
          <w:p>
            <w:pPr>
              <w:jc w:val="right"/>
              <w:ind w:right="320"/>
              <w:spacing w:after="0"/>
              <w:rPr>
                <w:sz w:val="20"/>
                <w:szCs w:val="20"/>
                <w:color w:val="auto"/>
              </w:rPr>
            </w:pPr>
            <w:r>
              <w:rPr>
                <w:rFonts w:ascii="Arial" w:cs="Arial" w:eastAsia="Arial" w:hAnsi="Arial"/>
                <w:sz w:val="18"/>
                <w:szCs w:val="18"/>
                <w:color w:val="auto"/>
              </w:rPr>
              <w:t>40,000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8/16/2021</w:t>
            </w:r>
          </w:p>
        </w:tc>
        <w:tc>
          <w:tcPr>
            <w:tcW w:w="20" w:type="dxa"/>
            <w:vAlign w:val="bottom"/>
          </w:tcPr>
          <w:p>
            <w:pPr>
              <w:spacing w:after="0"/>
              <w:rPr>
                <w:sz w:val="18"/>
                <w:szCs w:val="18"/>
                <w:color w:val="auto"/>
              </w:rPr>
            </w:pPr>
          </w:p>
        </w:tc>
      </w:tr>
      <w:tr>
        <w:trPr>
          <w:trHeight w:val="202"/>
        </w:trPr>
        <w:tc>
          <w:tcPr>
            <w:tcW w:w="2980" w:type="dxa"/>
            <w:vAlign w:val="bottom"/>
            <w:gridSpan w:val="2"/>
          </w:tcPr>
          <w:p>
            <w:pPr>
              <w:spacing w:after="0" w:line="201" w:lineRule="exact"/>
              <w:rPr>
                <w:sz w:val="20"/>
                <w:szCs w:val="20"/>
                <w:color w:val="auto"/>
              </w:rPr>
            </w:pPr>
            <w:r>
              <w:rPr>
                <w:rFonts w:ascii="Arial" w:cs="Arial" w:eastAsia="Arial" w:hAnsi="Arial"/>
                <w:sz w:val="18"/>
                <w:szCs w:val="18"/>
                <w:color w:val="auto"/>
              </w:rPr>
              <w:t>Warrants issued to investor relations</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980" w:type="dxa"/>
            <w:vAlign w:val="bottom"/>
            <w:gridSpan w:val="2"/>
          </w:tcPr>
          <w:p>
            <w:pPr>
              <w:spacing w:after="0"/>
              <w:rPr>
                <w:sz w:val="20"/>
                <w:szCs w:val="20"/>
                <w:color w:val="auto"/>
              </w:rPr>
            </w:pPr>
            <w:r>
              <w:rPr>
                <w:rFonts w:ascii="Arial" w:cs="Arial" w:eastAsia="Arial" w:hAnsi="Arial"/>
                <w:sz w:val="18"/>
                <w:szCs w:val="18"/>
                <w:color w:val="auto"/>
              </w:rPr>
              <w:t>consultant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7/19/2013</w:t>
            </w: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60,000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8.50</w:t>
            </w:r>
          </w:p>
        </w:tc>
        <w:tc>
          <w:tcPr>
            <w:tcW w:w="2100" w:type="dxa"/>
            <w:vAlign w:val="bottom"/>
            <w:gridSpan w:val="6"/>
          </w:tcPr>
          <w:p>
            <w:pPr>
              <w:jc w:val="right"/>
              <w:ind w:right="320"/>
              <w:spacing w:after="0"/>
              <w:rPr>
                <w:sz w:val="20"/>
                <w:szCs w:val="20"/>
                <w:color w:val="auto"/>
              </w:rPr>
            </w:pPr>
            <w:r>
              <w:rPr>
                <w:rFonts w:ascii="Arial" w:cs="Arial" w:eastAsia="Arial" w:hAnsi="Arial"/>
                <w:sz w:val="18"/>
                <w:szCs w:val="18"/>
                <w:color w:val="auto"/>
              </w:rPr>
              <w:t>60,000</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7/19/2018</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Placement Agent Warrants</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12/27/2016</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210,313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c>
          <w:tcPr>
            <w:tcW w:w="1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210,313</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12/27/2019</w:t>
            </w:r>
          </w:p>
        </w:tc>
        <w:tc>
          <w:tcPr>
            <w:tcW w:w="20" w:type="dxa"/>
            <w:vAlign w:val="bottom"/>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PIPE Investor Warrants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12/27/2016</w:t>
            </w: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5,157,828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1780" w:type="dxa"/>
            <w:vAlign w:val="bottom"/>
            <w:gridSpan w:val="5"/>
          </w:tcPr>
          <w:p>
            <w:pPr>
              <w:jc w:val="right"/>
              <w:spacing w:after="0"/>
              <w:rPr>
                <w:sz w:val="20"/>
                <w:szCs w:val="20"/>
                <w:color w:val="auto"/>
              </w:rPr>
            </w:pPr>
            <w:r>
              <w:rPr>
                <w:rFonts w:ascii="Arial" w:cs="Arial" w:eastAsia="Arial" w:hAnsi="Arial"/>
                <w:sz w:val="18"/>
                <w:szCs w:val="18"/>
                <w:color w:val="auto"/>
              </w:rPr>
              <w:t>5,157,828</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12/27/2019</w:t>
            </w:r>
          </w:p>
        </w:tc>
        <w:tc>
          <w:tcPr>
            <w:tcW w:w="20" w:type="dxa"/>
            <w:vAlign w:val="bottom"/>
          </w:tcPr>
          <w:p>
            <w:pPr>
              <w:spacing w:after="0"/>
              <w:rPr>
                <w:sz w:val="18"/>
                <w:szCs w:val="18"/>
                <w:color w:val="auto"/>
              </w:rPr>
            </w:pPr>
          </w:p>
        </w:tc>
      </w:tr>
      <w:tr>
        <w:trPr>
          <w:trHeight w:val="250"/>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Lender warrants (see Note 11)</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7/19/2017</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615,386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w:t>
            </w:r>
          </w:p>
        </w:tc>
        <w:tc>
          <w:tcPr>
            <w:tcW w:w="1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615,386</w:t>
            </w: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7/19/2024</w:t>
            </w:r>
          </w:p>
        </w:tc>
        <w:tc>
          <w:tcPr>
            <w:tcW w:w="20" w:type="dxa"/>
            <w:vAlign w:val="bottom"/>
          </w:tcPr>
          <w:p>
            <w:pPr>
              <w:spacing w:after="0"/>
              <w:rPr>
                <w:sz w:val="21"/>
                <w:szCs w:val="21"/>
                <w:color w:val="auto"/>
              </w:rPr>
            </w:pPr>
          </w:p>
        </w:tc>
      </w:tr>
      <w:tr>
        <w:trPr>
          <w:trHeight w:val="217"/>
        </w:trPr>
        <w:tc>
          <w:tcPr>
            <w:tcW w:w="27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6,264,215</w:t>
            </w: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1.93</w:t>
            </w: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6,264,215</w:t>
            </w:r>
          </w:p>
        </w:tc>
        <w:tc>
          <w:tcPr>
            <w:tcW w:w="3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DERIVATIVE INSTRUMENTS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year ended December 31, 2016, the Company modified certain common stock purchase warrants issued in conjunction with debt which are detachable, or free standing, instruments. The warrants were considered a derivative liability upon modification and the estimated fair value of the warrants was reclassified from equity to liabilities. In addition, the Company recorded a derivative liability and debt discount associated with the estimated fair value of the embedded conversion feature in the Convertible Note (see Note 11). Both instruments contained a provision which allowed for one-time adjustments to their exercise or conversion prices. The one-time adjustment occurred upon the closing of the Company’s underwritten public offering of its common stock (see Note 13), on March 16, 2016, whereby the conversion and exercise prices were adjusted from $5.90 to $3.60 per share. At the time of the one-time adjustment, the Company reclassified the derivative liabilities to equity based on their then estimated fair value at that time. The Company estimated the fair value of the derivative liabilities utilizing Level 3 inputs. The Company used the Black-Scholes-Merton option pricing model as it embodies all of the requisite assumptions (including trading volatility, remaining term to maturity, market price, strike price, and risk-free rates) necessary to value these instruments.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6" w:name="page77"/>
    <w:bookmarkEnd w:id="76"/>
    <w:p>
      <w:pPr>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derivative liabilities: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tcPr>
          <w:p>
            <w:pPr>
              <w:spacing w:after="0"/>
              <w:rPr>
                <w:sz w:val="20"/>
                <w:szCs w:val="20"/>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103 - 111%</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1.22 - 1.70%</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estimated the expected terms based on the remaining contractual life of the instruments on the date of the fair value measurement. The warrant expires on May 11, 2025 and the convertible note had an original maturity date of May 11,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all liabilities measured at fair value using Level 3 significant unobservable inputs:</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Warrant derivative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79755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Balance at January 1, 2016</w:t>
      </w:r>
    </w:p>
    <w:p>
      <w:pPr>
        <w:spacing w:after="0" w:line="9" w:lineRule="exact"/>
        <w:rPr>
          <w:sz w:val="20"/>
          <w:szCs w:val="20"/>
          <w:color w:val="auto"/>
        </w:rPr>
      </w:pPr>
    </w:p>
    <w:p>
      <w:pPr>
        <w:ind w:right="1460"/>
        <w:spacing w:after="0" w:line="250" w:lineRule="auto"/>
        <w:rPr>
          <w:sz w:val="20"/>
          <w:szCs w:val="20"/>
          <w:color w:val="auto"/>
        </w:rPr>
      </w:pPr>
      <w:r>
        <w:rPr>
          <w:rFonts w:ascii="Arial" w:cs="Arial" w:eastAsia="Arial" w:hAnsi="Arial"/>
          <w:sz w:val="18"/>
          <w:szCs w:val="18"/>
          <w:color w:val="auto"/>
        </w:rPr>
        <w:t>Modification of warrant and reclassification from equity to liabilities 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579755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right="700"/>
        <w:spacing w:after="0" w:line="292" w:lineRule="auto"/>
        <w:rPr>
          <w:sz w:val="20"/>
          <w:szCs w:val="20"/>
          <w:color w:val="auto"/>
        </w:rPr>
      </w:pPr>
      <w:r>
        <w:rPr>
          <w:rFonts w:ascii="Arial" w:cs="Arial" w:eastAsia="Arial" w:hAnsi="Arial"/>
          <w:sz w:val="18"/>
          <w:szCs w:val="18"/>
          <w:color w:val="auto"/>
        </w:rPr>
        <w:t>Reclassification from liabilities to equity upon closing of public equity offering Balance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579755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9755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579755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Embedded conversion feature derivative liability: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Balance at January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right="2300"/>
        <w:spacing w:after="0" w:line="250" w:lineRule="auto"/>
        <w:rPr>
          <w:sz w:val="20"/>
          <w:szCs w:val="20"/>
          <w:color w:val="auto"/>
        </w:rPr>
      </w:pPr>
      <w:r>
        <w:rPr>
          <w:rFonts w:ascii="Arial" w:cs="Arial" w:eastAsia="Arial" w:hAnsi="Arial"/>
          <w:sz w:val="18"/>
          <w:szCs w:val="18"/>
          <w:color w:val="auto"/>
        </w:rPr>
        <w:t>Embedded conversion feature in Convertible Note issued 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579755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right="700"/>
        <w:spacing w:after="0" w:line="292" w:lineRule="auto"/>
        <w:rPr>
          <w:sz w:val="20"/>
          <w:szCs w:val="20"/>
          <w:color w:val="auto"/>
        </w:rPr>
      </w:pPr>
      <w:r>
        <w:rPr>
          <w:rFonts w:ascii="Arial" w:cs="Arial" w:eastAsia="Arial" w:hAnsi="Arial"/>
          <w:sz w:val="18"/>
          <w:szCs w:val="18"/>
          <w:color w:val="auto"/>
        </w:rPr>
        <w:t>Reclassification from liabilities to equity upon closing of public equity offering Balance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579755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December 31, 2016</w:t>
            </w:r>
          </w:p>
        </w:tc>
        <w:tc>
          <w:tcPr>
            <w:tcW w:w="60" w:type="dxa"/>
            <w:vAlign w:val="bottom"/>
          </w:tcPr>
          <w:p>
            <w:pPr>
              <w:spacing w:after="0"/>
              <w:rPr>
                <w:sz w:val="20"/>
                <w:szCs w:val="20"/>
                <w:color w:val="auto"/>
              </w:rPr>
            </w:pPr>
          </w:p>
        </w:tc>
      </w:tr>
      <w:tr>
        <w:trPr>
          <w:trHeight w:val="418"/>
        </w:trPr>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675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(211)</w:t>
            </w:r>
          </w:p>
        </w:tc>
      </w:tr>
      <w:tr>
        <w:trPr>
          <w:trHeight w:val="251"/>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(464)</w:t>
            </w:r>
          </w:p>
        </w:tc>
      </w:tr>
      <w:tr>
        <w:trPr>
          <w:trHeight w:val="230"/>
        </w:trPr>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14"/>
        </w:trPr>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2,322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324</w:t>
            </w:r>
          </w:p>
        </w:tc>
        <w:tc>
          <w:tcPr>
            <w:tcW w:w="60" w:type="dxa"/>
            <w:vAlign w:val="bottom"/>
          </w:tcPr>
          <w:p>
            <w:pPr>
              <w:spacing w:after="0"/>
              <w:rPr>
                <w:sz w:val="18"/>
                <w:szCs w:val="18"/>
                <w:color w:val="auto"/>
              </w:rPr>
            </w:pPr>
          </w:p>
        </w:tc>
      </w:tr>
      <w:tr>
        <w:trPr>
          <w:trHeight w:val="251"/>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(2,646)</w:t>
            </w:r>
          </w:p>
        </w:tc>
      </w:tr>
      <w:tr>
        <w:trPr>
          <w:trHeight w:val="230"/>
        </w:trPr>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6420" w:space="720"/>
            <w:col w:w="4280"/>
          </w:cols>
          <w:pgMar w:left="240" w:top="692"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taxation in the United States, California, New Jersey, Texas and Pennsylvania. The provision for income taxes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2016 are summarized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December 31, 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December 31,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20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Federal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20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w:t>
            </w:r>
          </w:p>
        </w:tc>
        <w:tc>
          <w:tcPr>
            <w:tcW w:w="1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Deferred:</w:t>
            </w: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State</w:t>
            </w:r>
          </w:p>
        </w:tc>
        <w:tc>
          <w:tcPr>
            <w:tcW w:w="200" w:type="dxa"/>
            <w:vAlign w:val="bottom"/>
          </w:tcPr>
          <w:p>
            <w:pPr>
              <w:spacing w:after="0"/>
              <w:rPr>
                <w:sz w:val="18"/>
                <w:szCs w:val="18"/>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valuation allowance</w:t>
            </w:r>
          </w:p>
        </w:tc>
        <w:tc>
          <w:tcPr>
            <w:tcW w:w="20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(7,126)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deferred</w:t>
            </w:r>
          </w:p>
        </w:tc>
        <w:tc>
          <w:tcPr>
            <w:tcW w:w="20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(935</w:t>
            </w:r>
          </w:p>
        </w:tc>
        <w:tc>
          <w:tcPr>
            <w:tcW w:w="180" w:type="dxa"/>
            <w:vAlign w:val="bottom"/>
            <w:tcBorders>
              <w:top w:val="single" w:sz="8" w:color="CCEEFF"/>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w:t>
            </w:r>
          </w:p>
        </w:tc>
        <w:tc>
          <w:tcPr>
            <w:tcW w:w="8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Income tax expense for the years ended December 31, 2017 and 2016, are recorded in the general and administrative expenses line item in the accompanying consolidated statements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77" w:name="page78"/>
    <w:bookmarkEnd w:id="77"/>
    <w:p>
      <w:pPr>
        <w:jc w:val="both"/>
        <w:spacing w:after="0" w:line="277" w:lineRule="auto"/>
        <w:rPr>
          <w:sz w:val="20"/>
          <w:szCs w:val="20"/>
          <w:color w:val="auto"/>
        </w:rPr>
      </w:pPr>
      <w:r>
        <w:rPr>
          <w:rFonts w:ascii="Arial" w:cs="Arial" w:eastAsia="Arial" w:hAnsi="Arial"/>
          <w:sz w:val="18"/>
          <w:szCs w:val="18"/>
          <w:color w:val="auto"/>
        </w:rPr>
        <w:t>A reconciliation of income taxes computed by applying the statutory U.S. income tax rate to the Company’s loss before income taxes to the income tax provision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8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December 31, 2017</w:t>
            </w:r>
          </w:p>
        </w:tc>
        <w:tc>
          <w:tcPr>
            <w:tcW w:w="38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December 31, 2016</w:t>
            </w:r>
          </w:p>
        </w:tc>
        <w:tc>
          <w:tcPr>
            <w:tcW w:w="220" w:type="dxa"/>
            <w:vAlign w:val="bottom"/>
            <w:tcBorders>
              <w:bottom w:val="single" w:sz="8" w:color="CCEEFF"/>
            </w:tcBorders>
          </w:tcPr>
          <w:p>
            <w:pPr>
              <w:spacing w:after="0"/>
              <w:rPr>
                <w:sz w:val="20"/>
                <w:szCs w:val="20"/>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tax rate</w:t>
            </w:r>
          </w:p>
        </w:tc>
        <w:tc>
          <w:tcPr>
            <w:tcW w:w="2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35.00%</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Benefit of lower tax brackets</w:t>
            </w:r>
          </w:p>
        </w:tc>
        <w:tc>
          <w:tcPr>
            <w:tcW w:w="226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State tax benefit, net</w:t>
            </w:r>
          </w:p>
        </w:tc>
        <w:tc>
          <w:tcPr>
            <w:tcW w:w="2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1.60%</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2260" w:type="dxa"/>
            <w:vAlign w:val="bottom"/>
            <w:gridSpan w:val="2"/>
          </w:tcPr>
          <w:p>
            <w:pPr>
              <w:jc w:val="right"/>
              <w:ind w:right="150"/>
              <w:spacing w:after="0"/>
              <w:rPr>
                <w:sz w:val="20"/>
                <w:szCs w:val="20"/>
                <w:color w:val="auto"/>
              </w:rPr>
            </w:pPr>
            <w:r>
              <w:rPr>
                <w:rFonts w:ascii="Arial" w:cs="Arial" w:eastAsia="Arial" w:hAnsi="Arial"/>
                <w:sz w:val="18"/>
                <w:szCs w:val="18"/>
                <w:color w:val="auto"/>
              </w:rPr>
              <w:t>0.00%</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based compensation</w:t>
            </w:r>
          </w:p>
        </w:tc>
        <w:tc>
          <w:tcPr>
            <w:tcW w:w="22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(0.84)%</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Loss on debt conversion</w:t>
            </w:r>
          </w:p>
        </w:tc>
        <w:tc>
          <w:tcPr>
            <w:tcW w:w="2260" w:type="dxa"/>
            <w:vAlign w:val="bottom"/>
            <w:gridSpan w:val="2"/>
          </w:tcPr>
          <w:p>
            <w:pPr>
              <w:jc w:val="right"/>
              <w:ind w:right="90"/>
              <w:spacing w:after="0"/>
              <w:rPr>
                <w:sz w:val="20"/>
                <w:szCs w:val="20"/>
                <w:color w:val="auto"/>
              </w:rPr>
            </w:pPr>
            <w:r>
              <w:rPr>
                <w:rFonts w:ascii="Arial" w:cs="Arial" w:eastAsia="Arial" w:hAnsi="Arial"/>
                <w:sz w:val="18"/>
                <w:szCs w:val="18"/>
                <w:color w:val="auto"/>
              </w:rPr>
              <w:t>(2.39)%</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Capitalization of Subsidiary</w:t>
            </w:r>
          </w:p>
        </w:tc>
        <w:tc>
          <w:tcPr>
            <w:tcW w:w="2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0.00%</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Change in Rate</w:t>
            </w:r>
          </w:p>
        </w:tc>
        <w:tc>
          <w:tcPr>
            <w:tcW w:w="2260" w:type="dxa"/>
            <w:vAlign w:val="bottom"/>
            <w:gridSpan w:val="2"/>
          </w:tcPr>
          <w:p>
            <w:pPr>
              <w:jc w:val="right"/>
              <w:ind w:right="90"/>
              <w:spacing w:after="0"/>
              <w:rPr>
                <w:sz w:val="20"/>
                <w:szCs w:val="20"/>
                <w:color w:val="auto"/>
              </w:rPr>
            </w:pPr>
            <w:r>
              <w:rPr>
                <w:rFonts w:ascii="Arial" w:cs="Arial" w:eastAsia="Arial" w:hAnsi="Arial"/>
                <w:sz w:val="18"/>
                <w:szCs w:val="18"/>
                <w:color w:val="auto"/>
              </w:rPr>
              <w:t>(62.97)%</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3.04%</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37"/>
        </w:trPr>
        <w:tc>
          <w:tcPr>
            <w:tcW w:w="4780" w:type="dxa"/>
            <w:vAlign w:val="bottom"/>
          </w:tcPr>
          <w:p>
            <w:pPr>
              <w:spacing w:after="0"/>
              <w:rPr>
                <w:sz w:val="20"/>
                <w:szCs w:val="20"/>
                <w:color w:val="auto"/>
              </w:rPr>
            </w:pPr>
            <w:r>
              <w:rPr>
                <w:rFonts w:ascii="Arial" w:cs="Arial" w:eastAsia="Arial" w:hAnsi="Arial"/>
                <w:sz w:val="18"/>
                <w:szCs w:val="18"/>
                <w:color w:val="auto"/>
              </w:rPr>
              <w:t>Valuation allowance</w:t>
            </w:r>
          </w:p>
        </w:tc>
        <w:tc>
          <w:tcPr>
            <w:tcW w:w="2260" w:type="dxa"/>
            <w:vAlign w:val="bottom"/>
            <w:gridSpan w:val="2"/>
          </w:tcPr>
          <w:p>
            <w:pPr>
              <w:jc w:val="right"/>
              <w:ind w:right="150"/>
              <w:spacing w:after="0"/>
              <w:rPr>
                <w:sz w:val="20"/>
                <w:szCs w:val="20"/>
                <w:color w:val="auto"/>
              </w:rPr>
            </w:pPr>
            <w:r>
              <w:rPr>
                <w:rFonts w:ascii="Arial" w:cs="Arial" w:eastAsia="Arial" w:hAnsi="Arial"/>
                <w:sz w:val="18"/>
                <w:szCs w:val="18"/>
                <w:color w:val="auto"/>
              </w:rPr>
              <w:t>34.82%</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(31.89)%</w:t>
            </w:r>
          </w:p>
        </w:tc>
      </w:tr>
      <w:tr>
        <w:trPr>
          <w:trHeight w:val="230"/>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38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7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Deferred tax assets and liabilities reflect the net tax effects of temporary differences between the carrying amounts of assets and liabilities for financial reporting purposes and the amounts used for income tax purposes. Significant components of the Company’s deferred tax assets are as follows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December 31, 2017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w w:val="93"/>
              </w:rPr>
              <w:t>December 31, 2016</w:t>
            </w:r>
          </w:p>
        </w:tc>
      </w:tr>
      <w:tr>
        <w:trPr>
          <w:trHeight w:val="216"/>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 (liabilities):</w:t>
            </w: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NOL’s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17,405</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840" w:type="dxa"/>
            <w:vAlign w:val="bottom"/>
            <w:gridSpan w:val="3"/>
          </w:tcPr>
          <w:p>
            <w:pPr>
              <w:jc w:val="right"/>
              <w:ind w:right="80"/>
              <w:spacing w:after="0"/>
              <w:rPr>
                <w:sz w:val="20"/>
                <w:szCs w:val="20"/>
                <w:color w:val="auto"/>
              </w:rPr>
            </w:pPr>
            <w:r>
              <w:rPr>
                <w:rFonts w:ascii="Arial" w:cs="Arial" w:eastAsia="Arial" w:hAnsi="Arial"/>
                <w:sz w:val="18"/>
                <w:szCs w:val="18"/>
                <w:color w:val="auto"/>
              </w:rPr>
              <w:t>21,555</w:t>
            </w: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60" w:type="dxa"/>
            <w:vAlign w:val="bottom"/>
            <w:shd w:val="clear" w:color="auto" w:fill="CCEEFF"/>
          </w:tcPr>
          <w:p>
            <w:pPr>
              <w:spacing w:after="0"/>
              <w:rPr>
                <w:sz w:val="18"/>
                <w:szCs w:val="18"/>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398</w:t>
            </w:r>
          </w:p>
        </w:tc>
        <w:tc>
          <w:tcPr>
            <w:tcW w:w="60" w:type="dxa"/>
            <w:vAlign w:val="bottom"/>
          </w:tcPr>
          <w:p>
            <w:pPr>
              <w:spacing w:after="0"/>
              <w:rPr>
                <w:sz w:val="18"/>
                <w:szCs w:val="18"/>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&amp; development credits</w:t>
            </w:r>
          </w:p>
        </w:tc>
        <w:tc>
          <w:tcPr>
            <w:tcW w:w="1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60" w:type="dxa"/>
            <w:vAlign w:val="bottom"/>
            <w:shd w:val="clear" w:color="auto" w:fill="CCEEFF"/>
          </w:tcPr>
          <w:p>
            <w:pPr>
              <w:spacing w:after="0"/>
              <w:rPr>
                <w:sz w:val="18"/>
                <w:szCs w:val="18"/>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Deferred stock compensation</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2,534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3,875</w:t>
            </w:r>
          </w:p>
        </w:tc>
        <w:tc>
          <w:tcPr>
            <w:tcW w:w="60" w:type="dxa"/>
            <w:vAlign w:val="bottom"/>
          </w:tcPr>
          <w:p>
            <w:pPr>
              <w:spacing w:after="0"/>
              <w:rPr>
                <w:sz w:val="18"/>
                <w:szCs w:val="18"/>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Basis Difference in Eton</w:t>
            </w:r>
          </w:p>
        </w:tc>
        <w:tc>
          <w:tcPr>
            <w:tcW w:w="1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Park stock purchase identifiable intangibles</w:t>
            </w:r>
          </w:p>
        </w:tc>
        <w:tc>
          <w:tcPr>
            <w:tcW w:w="16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(501)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3"/>
          </w:tcPr>
          <w:p>
            <w:pPr>
              <w:jc w:val="right"/>
              <w:ind w:right="20"/>
              <w:spacing w:after="0"/>
              <w:rPr>
                <w:sz w:val="20"/>
                <w:szCs w:val="20"/>
                <w:color w:val="auto"/>
              </w:rPr>
            </w:pPr>
            <w:r>
              <w:rPr>
                <w:rFonts w:ascii="Arial" w:cs="Arial" w:eastAsia="Arial" w:hAnsi="Arial"/>
                <w:sz w:val="18"/>
                <w:szCs w:val="18"/>
                <w:color w:val="auto"/>
              </w:rPr>
              <w:t>(936)</w:t>
            </w:r>
          </w:p>
        </w:tc>
      </w:tr>
      <w:tr>
        <w:trPr>
          <w:trHeight w:val="25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or loss on investments</w:t>
            </w: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10"/>
        </w:trPr>
        <w:tc>
          <w:tcPr>
            <w:tcW w:w="49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deferred tax assets, net</w:t>
            </w: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19,458</w:t>
            </w:r>
          </w:p>
        </w:tc>
        <w:tc>
          <w:tcPr>
            <w:tcW w:w="26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25,647</w:t>
            </w:r>
          </w:p>
        </w:tc>
        <w:tc>
          <w:tcPr>
            <w:tcW w:w="80" w:type="dxa"/>
            <w:vAlign w:val="bottom"/>
            <w:tcBorders>
              <w:top w:val="single" w:sz="8" w:color="CCEEFF"/>
              <w:bottom w:val="single" w:sz="8" w:color="CCEEFF"/>
            </w:tcBorders>
            <w:gridSpan w:val="2"/>
          </w:tcPr>
          <w:p>
            <w:pPr>
              <w:spacing w:after="0"/>
              <w:rPr>
                <w:sz w:val="18"/>
                <w:szCs w:val="18"/>
                <w:color w:val="auto"/>
              </w:rPr>
            </w:pPr>
          </w:p>
        </w:tc>
      </w:tr>
      <w:tr>
        <w:trPr>
          <w:trHeight w:val="236"/>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6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(19,458</w:t>
            </w:r>
          </w:p>
        </w:tc>
        <w:tc>
          <w:tcPr>
            <w:tcW w:w="2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(26,583</w:t>
            </w:r>
          </w:p>
        </w:tc>
        <w:tc>
          <w:tcPr>
            <w:tcW w:w="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r>
      <w:tr>
        <w:trPr>
          <w:trHeight w:val="217"/>
        </w:trPr>
        <w:tc>
          <w:tcPr>
            <w:tcW w:w="496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(936</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r>
      <w:tr>
        <w:trPr>
          <w:trHeight w:val="20"/>
        </w:trPr>
        <w:tc>
          <w:tcPr>
            <w:tcW w:w="4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Realization of deferred tax assets is dependent upon future earnings, if any, the timing and amount of which are uncertain. Accordingly, the net deferred tax assets have been fully offset by a valuation allowance. The valuation allowance decreased by approximately $7.1 and increased by approximately $7.2 during 2017 and 2016, respectively.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December 31, 2017, the Company had net operating loss carryforwards for federal income tax purposes of approximately $62,899 and federal research and development tax credits of approximately $354. Under new tax law, federal NOLs can be carried forward indefinitely for losses incurred after December 31, 2017. Losses incurred prior to the effective date are still subject to the 20 year carryforward. The federal research credits will expire beginning in the year 2026. As of December 31, 2017, the Company had net operating loss carryforwards for state income tax purposes of approximately $59,215 which expire beginning in the year 2017 and state research and development tax credits of approximately $305 which do not expire.</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Improvement to Employee Share – Based Payment Accounting</w:t>
      </w:r>
      <w:r>
        <w:rPr>
          <w:rFonts w:ascii="Arial" w:cs="Arial" w:eastAsia="Arial" w:hAnsi="Arial"/>
          <w:sz w:val="18"/>
          <w:szCs w:val="18"/>
          <w:color w:val="auto"/>
        </w:rPr>
        <w:t>. The new standard contains several amendments that will simplify the accounting for employee share-based payment transactions. The changes in the new standard eliminate the accounting for excess tax benefits to be recognized in additional paid-in capital and tax deficiencies recognized either in income tax provision or in additional paid-in capital. The Company’s deferred tax asset at December 31, 2017 did not include any excess tax benefits from employee stock option exercises, which are a component of the federal and state net operating loss carryforwards and on a go forward basis the excess tax benefits will be recognized as a component of income tax expense.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Utilization of the net operating losses may be subject to substantial annual limitation due to federal and state ownership change limitations provided by the Internal Revenue Code and similar state provisions. Such annual limitations could result in the expiration of the net operating losses ad credits before their utilization.</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June 2006, the FASB issued interpretation ASC 740-10-50, </w:t>
      </w:r>
      <w:r>
        <w:rPr>
          <w:rFonts w:ascii="Arial" w:cs="Arial" w:eastAsia="Arial" w:hAnsi="Arial"/>
          <w:sz w:val="17"/>
          <w:szCs w:val="17"/>
          <w:i w:val="1"/>
          <w:iCs w:val="1"/>
          <w:color w:val="auto"/>
        </w:rPr>
        <w:t>Accounting for Uncertainty in Income Tax</w:t>
      </w:r>
      <w:r>
        <w:rPr>
          <w:rFonts w:ascii="Arial" w:cs="Arial" w:eastAsia="Arial" w:hAnsi="Arial"/>
          <w:sz w:val="17"/>
          <w:szCs w:val="17"/>
          <w:color w:val="auto"/>
        </w:rPr>
        <w:t xml:space="preserve">. This pronouncement clarifies the accounting for uncertainty in income taxes recognized in an enterprise’s financial statements in accordance with ASC 740-10-50,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This interpretation prescribes a recognition threshold and measurement attribute for the financial statement recognition and measurement of a tax position taken or expected to be taken in the tax return. ASC 740 also provides guidance on derecognition of tax benefits, classification on the balance sheet, interest and penalties, accounting in interim periods, disclosure and transaction. The Company adopted ASC 740-10-50 effective January 1, 2009. In accordance with ASC 740-10-50, the Company is classifying interest and penalties as a component of tax expense.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8" w:name="page79"/>
    <w:bookmarkEnd w:id="78"/>
    <w:p>
      <w:pPr>
        <w:jc w:val="both"/>
        <w:spacing w:after="0" w:line="264" w:lineRule="auto"/>
        <w:rPr>
          <w:sz w:val="20"/>
          <w:szCs w:val="20"/>
          <w:color w:val="auto"/>
        </w:rPr>
      </w:pPr>
      <w:r>
        <w:rPr>
          <w:rFonts w:ascii="Arial" w:cs="Arial" w:eastAsia="Arial" w:hAnsi="Arial"/>
          <w:sz w:val="18"/>
          <w:szCs w:val="18"/>
          <w:color w:val="auto"/>
        </w:rPr>
        <w:t>The Company did not have any unrecognized tax benefits as of December 31, 2017 and 2016, all of which is offset by a full valuation allowance. These unrecognized tax benefits, if recognized, would not affect the effective tax rate. There was no interest or penalties accrued at the adoption date and at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change in the UTB balance from January 1, 2017 to December 31, 2017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gridSpan w:val="2"/>
          </w:tcPr>
          <w:p>
            <w:pPr>
              <w:ind w:left="260"/>
              <w:spacing w:after="0"/>
              <w:rPr>
                <w:sz w:val="20"/>
                <w:szCs w:val="20"/>
                <w:color w:val="auto"/>
              </w:rPr>
            </w:pPr>
            <w:r>
              <w:rPr>
                <w:rFonts w:ascii="Arial" w:cs="Arial" w:eastAsia="Arial" w:hAnsi="Arial"/>
                <w:sz w:val="18"/>
                <w:szCs w:val="18"/>
                <w:b w:val="1"/>
                <w:bCs w:val="1"/>
                <w:color w:val="auto"/>
              </w:rPr>
              <w:t>Fed &amp; State Tax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2017</w:t>
            </w:r>
          </w:p>
        </w:tc>
        <w:tc>
          <w:tcPr>
            <w:tcW w:w="1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Additions for tax positions related to current year</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Additions/(reductions) for tax positions related to prior years</w:t>
            </w:r>
          </w:p>
        </w:tc>
        <w:tc>
          <w:tcPr>
            <w:tcW w:w="15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5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unrecognized tax benefits as of December 31, 2017</w:t>
            </w:r>
          </w:p>
        </w:tc>
        <w:tc>
          <w:tcPr>
            <w:tcW w:w="15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27, 2017, the United States Government passed new tax legislation that, among other provisions, will lower the corporate tax rate from 35% to 21%. In addition to applying the new lower corporate tax rate in 2018 and thereafter to any taxable income the Company may have, the legislation affects the way the Company can use and carryforward net operating losses previously accumulated and results in a revaluation of deferred tax assets and liabilities recorded on our consolidated balance sheet. Given the current deferred tax assets are offset by a full valuation allowance, these changes will have no net impact on the consolidated balance sheet. However, when the Company becomes profitable, it will receive a reduced benefit from such deferred tax assets. The effect of the legislation was a reduction in the deferred tax assets and the corresponding valuation allowance of approximately $8,059.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EMPLOYEE SAVINGS PLAN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established an employee savings plan pursuant to Section 401(k) of the Internal Revenue Code, effective January 1, 2014. The plan allows participating employees to deposit into tax deferred investment accounts up to 100% of their salary, subject to annual limits. The Company makes certain matching contributions to the plan in amounts up to 4% of the participants’ annual cash compensation, subject to annual limits. The Company contributed approximately $288 and $248 to the plan during the years ended December 31, 2017 and 2016,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Acquisition Obligation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1, 2014, the Company acquired all of the outstanding membership interests of Pharmacy Creations, LLC (“PC”). The sellers of PC, were entitled to receive certain payments, including contingent consideration upon certain conditions. The estimated fair value of the contingent acquisition obligation was $483 and included in the contingent acquisition obligation in the accompanying balance sheet at December 31, 2015. During May 2016, the Company paid the sellers of PC $100 in cash and 75,000 shares of its common stock with a fair value of $302, as payment in full related to the contingent acquisition obligation. Related to the payment of the contingent acquisition obligation the Company recorded a gain of $81 during the year ended December 31, 2016, which is included in other income, net in the accompanying consolidated statement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2014, the Company entered into a lease agreement for 7,565 square feet of office space that commenced on September 1, 2014. In May 2017, the Company entered into an amended lease agreement, to lease an additional 2,635 square feet (10,200 square feet in total). Monthly rent following the amendment is $29, with a 3% increase in the base rent amount on an annual basis. The lease agreement allows for the monthly rent amount to be abated for two months at various times during the lease agreement and expires on December 31, 2021, and includes an option to extend the lease through December 31, 2027.</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January 2015, the Company entered into a commercial lease agreement, for the lease to Park of approximately 4,500 square feet of laboratory and office space. The monthly rent amount is $10 and includes annual increases of approximately 3%. The current lease term expires on December 31, 2020 and includes 2 options that allow for the lease term to be extended 10 additional years beyond the stated expiration date.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9" w:name="page80"/>
    <w:bookmarkEnd w:id="79"/>
    <w:p>
      <w:pPr>
        <w:jc w:val="both"/>
        <w:spacing w:after="0" w:line="302" w:lineRule="auto"/>
        <w:rPr>
          <w:sz w:val="20"/>
          <w:szCs w:val="20"/>
          <w:color w:val="auto"/>
        </w:rPr>
      </w:pPr>
      <w:r>
        <w:rPr>
          <w:rFonts w:ascii="Arial" w:cs="Arial" w:eastAsia="Arial" w:hAnsi="Arial"/>
          <w:sz w:val="16"/>
          <w:szCs w:val="16"/>
          <w:color w:val="auto"/>
        </w:rPr>
        <w:t>In February 2015, the Company entered into a lease agreement for approximately 8,600 square feet of laboratory, warehouse and office space in Ledgewood, New Jersey. The Company amended the lease agreement in July 2017, to add approximately 7,000 square feet of additional space. The lease term expires on July 31, 2022, and includes 2 options that allow for the lease term to be extended 10 additional years beyond the stated expiration date. The monthly rent amount is $15 and includes annual increases of approximately 3.75%, and the lease allowed for the first five months of rent amounts to be abated.</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Rent expense for the years ended December 31, 2017 and 2016 was $649 and $668, respectively. The following represents future annual minimum lease payments, as of December 31,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60" w:type="dxa"/>
            <w:vAlign w:val="bottom"/>
            <w:gridSpan w:val="2"/>
            <w:shd w:val="clear" w:color="auto" w:fill="CCEEFF"/>
          </w:tcPr>
          <w:p>
            <w:pPr>
              <w:jc w:val="right"/>
              <w:ind w:right="53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697</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697</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697</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571</w:t>
            </w:r>
          </w:p>
        </w:tc>
      </w:tr>
      <w:tr>
        <w:trPr>
          <w:trHeight w:val="250"/>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17"/>
        </w:trPr>
        <w:tc>
          <w:tcPr>
            <w:tcW w:w="3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30"/>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2,773</w:t>
            </w:r>
          </w:p>
        </w:tc>
        <w:tc>
          <w:tcPr>
            <w:tcW w:w="60" w:type="dxa"/>
            <w:vAlign w:val="bottom"/>
          </w:tcPr>
          <w:p>
            <w:pPr>
              <w:spacing w:after="0"/>
              <w:rPr>
                <w:sz w:val="18"/>
                <w:szCs w:val="18"/>
                <w:color w:val="auto"/>
              </w:rPr>
            </w:pPr>
          </w:p>
        </w:tc>
      </w:tr>
      <w:tr>
        <w:trPr>
          <w:trHeight w:val="20"/>
        </w:trPr>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Urigen, et. al, Litigation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October 2014, the Company entered into a license agreement (the “Urigen License”) with Urigen Pharmaceuticals, Inc. (“Urigen”) for a license of certain U.S. patents and patent applications to develop and sell in the U.S. Urigen’s URG101 product, a heparin and alkalinized lidocaine compounded formulation for the prevention or treatment of disorders of the lower urinary tract. The Company, as the plaintiff, filed a civil action in the San Diego Superior Court against Urigen in December 2015, wherein the Company outlined serious concerns regarding material failures and inaccuracies of the representation and warranties provided by Urigen in the Urigen License, which have affected the Company’s ability to realize the expected benefit of the Urigen License. Urigen filed a cross-complaint in April 2016 for breach of contract asserting unpaid royalties totaling $698 and requesting a decree to cancel the Urigen Agreement. The Company filed another complaint in May 2016 with the U.S. District Court for the Southern District of California for declaratory judgment of the invalidity of the core patent filing related to Urigen’s URG 101. In June 2016, the Company received notice from Urigen of their election to terminate the Urigen License. In November 2016, the Company and Urigen entered into a settlement and mutual release agreement whereby all parties agreed to settle all disputes related to the Urigen License and associated litigation matters, the Company agreed to make a one-time payment to Urigen related to past sales of Urigen’s URG101 product and to cease selling the URG101 product over a certain period of time. During the year ended December 31, 2016, the Company recorded a gain related to the settlement with Urigen totaling $551 which is included in other income, net in the accompanying consolidated statement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Corwin, Kammer, et. al. Litigation</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February 2014, Robert Kammer (“Kammer”), the Company’s Chairman of the Board, filed a lawsuit in the San Diego Superior Court against Merlyn Corwin (“Corwin”) to enforce his contract rights related to a settlement agreement the parties had previously entered into involving shares of the Company’s common stock. Corwin filed an answer to the complaint in March 2014 and in June 2014 filed the first amended cross complaint adding the Company as a cross-defendant. In August 2014, Corwin filed a seconded amended cross complaint (the “SACC”) which added Mark Baum (“Baum”), the Company’s Chief Executive Officer, and an individual who previously provided consulting services to the Company as additional cross-defendants. The SACC alleged numerous causes of action including securities fraud, concealment, misrepresentations, inducement of misrepresentations, rescission – undue influence, intentional infliction of emotional distress and declaratory relief of invalidity of the settlement agreement. In September 2014, the Company and Baum filed an anti-strategic lawsuit against public participation motion (“Anti-SLAPP”), arguing all allegations in the SACC were based on protected activity under the litigation privilege. Kammer also filed an Anti-SLAPP motion in October 2014. In November 2014, the Company, Baum and Kammer were granted both Anti-SLAPP motions, with the ruling judge deciding that the parties successfully demonstrated that the allegations arose from activity protected by the litigation privilege. The judge further found that the evidence Corwin relied upon in her arguments failed to demonstrate a probability that she could prevail on any of the claims. The court then ordered Corwin to pay the Company’s and Baum’s attorney fees and the case was dismissed. In May 2015, Corwin filed an appeal and in November 2015, the appellate court reversed the Anti-SLAPP decision of the trial court. In April 2016, the Company and Baum filed a demurrer to the SACC. The court ordered a ruling on the demurrer in June 2016, dismissing most of the causes of action against Baum and the Company, but leaving the claim for fraud by concealment and intentional infliction of emotional distress. In August 2016, all parties related to this litigation entered into a settlement and mutual release agreement, whereby all parties agreed to settle all disputes and release one another of any legal claims. The Company issued 40,000 at-the-money warrants (see Note 13) as part of the settlement consideration. The estimated fair value of the warrant (see Note 13) and associated legal expenses were recorded in general and administrative expenses during the year ended December 31, 2016 in the accompanying consolidated statement of operations.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i w:val="1"/>
          <w:iCs w:val="1"/>
          <w:color w:val="auto"/>
        </w:rPr>
        <w:t>Dr. Sobol Litigation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December 2016, Louis L. Sobol, M.D. (“Sobol”) filed a lawsuit in the U.S. District Court for the Eastern District of Michigan, Southern Division against the Company, asserting claims on behalf of himself and an as-yet-uncertified class of consumers. The claims allege violations under the Telephone Consumer Protection Act, 47 U.S.C. § 227 via the Company’s alleged transmittal of advertisements to its clients via facsimile. The case is currently in the discovery phase, and the Company expects Dr. Sobol to likely request the court to certify the class at some point, possibly during 2018. The Company believes the claims are frivolous and have previously and will continue to dispute all claims against it and intends to vigorously defend these allegations.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Allergan USA Litigation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September 2017, Allergan USA, Inc. (“Allergan”) filed a lawsuit in the U.S. District Court for the Central District of California against the Company, primarily claiming violations under the federal Lanham Act and other state laws. In December, the Company filed counterclaims against Allergan alleging similar violations under the federal Lanham Act and other state laws and the case is currently in the beginning stages of discovery, with a trial date set for April 2019. The Company has previously and continues to dispute all claims against it and intends to vigorously defend these allegations.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Spectrum Litigation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2018, the Company filed a complaint against Spectrum Laboratory Products, Inc., Spectrum Chemical Manufacturing Corp. and Spectrum Pharmacy Products, Inc. (collectively “Spectrum”) in the Los Angeles County Superior Court asserting claims for breach of contract, breach of implied covenant of good faith and fair dealing, violation of California Commercial Code Section 2101 and fraud. The claims stem from prior business dealings between the Company and Spectrum and allege false representation by Spectrum regarding their products, fraudulent labeling and misrepresentations of approved product usages. The complaint has been filed with the Court and to date, Spectrum has provided the Company no response nor filed any answer with the Court. We intend to fully purse any and all legal remedies available to us against Spectrum.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the Company may, from time to time, make claims or take legal actions to assert the Company’s rights, including intellectual property disputes, employment, contractual disputes and other commercial disputes. Any of these claims could subject the Company to litigation. Management believes the outcomes of currently pending claims are not likely to have a material effect on the Company’s consolidated financial position and results of operations.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December 31, 2017, the Company estimated and accrued costs totaling $450 related to expected settlement costs for litigation matters, which is recorded in accounts payable and accrued expenses in the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consolidated balance sheets.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Claims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2016, the Company’s Texas based facility was damaged related to a malfunction with the property’s sprinkler system. The Company commenced restoration efforts and filed claims for damages under its insurance policies, including claims related to business interruption. During the year ended December 31, 2016, the Company recorded the insurance claim of $861 in other income, net in the accompanying consolidated statement of operations which reflected amounts paid by its insurance carrier related to the claims filed for property damage and business interruption.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Klarity License Agreement – Related Party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2017, the Company entered into a license agreement (the “Klarity License Agreement”) with Richard L. Lindstrom, M.D., a member of its Board of Directors. Pursuant to the terms of the Klarity License Agreement, the Company licensed certain intellectual property and related rights from Dr. Lindstrom to develop, formulate, make, sell, and sub-license the topical ophthalmic solution Klarity used to protect and rehabilitate the ocular surface (the “Klarity Product”).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terms of the Klarity License Agreement, the Company is required to make royalty payments to Dr. Lindstrom ranging from 3% to 6% of net sales, dependent upon the final formulation of the Klarity Product sold. In addition, the Company is required to make certain milestone payments to Dr. Lindstrom including: (i) an initial payment of $50 upon execution of the Klarity License Agreement, (ii) a second payment of $50 following the first $50 in net sales of the Klarity Product; and (iii) a final payment of $50 following the first $100 in net sales of the Klarity Product. All of the above referenced milestone payments are payable at the Company’s election in cash or shares of the Company’s restricted common stock. Dr. Lindstrom was paid $50 in cash during the year ended December 31, 2017, and was due an additional $19 at December 31, 2017. Dr. Lindstrom is a member of the Company’s Board of Directors, chairman of its Compensation Committee and a member of its Nomination and Corporate Governance Committee.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Agreements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2017, the Company entered various sales and marketing agreements with certain organizations, to provide exclusive sales and marketing representation services to Imprimis in select geographies in the U.S., in connection with our ophthalmic compounded formulations.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sales and marketing agreements, the Company is required to make commission payments to equal to 10% - 14% of net sales for products above and beyond the initial existing sales amounts. In addition, the Company is required to make periodic milestone payments to certain organizations in shares of the Company’s restricted common stock if net sales in the assigned territory reach certain future levels by the end of their terms, as applicable. No stock based payments were made and $183 were incurred under these agreements for commission expenses during the year ended December 31,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Purchase, License and Related Agreements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has acquired and sourced intellectual property rights related to certain proprietary innovations from certain inventors and related parties (the “Inventors”) through multiple asset purchase agreements, license agreements, strategic agreements and commission agreements. In general, these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consideration for the acquisition of the intellectual property rights, the Company is obligated to make payments to the Inventors based on the completion of certain milestones, generally consisting of: (1) a payment payable within 30 days after the issuance of the first patent in the United States arising from the acquired intellectual property (if any); (2) a payment payable within 30 days after the Company files the first investigational new drug application (“IND”) with the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$108 and $3 were accrued in accounts payable and accrued expenses under these agreements for royalty expenses incurred during the years ended December 31, 2017 and 2016,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INFORMATION AND CONCENTRATIONS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operates the business on the basis of a single reportable segment, which is the business of developing proprietary drug therapies and providing such therapies through sterile and non-sterile pharmaceutical compounding services and drug development. While the Company is described as having certain individual businesses, in general, those business operations often overlap, decisions and resources may be intermingled between components and discrete financial information about the businesses, on an individual basis, is not available. The Company’s chief operating decision-maker is the Chief Executive Officer, who evaluates the Company as a single operating segment.</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categorizes revenues by geographic area based on selling location. All operations are currently located in the United States; therefore, total revenues for 2017 and 2016 are attributed to the United States. All long-lived assets at December 31, 2017 and 2016 are located in the United States.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2" w:name="page83"/>
    <w:bookmarkEnd w:id="82"/>
    <w:p>
      <w:pPr>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No single customer contributed 10% or more of the Company’s total pharmacy sales in the years ended December 31, 2017 and 2016.</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receives its active pharmaceutical ingredients from three main suppliers during the years ended December 31, 2017 and 2016. These suppliers collectively accounted for 68% and 69% of drug and chemical purchases during the years ended December 31, 2017 and 2016,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December 31, 2017 through the filing date of this Annual Report on Form 10-K (the “Annual Report”). Based on its evaluation, nothing other than the events described below needs to be disclosed.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January 2018, the Company sold 33,800 shares of common stock under the Sales Agreement and received net proceeds of $57, after deducting offering related expenses and commissions.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January 2018, the Company issued 25,273 shares of its restricted common stock, with a fair value of $44, in lieu of a cash payment for royalty expenses.</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Restricted stock units granted in February 2015 to Andrew R. Boll, the Company’s Chief Financial Officer, vested, and in February 2018, 30,000 shares the Company’s common stock were issued to Mr. Boll.</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Restricted stock units granted in February 2015 to John P. Saharek, the Company’s Chief Commercial Officer, vested, and in February 2018, 30,000 shares the Company’s common stock were issued to Mr. Saharek.</w:t>
      </w:r>
    </w:p>
    <w:p>
      <w:pPr>
        <w:spacing w:after="0" w:line="170"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In March 2018, the Company issued 35,427 shares of its restricted common stock, with a fair value of $64, in lieu of a cash payment for royalty expenses.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60" w:type="dxa"/>
            <w:vAlign w:val="bottom"/>
            <w:gridSpan w:val="12"/>
          </w:tcPr>
          <w:p>
            <w:pPr>
              <w:ind w:left="60"/>
              <w:spacing w:after="0"/>
              <w:rPr>
                <w:sz w:val="20"/>
                <w:szCs w:val="20"/>
                <w:color w:val="auto"/>
              </w:rPr>
            </w:pPr>
            <w:r>
              <w:rPr>
                <w:rFonts w:ascii="Arial" w:cs="Arial" w:eastAsia="Arial" w:hAnsi="Arial"/>
                <w:sz w:val="18"/>
                <w:szCs w:val="18"/>
                <w:b w:val="1"/>
                <w:bCs w:val="1"/>
                <w:color w:val="auto"/>
              </w:rPr>
              <w:t>EXHIBIT INDEX</w:t>
            </w:r>
          </w:p>
        </w:tc>
      </w:tr>
      <w:tr>
        <w:trPr>
          <w:trHeight w:val="453"/>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40" w:type="dxa"/>
            <w:vAlign w:val="bottom"/>
            <w:gridSpan w:val="17"/>
          </w:tcPr>
          <w:p>
            <w:pPr>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10040" w:type="dxa"/>
            <w:vAlign w:val="bottom"/>
            <w:tcBorders>
              <w:top w:val="single" w:sz="8" w:color="auto"/>
              <w:bottom w:val="single" w:sz="8" w:color="0000EE"/>
            </w:tcBorders>
            <w:gridSpan w:val="17"/>
          </w:tcPr>
          <w:p>
            <w:pPr>
              <w:spacing w:after="0"/>
              <w:rPr>
                <w:rFonts w:ascii="Arial" w:cs="Arial" w:eastAsia="Arial" w:hAnsi="Arial"/>
                <w:sz w:val="18"/>
                <w:szCs w:val="18"/>
                <w:color w:val="0000EE"/>
                <w:w w:val="90"/>
              </w:rPr>
            </w:pPr>
            <w:hyperlink r:id="rId95">
              <w:r>
                <w:rPr>
                  <w:rFonts w:ascii="Arial" w:cs="Arial" w:eastAsia="Arial" w:hAnsi="Arial"/>
                  <w:sz w:val="18"/>
                  <w:szCs w:val="18"/>
                  <w:color w:val="0000EE"/>
                  <w:w w:val="90"/>
                </w:rPr>
                <w:t>Agreement and Plan of Merger, dated as of September 17, 2007, by and among Imprimis Pharmaceuticals, Inc., Transdel Pharmaceuticals</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Holdings, Inc. and Trans-Pharma Acquisition Corp. Incorporation (incorporated herein by reference to Exhibit 2.1 to the Current Report on</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Form 8-K of Imprimis Pharmaceuticals, Inc. filed with the Securities and Exchange Commission on September 21, 2007)</w:t>
              </w:r>
            </w:hyperlink>
          </w:p>
        </w:tc>
        <w:tc>
          <w:tcPr>
            <w:tcW w:w="1280" w:type="dxa"/>
            <w:vAlign w:val="bottom"/>
            <w:gridSpan w:val="2"/>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2.2</w:t>
            </w:r>
          </w:p>
        </w:tc>
        <w:tc>
          <w:tcPr>
            <w:tcW w:w="220" w:type="dxa"/>
            <w:vAlign w:val="bottom"/>
          </w:tcPr>
          <w:p>
            <w:pPr>
              <w:spacing w:after="0"/>
              <w:rPr>
                <w:sz w:val="17"/>
                <w:szCs w:val="17"/>
                <w:color w:val="auto"/>
              </w:rPr>
            </w:pPr>
          </w:p>
        </w:tc>
        <w:tc>
          <w:tcPr>
            <w:tcW w:w="1004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96">
              <w:r>
                <w:rPr>
                  <w:rFonts w:ascii="Arial" w:cs="Arial" w:eastAsia="Arial" w:hAnsi="Arial"/>
                  <w:sz w:val="18"/>
                  <w:szCs w:val="18"/>
                  <w:color w:val="0000EE"/>
                  <w:w w:val="92"/>
                </w:rPr>
                <w:t>Membership Interest Purchase Agreement, dated February 10, 2014, among John Scott Karolchyk and Bernard Covalesky and Imprimis</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96">
              <w:r>
                <w:rPr>
                  <w:rFonts w:ascii="Arial" w:cs="Arial" w:eastAsia="Arial" w:hAnsi="Arial"/>
                  <w:sz w:val="18"/>
                  <w:szCs w:val="18"/>
                  <w:color w:val="0000EE"/>
                  <w:w w:val="93"/>
                </w:rPr>
                <w:t>Pharmaceuticals, Inc. (incorporated herein by reference to Exhibit 2.1 to the Current Report on Form 8-K of Imprimis Pharmaceuticals,</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7"/>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Inc. filed with the Securities and Exchange Commission on February 11, 2014)</w:t>
              </w:r>
            </w:hyperlink>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2.3</w:t>
            </w:r>
          </w:p>
        </w:tc>
        <w:tc>
          <w:tcPr>
            <w:tcW w:w="220" w:type="dxa"/>
            <w:vAlign w:val="bottom"/>
          </w:tcPr>
          <w:p>
            <w:pPr>
              <w:spacing w:after="0"/>
              <w:rPr>
                <w:sz w:val="17"/>
                <w:szCs w:val="17"/>
                <w:color w:val="auto"/>
              </w:rPr>
            </w:pPr>
          </w:p>
        </w:tc>
        <w:tc>
          <w:tcPr>
            <w:tcW w:w="100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Stock Purchase Agreement, dated as of November 26, 2014, by and between Imprimis Pharmaceuticals, Inc., and Dennis Saadeh and Tina</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97">
              <w:r>
                <w:rPr>
                  <w:rFonts w:ascii="Arial" w:cs="Arial" w:eastAsia="Arial" w:hAnsi="Arial"/>
                  <w:sz w:val="18"/>
                  <w:szCs w:val="18"/>
                  <w:color w:val="0000EE"/>
                  <w:w w:val="93"/>
                </w:rPr>
                <w:t>Sulic-Saadeh (incorporated herein by reference to Exhibit 2.1 to the Current Report on Form 8-K of Imprimis Pharmaceuticals, Inc. filed</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with the Securities and Exchange Commission on December 2, 2014)</w:t>
              </w:r>
            </w:hyperlink>
          </w:p>
        </w:tc>
        <w:tc>
          <w:tcPr>
            <w:tcW w:w="5020" w:type="dxa"/>
            <w:vAlign w:val="bottom"/>
            <w:gridSpan w:val="7"/>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2.4</w:t>
            </w:r>
          </w:p>
        </w:tc>
        <w:tc>
          <w:tcPr>
            <w:tcW w:w="220" w:type="dxa"/>
            <w:vAlign w:val="bottom"/>
          </w:tcPr>
          <w:p>
            <w:pPr>
              <w:spacing w:after="0"/>
              <w:rPr>
                <w:sz w:val="17"/>
                <w:szCs w:val="17"/>
                <w:color w:val="auto"/>
              </w:rPr>
            </w:pPr>
          </w:p>
        </w:tc>
        <w:tc>
          <w:tcPr>
            <w:tcW w:w="100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Stock Purchase Agreement, effective as of July 10, 2015, by and between Imprimis Pharmaceuticals, Inc. and Jonathan Nguyen and Julie</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r:id="rId98">
              <w:r>
                <w:rPr>
                  <w:rFonts w:ascii="Arial" w:cs="Arial" w:eastAsia="Arial" w:hAnsi="Arial"/>
                  <w:sz w:val="18"/>
                  <w:szCs w:val="18"/>
                  <w:color w:val="0000EE"/>
                  <w:w w:val="95"/>
                </w:rPr>
                <w:t>Trinh, to acquire all of the outstanding capital stock of JT Pharmacy, Inc. D/B/A Central Allen Pharmacy and completed on August 4,</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2015 (incorporated herein by reference to Exhibit 10.4 to the Quarterly Report on Form 10-Q of Imprimis Pharmaceuticals, Inc. filed with</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98">
              <w:r>
                <w:rPr>
                  <w:rFonts w:ascii="Arial" w:cs="Arial" w:eastAsia="Arial" w:hAnsi="Arial"/>
                  <w:sz w:val="18"/>
                  <w:szCs w:val="18"/>
                  <w:color w:val="0000EE"/>
                  <w:w w:val="89"/>
                </w:rPr>
                <w:t>the Securities and Exchange Commission on August 12, 2015)</w:t>
              </w:r>
            </w:hyperlink>
          </w:p>
        </w:tc>
        <w:tc>
          <w:tcPr>
            <w:tcW w:w="5520" w:type="dxa"/>
            <w:vAlign w:val="bottom"/>
            <w:gridSpan w:val="8"/>
          </w:tcPr>
          <w:p>
            <w:pPr>
              <w:spacing w:after="0"/>
              <w:rPr>
                <w:sz w:val="17"/>
                <w:szCs w:val="17"/>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10040" w:type="dxa"/>
            <w:vAlign w:val="bottom"/>
            <w:gridSpan w:val="17"/>
          </w:tcPr>
          <w:p>
            <w:pPr>
              <w:spacing w:after="0"/>
              <w:rPr>
                <w:sz w:val="20"/>
                <w:szCs w:val="20"/>
                <w:color w:val="auto"/>
              </w:rPr>
            </w:pPr>
            <w:r>
              <w:rPr>
                <w:rFonts w:ascii="Arial" w:cs="Arial" w:eastAsia="Arial" w:hAnsi="Arial"/>
                <w:sz w:val="18"/>
                <w:szCs w:val="18"/>
                <w:color w:val="auto"/>
                <w:w w:val="91"/>
              </w:rPr>
              <w:t>Amended and Restated Certificate of Incorporation, as amended by the Certificate of Amendment to Amended and Restated Certificate of</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17"/>
          </w:tcPr>
          <w:p>
            <w:pPr>
              <w:spacing w:after="0"/>
              <w:rPr>
                <w:sz w:val="20"/>
                <w:szCs w:val="20"/>
                <w:color w:val="auto"/>
              </w:rPr>
            </w:pPr>
            <w:r>
              <w:rPr>
                <w:rFonts w:ascii="Arial" w:cs="Arial" w:eastAsia="Arial" w:hAnsi="Arial"/>
                <w:sz w:val="18"/>
                <w:szCs w:val="18"/>
                <w:color w:val="auto"/>
                <w:w w:val="92"/>
              </w:rPr>
              <w:t>Incorporation effective February 28, 2012, as further amended by the Certificate of Amendment to Amended and Restated Certificate of</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17"/>
          </w:tcPr>
          <w:p>
            <w:pPr>
              <w:spacing w:after="0"/>
              <w:rPr>
                <w:sz w:val="20"/>
                <w:szCs w:val="20"/>
                <w:color w:val="auto"/>
              </w:rPr>
            </w:pPr>
            <w:r>
              <w:rPr>
                <w:rFonts w:ascii="Arial" w:cs="Arial" w:eastAsia="Arial" w:hAnsi="Arial"/>
                <w:sz w:val="18"/>
                <w:szCs w:val="18"/>
                <w:color w:val="auto"/>
                <w:w w:val="90"/>
              </w:rPr>
              <w:t>Incorporation effective February 7, 2013, and as further amended by the Certificate of Amendment to Amended and Restated Certificate of</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gridSpan w:val="17"/>
          </w:tcPr>
          <w:p>
            <w:pPr>
              <w:spacing w:after="0"/>
              <w:rPr>
                <w:sz w:val="20"/>
                <w:szCs w:val="20"/>
                <w:color w:val="auto"/>
              </w:rPr>
            </w:pPr>
            <w:r>
              <w:rPr>
                <w:rFonts w:ascii="Arial" w:cs="Arial" w:eastAsia="Arial" w:hAnsi="Arial"/>
                <w:sz w:val="18"/>
                <w:szCs w:val="18"/>
                <w:color w:val="auto"/>
              </w:rPr>
              <w:t>Incorporation effective September 10, 2014</w:t>
            </w:r>
          </w:p>
        </w:tc>
      </w:tr>
      <w:tr>
        <w:trPr>
          <w:trHeight w:val="190"/>
        </w:trPr>
        <w:tc>
          <w:tcPr>
            <w:tcW w:w="1160" w:type="dxa"/>
            <w:vAlign w:val="bottom"/>
          </w:tcPr>
          <w:p>
            <w:pPr>
              <w:spacing w:after="0" w:line="190"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6"/>
                <w:szCs w:val="16"/>
                <w:color w:val="auto"/>
              </w:rPr>
            </w:pPr>
          </w:p>
        </w:tc>
        <w:tc>
          <w:tcPr>
            <w:tcW w:w="10040" w:type="dxa"/>
            <w:vAlign w:val="bottom"/>
            <w:tcBorders>
              <w:bottom w:val="single" w:sz="8" w:color="0000EE"/>
            </w:tcBorders>
            <w:gridSpan w:val="17"/>
          </w:tcPr>
          <w:p>
            <w:pPr>
              <w:spacing w:after="0" w:line="190"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Amended and Restated Bylaws of Imprimis Pharmaceuticals, Inc. (incorporated herein by reference to Exhibit 3.2 to the Annual Report on</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Form 8-K of Imprimis Pharmaceuticals, Inc. filed with the Securities and Exchange Commission on March 28, 2014)</w:t>
              </w:r>
            </w:hyperlink>
          </w:p>
        </w:tc>
        <w:tc>
          <w:tcPr>
            <w:tcW w:w="1580" w:type="dxa"/>
            <w:vAlign w:val="bottom"/>
            <w:gridSpan w:val="3"/>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3.3</w:t>
            </w:r>
          </w:p>
        </w:tc>
        <w:tc>
          <w:tcPr>
            <w:tcW w:w="220" w:type="dxa"/>
            <w:vAlign w:val="bottom"/>
          </w:tcPr>
          <w:p>
            <w:pPr>
              <w:spacing w:after="0"/>
              <w:rPr>
                <w:sz w:val="17"/>
                <w:szCs w:val="17"/>
                <w:color w:val="auto"/>
              </w:rPr>
            </w:pPr>
          </w:p>
        </w:tc>
        <w:tc>
          <w:tcPr>
            <w:tcW w:w="1004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Certificate of Designation of Series A Convertible Preferred Stock of Imprimis Pharmaceuticals, Inc. (incorporated herein by reference to</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100">
              <w:r>
                <w:rPr>
                  <w:rFonts w:ascii="Arial" w:cs="Arial" w:eastAsia="Arial" w:hAnsi="Arial"/>
                  <w:sz w:val="18"/>
                  <w:szCs w:val="18"/>
                  <w:color w:val="0000EE"/>
                  <w:w w:val="93"/>
                </w:rPr>
                <w:t>Exhibit 3.1 to the Current Report on Form 8-K of Imprimis Pharmaceuticals, Inc. filed with the Securities and Exchange Commission on</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00">
              <w:r>
                <w:rPr>
                  <w:rFonts w:ascii="Arial" w:cs="Arial" w:eastAsia="Arial" w:hAnsi="Arial"/>
                  <w:sz w:val="18"/>
                  <w:szCs w:val="18"/>
                  <w:color w:val="0000EE"/>
                  <w:w w:val="88"/>
                </w:rPr>
                <w:t>December 20, 2011)</w:t>
              </w:r>
            </w:hyperlink>
          </w:p>
        </w:tc>
        <w:tc>
          <w:tcPr>
            <w:tcW w:w="8560" w:type="dxa"/>
            <w:vAlign w:val="bottom"/>
            <w:gridSpan w:val="14"/>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7"/>
                <w:szCs w:val="17"/>
                <w:color w:val="auto"/>
              </w:rPr>
            </w:pPr>
          </w:p>
        </w:tc>
        <w:tc>
          <w:tcPr>
            <w:tcW w:w="1004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r:id="rId101">
              <w:r>
                <w:rPr>
                  <w:rFonts w:ascii="Arial" w:cs="Arial" w:eastAsia="Arial" w:hAnsi="Arial"/>
                  <w:sz w:val="18"/>
                  <w:szCs w:val="18"/>
                  <w:color w:val="0000EE"/>
                  <w:w w:val="95"/>
                </w:rPr>
                <w:t>Form of Directors and Officers Indemnification Agreement (incorporated herein by reference to Exhibit 10.8 to the Current Report on</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Form 8-K of Imprimis Pharmaceuticals, Inc. filed with the Securities and Exchange Commission on September 21, 2007)</w:t>
              </w:r>
            </w:hyperlink>
          </w:p>
        </w:tc>
        <w:tc>
          <w:tcPr>
            <w:tcW w:w="1280" w:type="dxa"/>
            <w:vAlign w:val="bottom"/>
            <w:gridSpan w:val="2"/>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220" w:type="dxa"/>
            <w:vAlign w:val="bottom"/>
          </w:tcPr>
          <w:p>
            <w:pPr>
              <w:spacing w:after="0"/>
              <w:rPr>
                <w:sz w:val="17"/>
                <w:szCs w:val="17"/>
                <w:color w:val="auto"/>
              </w:rPr>
            </w:pPr>
          </w:p>
        </w:tc>
        <w:tc>
          <w:tcPr>
            <w:tcW w:w="100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Imprimis Pharmaceuticals, Inc. Amended and Restated 2007 Stock Incentive and Awards Plan (incorporated herein by reference to Exhibit</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3</w:t>
              </w:r>
              <w:r>
                <w:rPr>
                  <w:rFonts w:ascii="Arial" w:cs="Arial" w:eastAsia="Arial" w:hAnsi="Arial"/>
                  <w:sz w:val="18"/>
                  <w:szCs w:val="18"/>
                  <w:color w:val="0000EE"/>
                  <w:w w:val="92"/>
                </w:rPr>
                <w:t xml:space="preserve"> to the Quarterly Report on Form 10-Q of Imprimis Pharmaceuticals, Inc. filed with the Securities and Exchange Commission on May</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02">
              <w:r>
                <w:rPr>
                  <w:rFonts w:ascii="Arial" w:cs="Arial" w:eastAsia="Arial" w:hAnsi="Arial"/>
                  <w:sz w:val="18"/>
                  <w:szCs w:val="18"/>
                  <w:color w:val="0000EE"/>
                  <w:w w:val="87"/>
                </w:rPr>
                <w:t>8, 2013)</w:t>
              </w:r>
            </w:hyperlink>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220" w:type="dxa"/>
            <w:vAlign w:val="bottom"/>
          </w:tcPr>
          <w:p>
            <w:pPr>
              <w:spacing w:after="0"/>
              <w:rPr>
                <w:sz w:val="17"/>
                <w:szCs w:val="17"/>
                <w:color w:val="auto"/>
              </w:rPr>
            </w:pPr>
          </w:p>
        </w:tc>
        <w:tc>
          <w:tcPr>
            <w:tcW w:w="1004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Amendment No. 1 to Imprimis Pharmaceuticals, Inc. Amended and Restated 2007 Incentive Stock and Awards Plan (incorporated herein</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7"/>
          </w:tcPr>
          <w:p>
            <w:pPr>
              <w:spacing w:after="0" w:line="196" w:lineRule="exact"/>
              <w:rPr>
                <w:rFonts w:ascii="Arial" w:cs="Arial" w:eastAsia="Arial" w:hAnsi="Arial"/>
                <w:sz w:val="18"/>
                <w:szCs w:val="18"/>
                <w:color w:val="0000EE"/>
                <w:w w:val="98"/>
              </w:rPr>
            </w:pPr>
            <w:hyperlink r:id="rId103">
              <w:r>
                <w:rPr>
                  <w:rFonts w:ascii="Arial" w:cs="Arial" w:eastAsia="Arial" w:hAnsi="Arial"/>
                  <w:sz w:val="18"/>
                  <w:szCs w:val="18"/>
                  <w:color w:val="0000EE"/>
                  <w:w w:val="98"/>
                </w:rPr>
                <w:t>by reference to Exhibit 10.3 to the Quarterly Report on Form 10-Q of Imprimis Pharmaceuticals, Inc. filed with the Securities and</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7"/>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Exchange Commission on November 6, 2013)</w:t>
              </w:r>
            </w:hyperlink>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220" w:type="dxa"/>
            <w:vAlign w:val="bottom"/>
          </w:tcPr>
          <w:p>
            <w:pPr>
              <w:spacing w:after="0"/>
              <w:rPr>
                <w:sz w:val="17"/>
                <w:szCs w:val="17"/>
                <w:color w:val="auto"/>
              </w:rPr>
            </w:pPr>
          </w:p>
        </w:tc>
        <w:tc>
          <w:tcPr>
            <w:tcW w:w="10040" w:type="dxa"/>
            <w:vAlign w:val="bottom"/>
            <w:gridSpan w:val="17"/>
          </w:tcPr>
          <w:p>
            <w:pPr>
              <w:spacing w:after="0" w:line="196" w:lineRule="exact"/>
              <w:rPr>
                <w:rFonts w:ascii="Arial" w:cs="Arial" w:eastAsia="Arial" w:hAnsi="Arial"/>
                <w:sz w:val="18"/>
                <w:szCs w:val="18"/>
                <w:color w:val="0000EE"/>
                <w:w w:val="96"/>
              </w:rPr>
            </w:pPr>
            <w:hyperlink r:id="rId104">
              <w:r>
                <w:rPr>
                  <w:rFonts w:ascii="Arial" w:cs="Arial" w:eastAsia="Arial" w:hAnsi="Arial"/>
                  <w:sz w:val="18"/>
                  <w:szCs w:val="18"/>
                  <w:color w:val="0000EE"/>
                  <w:w w:val="96"/>
                </w:rPr>
                <w:t>Form of Incentive Stock Option Agreement (incorporated herein by reference to Exhibit 10.12 to the Current Report on Form 8-K of</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Imprimis Pharmaceuticals, Inc. filed with the Securities and Exchange Commission on September 21, 2007)</w:t>
              </w:r>
            </w:hyperlink>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90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220" w:type="dxa"/>
            <w:vAlign w:val="bottom"/>
          </w:tcPr>
          <w:p>
            <w:pPr>
              <w:spacing w:after="0"/>
              <w:rPr>
                <w:sz w:val="17"/>
                <w:szCs w:val="17"/>
                <w:color w:val="auto"/>
              </w:rPr>
            </w:pPr>
          </w:p>
        </w:tc>
        <w:tc>
          <w:tcPr>
            <w:tcW w:w="1004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Form of Non-Qualified Stock Option Agreement (incorporated herein by reference to Exhibit 10.13 to the Current Report on Form 8-K of</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7"/>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Imprimis Pharmaceuticals, Inc. filed with the Securities and Exchange Commission on September 21, 2007)</w:t>
              </w:r>
            </w:hyperlink>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90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220" w:type="dxa"/>
            <w:vAlign w:val="bottom"/>
          </w:tcPr>
          <w:p>
            <w:pPr>
              <w:spacing w:after="0"/>
              <w:rPr>
                <w:sz w:val="17"/>
                <w:szCs w:val="17"/>
                <w:color w:val="auto"/>
              </w:rPr>
            </w:pPr>
          </w:p>
        </w:tc>
        <w:tc>
          <w:tcPr>
            <w:tcW w:w="1004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r:id="rId106">
              <w:r>
                <w:rPr>
                  <w:rFonts w:ascii="Arial" w:cs="Arial" w:eastAsia="Arial" w:hAnsi="Arial"/>
                  <w:sz w:val="18"/>
                  <w:szCs w:val="18"/>
                  <w:color w:val="0000EE"/>
                  <w:w w:val="96"/>
                </w:rPr>
                <w:t>Form of Restricted Stock Unit Agreement (incorporated herein by reference to Exhibit 10.4 to the Quarterly Report on Form 10-Q of</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Imprimis Pharmaceuticals, Inc. filed with the Securities and Exchange Commission on May 8, 2013)</w:t>
              </w:r>
            </w:hyperlink>
          </w:p>
        </w:tc>
        <w:tc>
          <w:tcPr>
            <w:tcW w:w="2760" w:type="dxa"/>
            <w:vAlign w:val="bottom"/>
            <w:gridSpan w:val="5"/>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220" w:type="dxa"/>
            <w:vAlign w:val="bottom"/>
          </w:tcPr>
          <w:p>
            <w:pPr>
              <w:spacing w:after="0"/>
              <w:rPr>
                <w:sz w:val="17"/>
                <w:szCs w:val="17"/>
                <w:color w:val="auto"/>
              </w:rPr>
            </w:pPr>
          </w:p>
        </w:tc>
        <w:tc>
          <w:tcPr>
            <w:tcW w:w="1004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Form of Warrant dated as of April 25, 2012 (incorporated by reference to Exhibit 10.2 to the Company’s Current Report on 8-K filed with</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07">
              <w:r>
                <w:rPr>
                  <w:rFonts w:ascii="Arial" w:cs="Arial" w:eastAsia="Arial" w:hAnsi="Arial"/>
                  <w:sz w:val="18"/>
                  <w:szCs w:val="18"/>
                  <w:color w:val="0000EE"/>
                  <w:w w:val="90"/>
                </w:rPr>
                <w:t>the Securities and Exchange Commission on April 27, 2012)</w:t>
              </w:r>
            </w:hyperlink>
          </w:p>
        </w:tc>
        <w:tc>
          <w:tcPr>
            <w:tcW w:w="5660" w:type="dxa"/>
            <w:vAlign w:val="bottom"/>
            <w:gridSpan w:val="9"/>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220" w:type="dxa"/>
            <w:vAlign w:val="bottom"/>
          </w:tcPr>
          <w:p>
            <w:pPr>
              <w:spacing w:after="0"/>
              <w:rPr>
                <w:sz w:val="17"/>
                <w:szCs w:val="17"/>
                <w:color w:val="auto"/>
              </w:rPr>
            </w:pPr>
          </w:p>
        </w:tc>
        <w:tc>
          <w:tcPr>
            <w:tcW w:w="10040" w:type="dxa"/>
            <w:vAlign w:val="bottom"/>
            <w:tcBorders>
              <w:bottom w:val="single" w:sz="8" w:color="0000EE"/>
            </w:tcBorders>
            <w:gridSpan w:val="17"/>
          </w:tcPr>
          <w:p>
            <w:pPr>
              <w:spacing w:after="0" w:line="196" w:lineRule="exact"/>
              <w:rPr>
                <w:rFonts w:ascii="Arial" w:cs="Arial" w:eastAsia="Arial" w:hAnsi="Arial"/>
                <w:sz w:val="18"/>
                <w:szCs w:val="18"/>
                <w:color w:val="0000EE"/>
                <w:w w:val="98"/>
              </w:rPr>
            </w:pPr>
            <w:hyperlink r:id="rId108">
              <w:r>
                <w:rPr>
                  <w:rFonts w:ascii="Arial" w:cs="Arial" w:eastAsia="Arial" w:hAnsi="Arial"/>
                  <w:sz w:val="18"/>
                  <w:szCs w:val="18"/>
                  <w:color w:val="0000EE"/>
                  <w:w w:val="98"/>
                </w:rPr>
                <w:t>Stand-alone Restricted Stock Unit Agreement, dated July 18, 2012, granted by Imprimis Pharmaceuticals, Inc. to Mark L. Baum</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108">
              <w:r>
                <w:rPr>
                  <w:rFonts w:ascii="Arial" w:cs="Arial" w:eastAsia="Arial" w:hAnsi="Arial"/>
                  <w:sz w:val="18"/>
                  <w:szCs w:val="18"/>
                  <w:color w:val="0000EE"/>
                  <w:w w:val="93"/>
                </w:rPr>
                <w:t>(incorporated herein by reference to Exhibit 10.40 to the Company’s Registration Statement on Form S-1 (File No. 333-182846) filed on</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7"/>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July 25, 2012)</w:t>
              </w:r>
            </w:hyperlink>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220" w:type="dxa"/>
            <w:vAlign w:val="bottom"/>
          </w:tcPr>
          <w:p>
            <w:pPr>
              <w:spacing w:after="0"/>
              <w:rPr>
                <w:sz w:val="17"/>
                <w:szCs w:val="17"/>
                <w:color w:val="auto"/>
              </w:rPr>
            </w:pPr>
          </w:p>
        </w:tc>
        <w:tc>
          <w:tcPr>
            <w:tcW w:w="1004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r:id="rId109">
              <w:r>
                <w:rPr>
                  <w:rFonts w:ascii="Arial" w:cs="Arial" w:eastAsia="Arial" w:hAnsi="Arial"/>
                  <w:sz w:val="18"/>
                  <w:szCs w:val="18"/>
                  <w:color w:val="0000EE"/>
                  <w:w w:val="95"/>
                </w:rPr>
                <w:t>Stand-alone Restricted Stock Unit Agreement, dated July 18, 2012, granted by Imprimis Pharmaceuticals, Inc. to Robert J. Kammer</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109">
              <w:r>
                <w:rPr>
                  <w:rFonts w:ascii="Arial" w:cs="Arial" w:eastAsia="Arial" w:hAnsi="Arial"/>
                  <w:sz w:val="18"/>
                  <w:szCs w:val="18"/>
                  <w:color w:val="0000EE"/>
                  <w:w w:val="93"/>
                </w:rPr>
                <w:t>(incorporated herein by reference to Exhibit 10.41 to the Company’s Registration Statement on Form S-1 (File No. 333-182846) filed on</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7"/>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July 25, 2012)</w:t>
              </w:r>
            </w:hyperlink>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220" w:type="dxa"/>
            <w:vAlign w:val="bottom"/>
          </w:tcPr>
          <w:p>
            <w:pPr>
              <w:spacing w:after="0"/>
              <w:rPr>
                <w:sz w:val="17"/>
                <w:szCs w:val="17"/>
                <w:color w:val="auto"/>
              </w:rPr>
            </w:pPr>
          </w:p>
        </w:tc>
        <w:tc>
          <w:tcPr>
            <w:tcW w:w="1004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Form of Underwriter’s Warrant (incorporated herein by reference to Exhibit 10.41 to the Company’s Registration Statement on Form S-1</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7"/>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(File No. 333-182846) filed on October 26, 2012)</w:t>
              </w:r>
            </w:hyperlink>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gridSpan w:val="5"/>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220" w:type="dxa"/>
            <w:vAlign w:val="bottom"/>
          </w:tcPr>
          <w:p>
            <w:pPr>
              <w:spacing w:after="0"/>
              <w:rPr>
                <w:sz w:val="17"/>
                <w:szCs w:val="17"/>
                <w:color w:val="auto"/>
              </w:rPr>
            </w:pPr>
          </w:p>
        </w:tc>
        <w:tc>
          <w:tcPr>
            <w:tcW w:w="1004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Amended and Restated Employment Agreement, dated May 2, 2013, by and between Imprimis Pharmaceuticals, Inc. and Mark L. Baum</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r:id="rId111">
              <w:r>
                <w:rPr>
                  <w:rFonts w:ascii="Arial" w:cs="Arial" w:eastAsia="Arial" w:hAnsi="Arial"/>
                  <w:sz w:val="18"/>
                  <w:szCs w:val="18"/>
                  <w:color w:val="0000EE"/>
                  <w:w w:val="94"/>
                </w:rPr>
                <w:t>(incorporated herein by reference to Exhibit 10.2 to the Quarterly Report on Form 10-Q of Imprimis Pharmaceuticals, Inc. filed with the</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Securities and Exchange Commission on May 8, 2013)</w:t>
              </w:r>
            </w:hyperlink>
          </w:p>
        </w:tc>
        <w:tc>
          <w:tcPr>
            <w:tcW w:w="6060" w:type="dxa"/>
            <w:vAlign w:val="bottom"/>
            <w:gridSpan w:val="11"/>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220" w:type="dxa"/>
            <w:vAlign w:val="bottom"/>
          </w:tcPr>
          <w:p>
            <w:pPr>
              <w:spacing w:after="0"/>
              <w:rPr>
                <w:sz w:val="17"/>
                <w:szCs w:val="17"/>
                <w:color w:val="auto"/>
              </w:rPr>
            </w:pPr>
          </w:p>
        </w:tc>
        <w:tc>
          <w:tcPr>
            <w:tcW w:w="10040" w:type="dxa"/>
            <w:vAlign w:val="bottom"/>
            <w:gridSpan w:val="17"/>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Performance Stock Units Agreement, dated May 2, 2013, by and between Imprimis Pharmaceuticals, Inc. and Mark L. Baum</w:t>
              </w:r>
            </w:hyperlink>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60" w:type="dxa"/>
            <w:vAlign w:val="bottom"/>
            <w:gridSpan w:val="7"/>
            <w:shd w:val="clear" w:color="auto" w:fill="0000EE"/>
          </w:tcPr>
          <w:p>
            <w:pPr>
              <w:spacing w:after="0" w:line="20" w:lineRule="exact"/>
              <w:rPr>
                <w:sz w:val="1"/>
                <w:szCs w:val="1"/>
                <w:color w:val="auto"/>
              </w:rPr>
            </w:pPr>
          </w:p>
        </w:tc>
        <w:tc>
          <w:tcPr>
            <w:tcW w:w="576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r:id="rId112">
              <w:r>
                <w:rPr>
                  <w:rFonts w:ascii="Arial" w:cs="Arial" w:eastAsia="Arial" w:hAnsi="Arial"/>
                  <w:sz w:val="18"/>
                  <w:szCs w:val="18"/>
                  <w:color w:val="0000EE"/>
                  <w:w w:val="94"/>
                </w:rPr>
                <w:t>(incorporated herein by reference to Exhibit 10.4 to the Quarterly Report on Form 10-Q of Imprimis Pharmaceuticals, Inc. filed with the</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7"/>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Securities and Exchange Commission on August 14, 2013)</w:t>
              </w:r>
            </w:hyperlink>
          </w:p>
        </w:tc>
      </w:tr>
      <w:tr>
        <w:trPr>
          <w:trHeight w:val="460"/>
        </w:trPr>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186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10.13+</w:t>
            </w:r>
          </w:p>
        </w:tc>
        <w:tc>
          <w:tcPr>
            <w:tcW w:w="10040" w:type="dxa"/>
            <w:vAlign w:val="bottom"/>
            <w:tcBorders>
              <w:bottom w:val="single" w:sz="8" w:color="0000EE"/>
            </w:tcBorders>
            <w:gridSpan w:val="21"/>
          </w:tcPr>
          <w:p>
            <w:pPr>
              <w:spacing w:after="0"/>
              <w:rPr>
                <w:rFonts w:ascii="Arial" w:cs="Arial" w:eastAsia="Arial" w:hAnsi="Arial"/>
                <w:sz w:val="18"/>
                <w:szCs w:val="18"/>
                <w:color w:val="0000EE"/>
                <w:w w:val="95"/>
              </w:rPr>
            </w:pPr>
            <w:hyperlink r:id="rId113">
              <w:r>
                <w:rPr>
                  <w:rFonts w:ascii="Arial" w:cs="Arial" w:eastAsia="Arial" w:hAnsi="Arial"/>
                  <w:sz w:val="18"/>
                  <w:szCs w:val="18"/>
                  <w:color w:val="0000EE"/>
                  <w:w w:val="95"/>
                </w:rPr>
                <w:t>Asset Purchase Agreement, dated June 11, 2013, by and between Imprimis Pharmaceuticals, Inc. and Buderer Drug Company, Inc.</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113">
              <w:r>
                <w:rPr>
                  <w:rFonts w:ascii="Arial" w:cs="Arial" w:eastAsia="Arial" w:hAnsi="Arial"/>
                  <w:sz w:val="18"/>
                  <w:szCs w:val="18"/>
                  <w:color w:val="0000EE"/>
                  <w:w w:val="94"/>
                </w:rPr>
                <w:t>(incorporated herein by reference to Exhibit 10.5 to the Quarterly Report on Form 10-Q of Imprimis Pharmaceuticals, Inc. filed with the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42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Securities and Exchange Commission on August 14, 2013)</w:t>
              </w:r>
            </w:hyperlink>
          </w:p>
        </w:tc>
        <w:tc>
          <w:tcPr>
            <w:tcW w:w="57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r:id="rId114">
              <w:r>
                <w:rPr>
                  <w:rFonts w:ascii="Arial" w:cs="Arial" w:eastAsia="Arial" w:hAnsi="Arial"/>
                  <w:sz w:val="18"/>
                  <w:szCs w:val="18"/>
                  <w:color w:val="0000EE"/>
                  <w:w w:val="93"/>
                </w:rPr>
                <w:t>Asset Purchase Agreement, dated August 8, 2013, by and among Imprimis Pharmaceuticals, Inc., Novel Drug Solutions, LLC and Eye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Care Northwest, PA (incorporated herein by reference to Exhibit 10.1 to the Quarterly Report on Form 10-Q of Imprimis Pharmaceuticals,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gridSpan w:val="21"/>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Inc. filed with the Securities and Exchange Commission on November 6, 2013)</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115">
              <w:r>
                <w:rPr>
                  <w:rFonts w:ascii="Arial" w:cs="Arial" w:eastAsia="Arial" w:hAnsi="Arial"/>
                  <w:sz w:val="18"/>
                  <w:szCs w:val="18"/>
                  <w:color w:val="0000EE"/>
                  <w:w w:val="94"/>
                </w:rPr>
                <w:t>Amendment to Asset Purchase Agreement, dated as of October 14, 2013, by and among Imprimis Pharmaceuticals, Inc., Novel Drug</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115">
              <w:r>
                <w:rPr>
                  <w:rFonts w:ascii="Arial" w:cs="Arial" w:eastAsia="Arial" w:hAnsi="Arial"/>
                  <w:sz w:val="18"/>
                  <w:szCs w:val="18"/>
                  <w:color w:val="0000EE"/>
                  <w:w w:val="94"/>
                </w:rPr>
                <w:t>Solutions, LLC and EyeCare Northwest, PA (incorporated herein by reference to Exhibit 10.2 to the Quarterly Report on Form 10-Q of</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gridSpan w:val="21"/>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Imprimis Pharmaceuticals, Inc. filed with the Securities and Exchange Commission on November 6, 2013)</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r:id="rId116">
              <w:r>
                <w:rPr>
                  <w:rFonts w:ascii="Arial" w:cs="Arial" w:eastAsia="Arial" w:hAnsi="Arial"/>
                  <w:sz w:val="18"/>
                  <w:szCs w:val="18"/>
                  <w:color w:val="0000EE"/>
                  <w:w w:val="95"/>
                </w:rPr>
                <w:t>Asset Purchase Agreement, dated October 8, 2013, by and between Imprimis Pharmaceuticals, Inc. and Novel Drug Solutions, LLC</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116">
              <w:r>
                <w:rPr>
                  <w:rFonts w:ascii="Arial" w:cs="Arial" w:eastAsia="Arial" w:hAnsi="Arial"/>
                  <w:sz w:val="18"/>
                  <w:szCs w:val="18"/>
                  <w:color w:val="0000EE"/>
                  <w:w w:val="94"/>
                </w:rPr>
                <w:t>(incorporated herein by reference to Exhibit 10.27 to the Annual Report on Form 10-K of Imprimis Pharmaceuticals, Inc. filed with the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gridSpan w:val="21"/>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Securities and Exchange Commission on March 28, 2014)</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r:id="rId117">
              <w:r>
                <w:rPr>
                  <w:rFonts w:ascii="Arial" w:cs="Arial" w:eastAsia="Arial" w:hAnsi="Arial"/>
                  <w:sz w:val="18"/>
                  <w:szCs w:val="18"/>
                  <w:color w:val="0000EE"/>
                  <w:w w:val="93"/>
                </w:rPr>
                <w:t>Amendment to Asset Purchase Agreement, dated as of October 21, 2013, by and between Imprimis Pharmaceuticals, Inc. and Buderer</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Drug Company, Inc. (incorporated herein by reference to Exhibit 10.28 to the Annual Report on Form 10-K of Imprimis Pharmaceuticals,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gridSpan w:val="21"/>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Inc. filed with the Securities and Exchange Commission on March 28, 2014)</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Amendment to Asset Purchase Agreement, dated as of October 21, 2013, by and between Imprimis Pharmaceuticals, Inc. and Novel Drug</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r:id="rId118">
              <w:r>
                <w:rPr>
                  <w:rFonts w:ascii="Arial" w:cs="Arial" w:eastAsia="Arial" w:hAnsi="Arial"/>
                  <w:sz w:val="18"/>
                  <w:szCs w:val="18"/>
                  <w:color w:val="0000EE"/>
                  <w:w w:val="95"/>
                </w:rPr>
                <w:t>Solutions, LLC and EyeCare Northwest, PA (incorporated herein by reference to Exhibit 10.29 to the Annual Report on Form 10-K of</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gridSpan w:val="21"/>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Imprimis Pharmaceuticals, Inc. filed with the Securities and Exchange Commission on March 28, 2014)</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119">
              <w:r>
                <w:rPr>
                  <w:rFonts w:ascii="Arial" w:cs="Arial" w:eastAsia="Arial" w:hAnsi="Arial"/>
                  <w:sz w:val="18"/>
                  <w:szCs w:val="18"/>
                  <w:color w:val="0000EE"/>
                  <w:w w:val="94"/>
                </w:rPr>
                <w:t>License Agreement, dated as of October 24, 2014, by and between Imprimis Pharmaceuticals, Inc. and Urigen Pharmaceuticals, Inc.</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6"/>
              </w:rPr>
            </w:pPr>
            <w:hyperlink r:id="rId119">
              <w:r>
                <w:rPr>
                  <w:rFonts w:ascii="Arial" w:cs="Arial" w:eastAsia="Arial" w:hAnsi="Arial"/>
                  <w:sz w:val="18"/>
                  <w:szCs w:val="18"/>
                  <w:color w:val="0000EE"/>
                  <w:w w:val="96"/>
                </w:rPr>
                <w:t>(incorporated herein by reference to Exhibit 10.1 to the Current Report on Form 8-K of Imprimis Pharmaceuticals, Inc. filed with the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43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119">
              <w:r>
                <w:rPr>
                  <w:rFonts w:ascii="Arial" w:cs="Arial" w:eastAsia="Arial" w:hAnsi="Arial"/>
                  <w:sz w:val="18"/>
                  <w:szCs w:val="18"/>
                  <w:color w:val="0000EE"/>
                  <w:w w:val="89"/>
                </w:rPr>
                <w:t>Securities and Exchange Commission on October 29, 2014)</w:t>
              </w:r>
            </w:hyperlink>
          </w:p>
        </w:tc>
        <w:tc>
          <w:tcPr>
            <w:tcW w:w="57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r:id="rId120">
              <w:r>
                <w:rPr>
                  <w:rFonts w:ascii="Arial" w:cs="Arial" w:eastAsia="Arial" w:hAnsi="Arial"/>
                  <w:sz w:val="18"/>
                  <w:szCs w:val="18"/>
                  <w:color w:val="0000EE"/>
                  <w:w w:val="93"/>
                </w:rPr>
                <w:t>Amended and Restated Employment Agreement, effective as of February 1, 2015, by and between Imprimis Pharmaceuticals, Inc. and</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120">
              <w:r>
                <w:rPr>
                  <w:rFonts w:ascii="Arial" w:cs="Arial" w:eastAsia="Arial" w:hAnsi="Arial"/>
                  <w:sz w:val="18"/>
                  <w:szCs w:val="18"/>
                  <w:color w:val="0000EE"/>
                  <w:w w:val="94"/>
                </w:rPr>
                <w:t>Andrew R. Boll (incorporated herein by reference to Exhibit 10.1 to the Current Report on Form 8-K of Imprimis Pharmaceuticals, Inc.</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3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filed with the Securities and Exchange Commission on February 2, 2015)</w:t>
              </w:r>
            </w:hyperlink>
          </w:p>
        </w:tc>
        <w:tc>
          <w:tcPr>
            <w:tcW w:w="47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10.21#</w:t>
            </w: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Performance Stock Units Award Agreement, effective as of February 1, 2015, by and between Imprimis Pharmaceuticals, Inc. and Andrew</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r:id="rId121">
              <w:r>
                <w:rPr>
                  <w:rFonts w:ascii="Arial" w:cs="Arial" w:eastAsia="Arial" w:hAnsi="Arial"/>
                  <w:sz w:val="18"/>
                  <w:szCs w:val="18"/>
                  <w:color w:val="0000EE"/>
                  <w:w w:val="93"/>
                </w:rPr>
                <w:t>R. Boll (incorporated herein by reference to Exhibit 10.2 to the Current Report on Form 8-K of Imprimis Pharmaceuticals, Inc. filed with</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45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21">
              <w:r>
                <w:rPr>
                  <w:rFonts w:ascii="Arial" w:cs="Arial" w:eastAsia="Arial" w:hAnsi="Arial"/>
                  <w:sz w:val="18"/>
                  <w:szCs w:val="18"/>
                  <w:color w:val="0000EE"/>
                  <w:w w:val="89"/>
                </w:rPr>
                <w:t>the Securities and Exchange Commission on February 2, 2015)</w:t>
              </w:r>
            </w:hyperlink>
          </w:p>
        </w:tc>
        <w:tc>
          <w:tcPr>
            <w:tcW w:w="54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8"/>
              </w:rPr>
            </w:pPr>
            <w:hyperlink r:id="rId122">
              <w:r>
                <w:rPr>
                  <w:rFonts w:ascii="Arial" w:cs="Arial" w:eastAsia="Arial" w:hAnsi="Arial"/>
                  <w:sz w:val="18"/>
                  <w:szCs w:val="18"/>
                  <w:color w:val="0000EE"/>
                  <w:w w:val="98"/>
                </w:rPr>
                <w:t>Employment Agreement, effective as of February 1, 2015, by and between Imprimis Pharmaceuticals, Inc. and John P. Saharek</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6"/>
              </w:rPr>
            </w:pPr>
            <w:hyperlink r:id="rId122">
              <w:r>
                <w:rPr>
                  <w:rFonts w:ascii="Arial" w:cs="Arial" w:eastAsia="Arial" w:hAnsi="Arial"/>
                  <w:sz w:val="18"/>
                  <w:szCs w:val="18"/>
                  <w:color w:val="0000EE"/>
                  <w:w w:val="96"/>
                </w:rPr>
                <w:t>(incorporated herein by reference to Exhibit 10.3 to the Current Report on Form 8-K of Imprimis Pharmaceuticals, Inc. filed with the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43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122">
              <w:r>
                <w:rPr>
                  <w:rFonts w:ascii="Arial" w:cs="Arial" w:eastAsia="Arial" w:hAnsi="Arial"/>
                  <w:sz w:val="18"/>
                  <w:szCs w:val="18"/>
                  <w:color w:val="0000EE"/>
                  <w:w w:val="89"/>
                </w:rPr>
                <w:t>Securities and Exchange Commission on February 2, 2015)</w:t>
              </w:r>
            </w:hyperlink>
          </w:p>
        </w:tc>
        <w:tc>
          <w:tcPr>
            <w:tcW w:w="57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10.23</w:t>
            </w: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r:id="rId123">
              <w:r>
                <w:rPr>
                  <w:rFonts w:ascii="Arial" w:cs="Arial" w:eastAsia="Arial" w:hAnsi="Arial"/>
                  <w:sz w:val="18"/>
                  <w:szCs w:val="18"/>
                  <w:color w:val="0000EE"/>
                  <w:w w:val="93"/>
                </w:rPr>
                <w:t>Warrant to Purchase Stock, dated May 11, 2015, issued by Imprimis Pharmaceuticals, Inc. (incorporated herein by reference to Exhibit</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gridSpan w:val="21"/>
          </w:tcPr>
          <w:p>
            <w:pPr>
              <w:spacing w:after="0" w:line="196"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w:t>
              </w:r>
              <w:r>
                <w:rPr>
                  <w:rFonts w:ascii="Arial" w:cs="Arial" w:eastAsia="Arial" w:hAnsi="Arial"/>
                  <w:sz w:val="18"/>
                  <w:szCs w:val="18"/>
                  <w:color w:val="0000EE"/>
                  <w:w w:val="92"/>
                </w:rPr>
                <w:t xml:space="preserve"> to the Current Report on Form 8-Kof Imprimis Pharmaceuticals, Inc. filed with the Securities and Exchange Commission on May 12,</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23">
              <w:r>
                <w:rPr>
                  <w:rFonts w:ascii="Arial" w:cs="Arial" w:eastAsia="Arial" w:hAnsi="Arial"/>
                  <w:sz w:val="18"/>
                  <w:szCs w:val="18"/>
                  <w:color w:val="0000EE"/>
                  <w:w w:val="86"/>
                </w:rPr>
                <w:t>2015)</w:t>
              </w:r>
            </w:hyperlink>
          </w:p>
        </w:tc>
        <w:tc>
          <w:tcPr>
            <w:tcW w:w="11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3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10.24</w:t>
            </w: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r:id="rId124">
              <w:r>
                <w:rPr>
                  <w:rFonts w:ascii="Arial" w:cs="Arial" w:eastAsia="Arial" w:hAnsi="Arial"/>
                  <w:sz w:val="18"/>
                  <w:szCs w:val="18"/>
                  <w:color w:val="0000EE"/>
                  <w:w w:val="93"/>
                </w:rPr>
                <w:t>Loan and Security Agreement, dated May 11, 2015, by and between Imprimis Pharmaceuticals and IMMY Funding LLC. (incorporated</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6"/>
              </w:rPr>
            </w:pPr>
            <w:hyperlink r:id="rId124">
              <w:r>
                <w:rPr>
                  <w:rFonts w:ascii="Arial" w:cs="Arial" w:eastAsia="Arial" w:hAnsi="Arial"/>
                  <w:sz w:val="18"/>
                  <w:szCs w:val="18"/>
                  <w:color w:val="0000EE"/>
                  <w:w w:val="96"/>
                </w:rPr>
                <w:t>herein by reference to Exhibit 10.1 to the Current Report on Form 8-Kof Imprimis Pharmaceuticals, Inc. filed with the Securities and</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gridSpan w:val="21"/>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Exchange Commission on May 12, 2015)</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10.25</w:t>
            </w: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125">
              <w:r>
                <w:rPr>
                  <w:rFonts w:ascii="Arial" w:cs="Arial" w:eastAsia="Arial" w:hAnsi="Arial"/>
                  <w:sz w:val="18"/>
                  <w:szCs w:val="18"/>
                  <w:color w:val="0000EE"/>
                  <w:w w:val="94"/>
                </w:rPr>
                <w:t>License Agreement dated as of August 11, 2015, between Imprimis Pharmaceuticals, Inc. and Advance Dosage Forms, Inc. and John</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125">
              <w:r>
                <w:rPr>
                  <w:rFonts w:ascii="Arial" w:cs="Arial" w:eastAsia="Arial" w:hAnsi="Arial"/>
                  <w:sz w:val="18"/>
                  <w:szCs w:val="18"/>
                  <w:color w:val="0000EE"/>
                  <w:w w:val="94"/>
                </w:rPr>
                <w:t>DiGenova (incorporated herein by reference to Exhibit 10.1 to the Current Report on Form 8-K of Imprimis Pharmaceuticals, Inc. filed</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gridSpan w:val="21"/>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with the Securities and Exchange Commission on August 12, 2015)</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20" w:type="dxa"/>
            <w:vAlign w:val="bottom"/>
            <w:gridSpan w:val="7"/>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10.26</w:t>
            </w: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126">
              <w:r>
                <w:rPr>
                  <w:rFonts w:ascii="Arial" w:cs="Arial" w:eastAsia="Arial" w:hAnsi="Arial"/>
                  <w:sz w:val="18"/>
                  <w:szCs w:val="18"/>
                  <w:color w:val="0000EE"/>
                  <w:w w:val="89"/>
                </w:rPr>
                <w:t>Asset Purchase Agreement originally dated September 23, 2015 and subsequently amended on October 15, 2015, between ImprimisRx PA,</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126">
              <w:r>
                <w:rPr>
                  <w:rFonts w:ascii="Arial" w:cs="Arial" w:eastAsia="Arial" w:hAnsi="Arial"/>
                  <w:sz w:val="18"/>
                  <w:szCs w:val="18"/>
                  <w:color w:val="0000EE"/>
                  <w:w w:val="94"/>
                </w:rPr>
                <w:t>Inc. (“ImprimisRx PA”), a Delaware corporation and a wholly-owned subsidiary of Imprimis Pharmaceuticals, Inc. and Thousand Oaks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126">
              <w:r>
                <w:rPr>
                  <w:rFonts w:ascii="Arial" w:cs="Arial" w:eastAsia="Arial" w:hAnsi="Arial"/>
                  <w:sz w:val="18"/>
                  <w:szCs w:val="18"/>
                  <w:color w:val="0000EE"/>
                  <w:w w:val="94"/>
                </w:rPr>
                <w:t>Holding Company, a Delaware corporation, and its wholly owned subsidiaries Topical Apothecary Group, LLC, a Pennsylvania limited</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r:id="rId126">
              <w:r>
                <w:rPr>
                  <w:rFonts w:ascii="Arial" w:cs="Arial" w:eastAsia="Arial" w:hAnsi="Arial"/>
                  <w:sz w:val="18"/>
                  <w:szCs w:val="18"/>
                  <w:color w:val="0000EE"/>
                  <w:w w:val="93"/>
                </w:rPr>
                <w:t>liability company and owner and operator of TAG Pharmacy, a licensed pharmacy in Folcroft, PA; Aerosol Science Laboratories, Inc., a</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6"/>
              </w:rPr>
            </w:pPr>
            <w:hyperlink r:id="rId126">
              <w:r>
                <w:rPr>
                  <w:rFonts w:ascii="Arial" w:cs="Arial" w:eastAsia="Arial" w:hAnsi="Arial"/>
                  <w:sz w:val="18"/>
                  <w:szCs w:val="18"/>
                  <w:color w:val="0000EE"/>
                  <w:w w:val="96"/>
                </w:rPr>
                <w:t>California corporation and former operator of ASL Pharmacy; SinuTopic, Inc., a Delaware corporation and former operator of Sinus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126">
              <w:r>
                <w:rPr>
                  <w:rFonts w:ascii="Arial" w:cs="Arial" w:eastAsia="Arial" w:hAnsi="Arial"/>
                  <w:sz w:val="18"/>
                  <w:szCs w:val="18"/>
                  <w:color w:val="0000EE"/>
                  <w:w w:val="92"/>
                </w:rPr>
                <w:t>Dynamics Pharmacy; and Mycotoxins, LLC, a California limited liability company (incorporated herein by reference to Exhibit 10.1 to the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r:id="rId126">
              <w:r>
                <w:rPr>
                  <w:rFonts w:ascii="Arial" w:cs="Arial" w:eastAsia="Arial" w:hAnsi="Arial"/>
                  <w:sz w:val="18"/>
                  <w:szCs w:val="18"/>
                  <w:color w:val="0000EE"/>
                  <w:w w:val="93"/>
                </w:rPr>
                <w:t>Quarterly Report on Form 10-Q of Imprimis Pharmaceuticals, Inc. filed with the Securities and Exchange Commission on November 12,</w:t>
              </w:r>
            </w:hyperlink>
          </w:p>
        </w:tc>
        <w:tc>
          <w:tcPr>
            <w:tcW w:w="0" w:type="dxa"/>
            <w:vAlign w:val="bottom"/>
          </w:tcPr>
          <w:p>
            <w:pPr>
              <w:spacing w:after="0"/>
              <w:rPr>
                <w:sz w:val="1"/>
                <w:szCs w:val="1"/>
                <w:color w:val="auto"/>
              </w:rPr>
            </w:pPr>
          </w:p>
        </w:tc>
      </w:tr>
      <w:tr>
        <w:trPr>
          <w:trHeight w:val="196"/>
        </w:trPr>
        <w:tc>
          <w:tcPr>
            <w:tcW w:w="1380" w:type="dxa"/>
            <w:vAlign w:val="bottom"/>
            <w:vMerge w:val="restart"/>
          </w:tcPr>
          <w:p>
            <w:pPr>
              <w:spacing w:after="0"/>
              <w:rPr>
                <w:sz w:val="20"/>
                <w:szCs w:val="20"/>
                <w:color w:val="auto"/>
              </w:rPr>
            </w:pPr>
            <w:r>
              <w:rPr>
                <w:rFonts w:ascii="Arial" w:cs="Arial" w:eastAsia="Arial" w:hAnsi="Arial"/>
                <w:sz w:val="18"/>
                <w:szCs w:val="18"/>
                <w:color w:val="auto"/>
              </w:rPr>
              <w:t>10.27</w:t>
            </w: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26">
              <w:r>
                <w:rPr>
                  <w:rFonts w:ascii="Arial" w:cs="Arial" w:eastAsia="Arial" w:hAnsi="Arial"/>
                  <w:sz w:val="18"/>
                  <w:szCs w:val="18"/>
                  <w:color w:val="0000EE"/>
                  <w:w w:val="86"/>
                </w:rPr>
                <w:t>2015)</w:t>
              </w:r>
            </w:hyperlink>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gridSpan w:val="2"/>
            <w:vMerge w:val="restart"/>
          </w:tcPr>
          <w:p>
            <w:pPr>
              <w:spacing w:after="0"/>
              <w:rPr>
                <w:sz w:val="20"/>
                <w:szCs w:val="20"/>
                <w:color w:val="auto"/>
              </w:rPr>
            </w:pPr>
            <w:r>
              <w:rPr>
                <w:rFonts w:ascii="Arial" w:cs="Arial" w:eastAsia="Arial" w:hAnsi="Arial"/>
                <w:sz w:val="15"/>
                <w:szCs w:val="15"/>
                <w:color w:val="0000EE"/>
                <w:w w:val="88"/>
              </w:rPr>
              <w:t>SM</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380" w:type="dxa"/>
            <w:vAlign w:val="bottom"/>
            <w:vMerge w:val="continue"/>
          </w:tcPr>
          <w:p>
            <w:pPr>
              <w:spacing w:after="0"/>
              <w:rPr>
                <w:sz w:val="14"/>
                <w:szCs w:val="14"/>
                <w:color w:val="auto"/>
              </w:rPr>
            </w:pPr>
          </w:p>
        </w:tc>
        <w:tc>
          <w:tcPr>
            <w:tcW w:w="1980" w:type="dxa"/>
            <w:vAlign w:val="bottom"/>
            <w:gridSpan w:val="3"/>
            <w:vMerge w:val="restart"/>
          </w:tcPr>
          <w:p>
            <w:pPr>
              <w:spacing w:after="0"/>
              <w:rPr>
                <w:rFonts w:ascii="Arial" w:cs="Arial" w:eastAsia="Arial" w:hAnsi="Arial"/>
                <w:sz w:val="18"/>
                <w:szCs w:val="18"/>
                <w:color w:val="0000EE"/>
                <w:w w:val="95"/>
              </w:rPr>
            </w:pPr>
            <w:hyperlink r:id="rId127">
              <w:r>
                <w:rPr>
                  <w:rFonts w:ascii="Arial" w:cs="Arial" w:eastAsia="Arial" w:hAnsi="Arial"/>
                  <w:sz w:val="18"/>
                  <w:szCs w:val="18"/>
                  <w:color w:val="0000EE"/>
                  <w:w w:val="95"/>
                </w:rPr>
                <w:t>Controlled Equity Offering</w:t>
              </w:r>
            </w:hyperlink>
          </w:p>
        </w:tc>
        <w:tc>
          <w:tcPr>
            <w:tcW w:w="220" w:type="dxa"/>
            <w:vAlign w:val="bottom"/>
            <w:tcBorders>
              <w:bottom w:val="single" w:sz="8" w:color="0000EE"/>
            </w:tcBorders>
            <w:gridSpan w:val="2"/>
            <w:vMerge w:val="continue"/>
          </w:tcPr>
          <w:p>
            <w:pPr>
              <w:spacing w:after="0"/>
              <w:rPr>
                <w:sz w:val="14"/>
                <w:szCs w:val="14"/>
                <w:color w:val="auto"/>
              </w:rPr>
            </w:pPr>
          </w:p>
        </w:tc>
        <w:tc>
          <w:tcPr>
            <w:tcW w:w="7840" w:type="dxa"/>
            <w:vAlign w:val="bottom"/>
            <w:gridSpan w:val="16"/>
            <w:vMerge w:val="restart"/>
          </w:tcPr>
          <w:p>
            <w:pPr>
              <w:ind w:left="60"/>
              <w:spacing w:after="0"/>
              <w:rPr>
                <w:rFonts w:ascii="Arial" w:cs="Arial" w:eastAsia="Arial" w:hAnsi="Arial"/>
                <w:sz w:val="18"/>
                <w:szCs w:val="18"/>
                <w:color w:val="0000EE"/>
                <w:w w:val="92"/>
              </w:rPr>
            </w:pPr>
            <w:hyperlink r:id="rId127">
              <w:r>
                <w:rPr>
                  <w:rFonts w:ascii="Arial" w:cs="Arial" w:eastAsia="Arial" w:hAnsi="Arial"/>
                  <w:sz w:val="18"/>
                  <w:szCs w:val="18"/>
                  <w:color w:val="0000EE"/>
                  <w:w w:val="92"/>
                </w:rPr>
                <w:t>Sales Agreement, dated November 27, 2015, by and between Imprimis Pharmaceuticals, Inc. and Cantor</w:t>
              </w:r>
            </w:hyperlink>
          </w:p>
        </w:tc>
        <w:tc>
          <w:tcPr>
            <w:tcW w:w="0" w:type="dxa"/>
            <w:vAlign w:val="bottom"/>
          </w:tcPr>
          <w:p>
            <w:pPr>
              <w:spacing w:after="0"/>
              <w:rPr>
                <w:sz w:val="1"/>
                <w:szCs w:val="1"/>
                <w:color w:val="auto"/>
              </w:rPr>
            </w:pPr>
          </w:p>
        </w:tc>
      </w:tr>
      <w:tr>
        <w:trPr>
          <w:trHeight w:val="48"/>
        </w:trPr>
        <w:tc>
          <w:tcPr>
            <w:tcW w:w="1380" w:type="dxa"/>
            <w:vAlign w:val="bottom"/>
            <w:vMerge w:val="continue"/>
          </w:tcPr>
          <w:p>
            <w:pPr>
              <w:spacing w:after="0"/>
              <w:rPr>
                <w:sz w:val="4"/>
                <w:szCs w:val="4"/>
                <w:color w:val="auto"/>
              </w:rPr>
            </w:pPr>
          </w:p>
        </w:tc>
        <w:tc>
          <w:tcPr>
            <w:tcW w:w="1980" w:type="dxa"/>
            <w:vAlign w:val="bottom"/>
            <w:tcBorders>
              <w:bottom w:val="single" w:sz="8" w:color="0000EE"/>
            </w:tcBorders>
            <w:gridSpan w:val="3"/>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7840" w:type="dxa"/>
            <w:vAlign w:val="bottom"/>
            <w:tcBorders>
              <w:bottom w:val="single" w:sz="8" w:color="0000EE"/>
            </w:tcBorders>
            <w:gridSpan w:val="1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r:id="rId127">
              <w:r>
                <w:rPr>
                  <w:rFonts w:ascii="Arial" w:cs="Arial" w:eastAsia="Arial" w:hAnsi="Arial"/>
                  <w:sz w:val="18"/>
                  <w:szCs w:val="18"/>
                  <w:color w:val="0000EE"/>
                  <w:w w:val="95"/>
                </w:rPr>
                <w:t>Fitzgerald &amp; Co (incorporated herein by reference to Exhibit 1.1 to the Current Report on Form 8-K of Imprimis Pharmaceuticals, Inc.</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5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filed with the Securities and Exchange Commission on November 27, 2015)</w:t>
              </w:r>
            </w:hyperlink>
          </w:p>
        </w:tc>
        <w:tc>
          <w:tcPr>
            <w:tcW w:w="45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10.28</w:t>
            </w: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128">
              <w:r>
                <w:rPr>
                  <w:rFonts w:ascii="Arial" w:cs="Arial" w:eastAsia="Arial" w:hAnsi="Arial"/>
                  <w:sz w:val="18"/>
                  <w:szCs w:val="18"/>
                  <w:color w:val="0000EE"/>
                  <w:w w:val="94"/>
                </w:rPr>
                <w:t>PCCA Commission  Agreement,  dated  December  21,  2015,  by  and  between  Imprimis  Pharmaceuticals,  Inc.  and  Professional</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28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Compounding Centers of America, Inc.</w:t>
              </w:r>
            </w:hyperlink>
          </w:p>
        </w:tc>
        <w:tc>
          <w:tcPr>
            <w:tcW w:w="71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10.29</w:t>
            </w: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8.</w:t>
              </w:r>
              <w:r>
                <w:rPr>
                  <w:rFonts w:ascii="Arial" w:cs="Arial" w:eastAsia="Arial" w:hAnsi="Arial"/>
                  <w:sz w:val="18"/>
                  <w:szCs w:val="18"/>
                  <w:u w:val="single" w:color="auto"/>
                  <w:color w:val="0000EE"/>
                  <w:w w:val="91"/>
                </w:rPr>
                <w:t>00%</w:t>
              </w:r>
              <w:r>
                <w:rPr>
                  <w:rFonts w:ascii="Arial" w:cs="Arial" w:eastAsia="Arial" w:hAnsi="Arial"/>
                  <w:sz w:val="18"/>
                  <w:szCs w:val="18"/>
                  <w:color w:val="0000EE"/>
                  <w:w w:val="91"/>
                </w:rPr>
                <w:t xml:space="preserve"> Convertible Senior Secured Note issued on January 22, 2016 by Imprimis Pharmaceuticals, Inc. (incorporated herein by reference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r:id="rId129">
              <w:r>
                <w:rPr>
                  <w:rFonts w:ascii="Arial" w:cs="Arial" w:eastAsia="Arial" w:hAnsi="Arial"/>
                  <w:sz w:val="18"/>
                  <w:szCs w:val="18"/>
                  <w:color w:val="0000EE"/>
                  <w:w w:val="93"/>
                </w:rPr>
                <w:t>to Exhibit 10.1 to the Current Report on Form 8-K of Imprimis Pharmaceuticals, Inc. filed with the Securities and Exchange Commission</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gridSpan w:val="21"/>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on January 25, 2016)</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754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10.30</w:t>
            </w:r>
          </w:p>
        </w:tc>
        <w:tc>
          <w:tcPr>
            <w:tcW w:w="100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Note Purchase Agreement dated January 22, 2016 between Imprimis Pharmaceuticals, Inc. and IMMY Funding LLC (incorporated herein</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gridSpan w:val="21"/>
          </w:tcPr>
          <w:p>
            <w:pPr>
              <w:spacing w:after="0" w:line="196" w:lineRule="exact"/>
              <w:rPr>
                <w:rFonts w:ascii="Arial" w:cs="Arial" w:eastAsia="Arial" w:hAnsi="Arial"/>
                <w:sz w:val="18"/>
                <w:szCs w:val="18"/>
                <w:color w:val="0000EE"/>
                <w:w w:val="92"/>
              </w:rPr>
            </w:pPr>
            <w:hyperlink r:id="rId130">
              <w:r>
                <w:rPr>
                  <w:rFonts w:ascii="Arial" w:cs="Arial" w:eastAsia="Arial" w:hAnsi="Arial"/>
                  <w:sz w:val="18"/>
                  <w:szCs w:val="18"/>
                  <w:color w:val="0000EE"/>
                  <w:w w:val="92"/>
                </w:rPr>
                <w:t>by reference to Exhibit 10.2 to the Current Report on Form 8-K of Imprimis Pharmaceuticals, Inc. filed with the Securities and Exchange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00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Commission on January 25,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1380" w:type="dxa"/>
            <w:vAlign w:val="bottom"/>
            <w:tcBorders>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110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5" w:right="2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jc w:val="right"/>
              <w:ind w:right="870"/>
              <w:spacing w:after="0"/>
              <w:rPr>
                <w:sz w:val="20"/>
                <w:szCs w:val="20"/>
                <w:color w:val="auto"/>
              </w:rPr>
            </w:pPr>
            <w:r>
              <w:rPr>
                <w:rFonts w:ascii="Arial" w:cs="Arial" w:eastAsia="Arial" w:hAnsi="Arial"/>
                <w:sz w:val="18"/>
                <w:szCs w:val="18"/>
                <w:color w:val="auto"/>
                <w:w w:val="88"/>
              </w:rPr>
              <w:t>10.31</w:t>
            </w:r>
          </w:p>
        </w:tc>
        <w:tc>
          <w:tcPr>
            <w:tcW w:w="10040" w:type="dxa"/>
            <w:vAlign w:val="bottom"/>
            <w:tcBorders>
              <w:bottom w:val="single" w:sz="8" w:color="0000EE"/>
            </w:tcBorders>
            <w:gridSpan w:val="18"/>
          </w:tcPr>
          <w:p>
            <w:pPr>
              <w:spacing w:after="0"/>
              <w:rPr>
                <w:rFonts w:ascii="Arial" w:cs="Arial" w:eastAsia="Arial" w:hAnsi="Arial"/>
                <w:sz w:val="18"/>
                <w:szCs w:val="18"/>
                <w:color w:val="0000EE"/>
                <w:w w:val="91"/>
              </w:rPr>
            </w:pPr>
            <w:hyperlink r:id="rId131">
              <w:r>
                <w:rPr>
                  <w:rFonts w:ascii="Arial" w:cs="Arial" w:eastAsia="Arial" w:hAnsi="Arial"/>
                  <w:sz w:val="18"/>
                  <w:szCs w:val="18"/>
                  <w:color w:val="0000EE"/>
                  <w:w w:val="91"/>
                </w:rPr>
                <w:t>Second Amendment to Loan and Security Agreement dated January 22, 2016 between Imprimis Pharmaceuticals, Inc. and IMMY Funding</w:t>
              </w:r>
            </w:hyperlink>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LLC (incorporated herein by reference to Exhibit 10.3 to the Current Report on Form 8-K of Imprimis Pharmaceuticals, Inc. filed with the</w:t>
              </w:r>
            </w:hyperlink>
          </w:p>
        </w:tc>
      </w:tr>
      <w:tr>
        <w:trPr>
          <w:trHeight w:val="196"/>
        </w:trPr>
        <w:tc>
          <w:tcPr>
            <w:tcW w:w="1380" w:type="dxa"/>
            <w:vAlign w:val="bottom"/>
          </w:tcPr>
          <w:p>
            <w:pPr>
              <w:spacing w:after="0"/>
              <w:rPr>
                <w:sz w:val="17"/>
                <w:szCs w:val="17"/>
                <w:color w:val="auto"/>
              </w:rPr>
            </w:pPr>
          </w:p>
        </w:tc>
        <w:tc>
          <w:tcPr>
            <w:tcW w:w="43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131">
              <w:r>
                <w:rPr>
                  <w:rFonts w:ascii="Arial" w:cs="Arial" w:eastAsia="Arial" w:hAnsi="Arial"/>
                  <w:sz w:val="18"/>
                  <w:szCs w:val="18"/>
                  <w:color w:val="0000EE"/>
                  <w:w w:val="89"/>
                </w:rPr>
                <w:t>Securities and Exchange Commission on January 25, 2016)</w:t>
              </w:r>
            </w:hyperlink>
          </w:p>
        </w:tc>
        <w:tc>
          <w:tcPr>
            <w:tcW w:w="5720" w:type="dxa"/>
            <w:vAlign w:val="bottom"/>
            <w:gridSpan w:val="6"/>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Arial" w:cs="Arial" w:eastAsia="Arial" w:hAnsi="Arial"/>
                <w:sz w:val="18"/>
                <w:szCs w:val="18"/>
                <w:color w:val="auto"/>
                <w:w w:val="88"/>
              </w:rPr>
              <w:t>10.32</w:t>
            </w: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r:id="rId132">
              <w:r>
                <w:rPr>
                  <w:rFonts w:ascii="Arial" w:cs="Arial" w:eastAsia="Arial" w:hAnsi="Arial"/>
                  <w:sz w:val="18"/>
                  <w:szCs w:val="18"/>
                  <w:color w:val="0000EE"/>
                  <w:w w:val="95"/>
                </w:rPr>
                <w:t>Amendment to Warrant to Purchase Stock dated January 22, 2016 between Imprimis Pharmaceuticals, Inc. and IMMY Funding LLC</w:t>
              </w:r>
            </w:hyperlink>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r:id="rId132">
              <w:r>
                <w:rPr>
                  <w:rFonts w:ascii="Arial" w:cs="Arial" w:eastAsia="Arial" w:hAnsi="Arial"/>
                  <w:sz w:val="18"/>
                  <w:szCs w:val="18"/>
                  <w:color w:val="0000EE"/>
                  <w:w w:val="96"/>
                </w:rPr>
                <w:t>(incorporated herein by reference to Exhibit 10.4 to the Current Report on Form 8-K of Imprimis Pharmaceuticals, Inc. filed with the</w:t>
              </w:r>
            </w:hyperlink>
          </w:p>
        </w:tc>
      </w:tr>
      <w:tr>
        <w:trPr>
          <w:trHeight w:val="196"/>
        </w:trPr>
        <w:tc>
          <w:tcPr>
            <w:tcW w:w="1380" w:type="dxa"/>
            <w:vAlign w:val="bottom"/>
          </w:tcPr>
          <w:p>
            <w:pPr>
              <w:spacing w:after="0"/>
              <w:rPr>
                <w:sz w:val="17"/>
                <w:szCs w:val="17"/>
                <w:color w:val="auto"/>
              </w:rPr>
            </w:pPr>
          </w:p>
        </w:tc>
        <w:tc>
          <w:tcPr>
            <w:tcW w:w="43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132">
              <w:r>
                <w:rPr>
                  <w:rFonts w:ascii="Arial" w:cs="Arial" w:eastAsia="Arial" w:hAnsi="Arial"/>
                  <w:sz w:val="18"/>
                  <w:szCs w:val="18"/>
                  <w:color w:val="0000EE"/>
                  <w:w w:val="89"/>
                </w:rPr>
                <w:t>Securities and Exchange Commission on January 25, 2016)</w:t>
              </w:r>
            </w:hyperlink>
          </w:p>
        </w:tc>
        <w:tc>
          <w:tcPr>
            <w:tcW w:w="5740" w:type="dxa"/>
            <w:vAlign w:val="bottom"/>
            <w:gridSpan w:val="7"/>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Arial" w:cs="Arial" w:eastAsia="Arial" w:hAnsi="Arial"/>
                <w:sz w:val="18"/>
                <w:szCs w:val="18"/>
                <w:color w:val="auto"/>
                <w:w w:val="88"/>
              </w:rPr>
              <w:t>10.33</w:t>
            </w: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Underwriting Agreement, dated as of March 11, 2016, by and between Imprimis Pharmaceuticals, Inc. and National Securities Corporation</w:t>
              </w:r>
            </w:hyperlink>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r:id="rId133">
              <w:r>
                <w:rPr>
                  <w:rFonts w:ascii="Arial" w:cs="Arial" w:eastAsia="Arial" w:hAnsi="Arial"/>
                  <w:sz w:val="18"/>
                  <w:szCs w:val="18"/>
                  <w:color w:val="0000EE"/>
                  <w:w w:val="96"/>
                </w:rPr>
                <w:t>(incorporated herein by reference to Exhibit 10.1 to the Current Report on Form 8-K of Imprimis Pharmaceuticals, Inc. filed with the</w:t>
              </w:r>
            </w:hyperlink>
          </w:p>
        </w:tc>
      </w:tr>
      <w:tr>
        <w:trPr>
          <w:trHeight w:val="196"/>
        </w:trPr>
        <w:tc>
          <w:tcPr>
            <w:tcW w:w="1380" w:type="dxa"/>
            <w:vAlign w:val="bottom"/>
          </w:tcPr>
          <w:p>
            <w:pPr>
              <w:spacing w:after="0"/>
              <w:rPr>
                <w:sz w:val="17"/>
                <w:szCs w:val="17"/>
                <w:color w:val="auto"/>
              </w:rPr>
            </w:pPr>
          </w:p>
        </w:tc>
        <w:tc>
          <w:tcPr>
            <w:tcW w:w="42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Securities and Exchange Commission on March 11, 2016)</w:t>
              </w:r>
            </w:hyperlink>
          </w:p>
        </w:tc>
        <w:tc>
          <w:tcPr>
            <w:tcW w:w="5840" w:type="dxa"/>
            <w:vAlign w:val="bottom"/>
            <w:gridSpan w:val="8"/>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Arial" w:cs="Arial" w:eastAsia="Arial" w:hAnsi="Arial"/>
                <w:sz w:val="18"/>
                <w:szCs w:val="18"/>
                <w:color w:val="auto"/>
                <w:w w:val="88"/>
              </w:rPr>
              <w:t>10.34</w:t>
            </w: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Securities Purchase Agreement, dated December 19, 2016, between the Registrant and the Investors party thereto (incorporated herein by</w:t>
              </w:r>
            </w:hyperlink>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r:id="rId134">
              <w:r>
                <w:rPr>
                  <w:rFonts w:ascii="Arial" w:cs="Arial" w:eastAsia="Arial" w:hAnsi="Arial"/>
                  <w:sz w:val="18"/>
                  <w:szCs w:val="18"/>
                  <w:color w:val="0000EE"/>
                  <w:w w:val="95"/>
                </w:rPr>
                <w:t>reference to Exhibit 10.1 to the Current Report on Form 8-K of Imprimis Pharmaceuticals, Inc. filed with the Securities and Exchange</w:t>
              </w:r>
            </w:hyperlink>
          </w:p>
        </w:tc>
      </w:tr>
      <w:tr>
        <w:trPr>
          <w:trHeight w:val="196"/>
        </w:trPr>
        <w:tc>
          <w:tcPr>
            <w:tcW w:w="1380" w:type="dxa"/>
            <w:vAlign w:val="bottom"/>
          </w:tcPr>
          <w:p>
            <w:pPr>
              <w:spacing w:after="0"/>
              <w:rPr>
                <w:sz w:val="17"/>
                <w:szCs w:val="17"/>
                <w:color w:val="auto"/>
              </w:rPr>
            </w:pPr>
          </w:p>
        </w:tc>
        <w:tc>
          <w:tcPr>
            <w:tcW w:w="10040" w:type="dxa"/>
            <w:vAlign w:val="bottom"/>
            <w:gridSpan w:val="18"/>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Commission on December 23, 2016)</w:t>
              </w:r>
            </w:hyperlink>
          </w:p>
        </w:tc>
      </w:tr>
      <w:tr>
        <w:trPr>
          <w:trHeight w:val="20"/>
        </w:trPr>
        <w:tc>
          <w:tcPr>
            <w:tcW w:w="13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Arial" w:cs="Arial" w:eastAsia="Arial" w:hAnsi="Arial"/>
                <w:sz w:val="18"/>
                <w:szCs w:val="18"/>
                <w:color w:val="auto"/>
                <w:w w:val="88"/>
              </w:rPr>
              <w:t>10.35</w:t>
            </w: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Form of Registration Rights Agreement between the Registrant and the Investors party thereto (incorporated herein by reference to Exhibit</w:t>
              </w:r>
            </w:hyperlink>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w w:val="98"/>
              </w:rPr>
            </w:pPr>
            <w:hyperlink r:id="rId135">
              <w:r>
                <w:rPr>
                  <w:rFonts w:ascii="Arial" w:cs="Arial" w:eastAsia="Arial" w:hAnsi="Arial"/>
                  <w:sz w:val="18"/>
                  <w:szCs w:val="18"/>
                  <w:color w:val="0000EE"/>
                  <w:w w:val="98"/>
                </w:rPr>
                <w:t>10.</w:t>
              </w:r>
              <w:r>
                <w:rPr>
                  <w:rFonts w:ascii="Arial" w:cs="Arial" w:eastAsia="Arial" w:hAnsi="Arial"/>
                  <w:sz w:val="18"/>
                  <w:szCs w:val="18"/>
                  <w:u w:val="single" w:color="auto"/>
                  <w:color w:val="0000EE"/>
                  <w:w w:val="98"/>
                </w:rPr>
                <w:t>2</w:t>
              </w:r>
              <w:r>
                <w:rPr>
                  <w:rFonts w:ascii="Arial" w:cs="Arial" w:eastAsia="Arial" w:hAnsi="Arial"/>
                  <w:sz w:val="18"/>
                  <w:szCs w:val="18"/>
                  <w:color w:val="0000EE"/>
                  <w:w w:val="98"/>
                </w:rPr>
                <w:t xml:space="preserve"> to the Current Report on Form 8-K of Imprimis Pharmaceuticals, Inc. filed with the Securities and Exchange Commission on</w:t>
              </w:r>
            </w:hyperlink>
          </w:p>
        </w:tc>
      </w:tr>
      <w:tr>
        <w:trPr>
          <w:trHeight w:val="196"/>
        </w:trPr>
        <w:tc>
          <w:tcPr>
            <w:tcW w:w="1380" w:type="dxa"/>
            <w:vAlign w:val="bottom"/>
          </w:tcPr>
          <w:p>
            <w:pPr>
              <w:spacing w:after="0"/>
              <w:rPr>
                <w:sz w:val="17"/>
                <w:szCs w:val="17"/>
                <w:color w:val="auto"/>
              </w:rPr>
            </w:pPr>
          </w:p>
        </w:tc>
        <w:tc>
          <w:tcPr>
            <w:tcW w:w="14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135">
              <w:r>
                <w:rPr>
                  <w:rFonts w:ascii="Arial" w:cs="Arial" w:eastAsia="Arial" w:hAnsi="Arial"/>
                  <w:sz w:val="18"/>
                  <w:szCs w:val="18"/>
                  <w:color w:val="0000EE"/>
                  <w:w w:val="88"/>
                </w:rPr>
                <w:t>December 23, 2016)</w:t>
              </w:r>
            </w:hyperlink>
          </w:p>
        </w:tc>
        <w:tc>
          <w:tcPr>
            <w:tcW w:w="8560" w:type="dxa"/>
            <w:vAlign w:val="bottom"/>
            <w:gridSpan w:val="16"/>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Arial" w:cs="Arial" w:eastAsia="Arial" w:hAnsi="Arial"/>
                <w:sz w:val="18"/>
                <w:szCs w:val="18"/>
                <w:color w:val="auto"/>
                <w:w w:val="88"/>
              </w:rPr>
              <w:t>10.36</w:t>
            </w: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Form of Investor Warrant (incorporated herein by reference to Exhibit 10.3 to the Current Report on Form 8-K of Imprimis</w:t>
              </w:r>
            </w:hyperlink>
          </w:p>
        </w:tc>
      </w:tr>
      <w:tr>
        <w:trPr>
          <w:trHeight w:val="196"/>
        </w:trPr>
        <w:tc>
          <w:tcPr>
            <w:tcW w:w="1380" w:type="dxa"/>
            <w:vAlign w:val="bottom"/>
          </w:tcPr>
          <w:p>
            <w:pPr>
              <w:spacing w:after="0"/>
              <w:rPr>
                <w:sz w:val="17"/>
                <w:szCs w:val="17"/>
                <w:color w:val="auto"/>
              </w:rPr>
            </w:pPr>
          </w:p>
        </w:tc>
        <w:tc>
          <w:tcPr>
            <w:tcW w:w="10040" w:type="dxa"/>
            <w:vAlign w:val="bottom"/>
            <w:gridSpan w:val="18"/>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Pharmaceuticals, Inc. filed with the Securities and Exchange Commission on December 23, 2016)</w:t>
              </w:r>
            </w:hyperlink>
          </w:p>
        </w:tc>
      </w:tr>
      <w:tr>
        <w:trPr>
          <w:trHeight w:val="20"/>
        </w:trPr>
        <w:tc>
          <w:tcPr>
            <w:tcW w:w="13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Arial" w:cs="Arial" w:eastAsia="Arial" w:hAnsi="Arial"/>
                <w:sz w:val="18"/>
                <w:szCs w:val="18"/>
                <w:color w:val="auto"/>
                <w:w w:val="88"/>
              </w:rPr>
              <w:t>10.37</w:t>
            </w: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r:id="rId137">
              <w:r>
                <w:rPr>
                  <w:rFonts w:ascii="Arial" w:cs="Arial" w:eastAsia="Arial" w:hAnsi="Arial"/>
                  <w:sz w:val="18"/>
                  <w:szCs w:val="18"/>
                  <w:color w:val="0000EE"/>
                  <w:w w:val="94"/>
                </w:rPr>
                <w:t>Third Amendment to Loan and Security Agreement, dated December 27, 2016, by and between Imprimis Pharmaceuticals and IMMY</w:t>
              </w:r>
            </w:hyperlink>
          </w:p>
        </w:tc>
      </w:tr>
      <w:tr>
        <w:trPr>
          <w:trHeight w:val="196"/>
        </w:trPr>
        <w:tc>
          <w:tcPr>
            <w:tcW w:w="1380" w:type="dxa"/>
            <w:vAlign w:val="bottom"/>
          </w:tcPr>
          <w:p>
            <w:pPr>
              <w:spacing w:after="0"/>
              <w:rPr>
                <w:sz w:val="17"/>
                <w:szCs w:val="17"/>
                <w:color w:val="auto"/>
              </w:rPr>
            </w:pPr>
          </w:p>
        </w:tc>
        <w:tc>
          <w:tcPr>
            <w:tcW w:w="10040" w:type="dxa"/>
            <w:vAlign w:val="bottom"/>
            <w:gridSpan w:val="18"/>
          </w:tcPr>
          <w:p>
            <w:pP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Funding LLC (incorporated herein by reference to Exhibit 10.1 to the Current Report on Form 8-K of Imprimis Pharmaceuticals, Inc. filed</w:t>
              </w:r>
            </w:hyperlink>
          </w:p>
        </w:tc>
      </w:tr>
      <w:tr>
        <w:trPr>
          <w:trHeight w:val="196"/>
        </w:trPr>
        <w:tc>
          <w:tcPr>
            <w:tcW w:w="1380" w:type="dxa"/>
            <w:vAlign w:val="bottom"/>
          </w:tcPr>
          <w:p>
            <w:pPr>
              <w:spacing w:after="0"/>
              <w:rPr>
                <w:sz w:val="17"/>
                <w:szCs w:val="17"/>
                <w:color w:val="auto"/>
              </w:rPr>
            </w:pPr>
          </w:p>
        </w:tc>
        <w:tc>
          <w:tcPr>
            <w:tcW w:w="100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with the Securities and Exchange Commission on December 29, 2016)</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Arial" w:cs="Arial" w:eastAsia="Arial" w:hAnsi="Arial"/>
                <w:sz w:val="18"/>
                <w:szCs w:val="18"/>
                <w:color w:val="auto"/>
                <w:w w:val="88"/>
              </w:rPr>
              <w:t>10.38</w:t>
            </w: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r:id="rId138">
              <w:r>
                <w:rPr>
                  <w:rFonts w:ascii="Arial" w:cs="Arial" w:eastAsia="Arial" w:hAnsi="Arial"/>
                  <w:sz w:val="18"/>
                  <w:szCs w:val="18"/>
                  <w:color w:val="0000EE"/>
                  <w:w w:val="94"/>
                </w:rPr>
                <w:t>Exchange and Discharge Agreement, dated December 27, 2016, by and between Imprimis Pharmaceuticals and IMMY Funding LLC</w:t>
              </w:r>
            </w:hyperlink>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r:id="rId138">
              <w:r>
                <w:rPr>
                  <w:rFonts w:ascii="Arial" w:cs="Arial" w:eastAsia="Arial" w:hAnsi="Arial"/>
                  <w:sz w:val="18"/>
                  <w:szCs w:val="18"/>
                  <w:color w:val="0000EE"/>
                  <w:w w:val="96"/>
                </w:rPr>
                <w:t>(incorporated herein by reference to Exhibit 10.2 to the Current Report on Form 8-K of Imprimis Pharmaceuticals, Inc. filed with the</w:t>
              </w:r>
            </w:hyperlink>
          </w:p>
        </w:tc>
      </w:tr>
      <w:tr>
        <w:trPr>
          <w:trHeight w:val="196"/>
        </w:trPr>
        <w:tc>
          <w:tcPr>
            <w:tcW w:w="1380" w:type="dxa"/>
            <w:vAlign w:val="bottom"/>
          </w:tcPr>
          <w:p>
            <w:pPr>
              <w:spacing w:after="0"/>
              <w:rPr>
                <w:sz w:val="17"/>
                <w:szCs w:val="17"/>
                <w:color w:val="auto"/>
              </w:rPr>
            </w:pPr>
          </w:p>
        </w:tc>
        <w:tc>
          <w:tcPr>
            <w:tcW w:w="448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38">
              <w:r>
                <w:rPr>
                  <w:rFonts w:ascii="Arial" w:cs="Arial" w:eastAsia="Arial" w:hAnsi="Arial"/>
                  <w:sz w:val="18"/>
                  <w:szCs w:val="18"/>
                  <w:color w:val="0000EE"/>
                  <w:w w:val="89"/>
                </w:rPr>
                <w:t>Securities and Exchange Commission on December 29, 2016)</w:t>
              </w:r>
            </w:hyperlink>
          </w:p>
        </w:tc>
        <w:tc>
          <w:tcPr>
            <w:tcW w:w="5560" w:type="dxa"/>
            <w:vAlign w:val="bottom"/>
            <w:gridSpan w:val="5"/>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Arial" w:cs="Arial" w:eastAsia="Arial" w:hAnsi="Arial"/>
                <w:sz w:val="18"/>
                <w:szCs w:val="18"/>
                <w:color w:val="auto"/>
                <w:w w:val="88"/>
              </w:rPr>
              <w:t>10.39</w:t>
            </w:r>
          </w:p>
        </w:tc>
        <w:tc>
          <w:tcPr>
            <w:tcW w:w="10040" w:type="dxa"/>
            <w:vAlign w:val="bottom"/>
            <w:gridSpan w:val="18"/>
          </w:tcPr>
          <w:p>
            <w:pPr>
              <w:spacing w:after="0" w:line="196" w:lineRule="exact"/>
              <w:rPr>
                <w:rFonts w:ascii="Arial" w:cs="Arial" w:eastAsia="Arial" w:hAnsi="Arial"/>
                <w:sz w:val="18"/>
                <w:szCs w:val="18"/>
                <w:color w:val="0000EE"/>
                <w:w w:val="94"/>
              </w:rPr>
            </w:pPr>
            <w:hyperlink r:id="rId139">
              <w:r>
                <w:rPr>
                  <w:rFonts w:ascii="Arial" w:cs="Arial" w:eastAsia="Arial" w:hAnsi="Arial"/>
                  <w:sz w:val="18"/>
                  <w:szCs w:val="18"/>
                  <w:color w:val="0000EE"/>
                  <w:w w:val="94"/>
                </w:rPr>
                <w:t>Warrant Amendment to Purchase Stock, dated December 27, 2016, issued by Imprimis Pharmaceuticals, Inc. (incorporated herein by</w:t>
              </w:r>
            </w:hyperlink>
          </w:p>
        </w:tc>
      </w:tr>
      <w:tr>
        <w:trPr>
          <w:trHeight w:val="20"/>
        </w:trPr>
        <w:tc>
          <w:tcPr>
            <w:tcW w:w="13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46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r:id="rId139">
              <w:r>
                <w:rPr>
                  <w:rFonts w:ascii="Arial" w:cs="Arial" w:eastAsia="Arial" w:hAnsi="Arial"/>
                  <w:sz w:val="18"/>
                  <w:szCs w:val="18"/>
                  <w:color w:val="0000EE"/>
                  <w:w w:val="95"/>
                </w:rPr>
                <w:t>reference to Exhibit 10.3 to the Current Report on Form 8-K of Imprimis Pharmaceuticals, Inc. filed with the Securities and Exchange</w:t>
              </w:r>
            </w:hyperlink>
          </w:p>
        </w:tc>
      </w:tr>
      <w:tr>
        <w:trPr>
          <w:trHeight w:val="196"/>
        </w:trPr>
        <w:tc>
          <w:tcPr>
            <w:tcW w:w="1380" w:type="dxa"/>
            <w:vAlign w:val="bottom"/>
          </w:tcPr>
          <w:p>
            <w:pPr>
              <w:spacing w:after="0"/>
              <w:rPr>
                <w:sz w:val="17"/>
                <w:szCs w:val="17"/>
                <w:color w:val="auto"/>
              </w:rPr>
            </w:pPr>
          </w:p>
        </w:tc>
        <w:tc>
          <w:tcPr>
            <w:tcW w:w="10040" w:type="dxa"/>
            <w:vAlign w:val="bottom"/>
            <w:gridSpan w:val="18"/>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Commission on December 29, 2016)</w:t>
              </w:r>
            </w:hyperlink>
          </w:p>
        </w:tc>
      </w:tr>
      <w:tr>
        <w:trPr>
          <w:trHeight w:val="20"/>
        </w:trPr>
        <w:tc>
          <w:tcPr>
            <w:tcW w:w="13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Arial" w:cs="Arial" w:eastAsia="Arial" w:hAnsi="Arial"/>
                <w:sz w:val="18"/>
                <w:szCs w:val="18"/>
                <w:color w:val="auto"/>
                <w:w w:val="88"/>
              </w:rPr>
              <w:t>10.40</w:t>
            </w: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Stock Purchase Agreement dated February 13, 2017 between Imprimis Pharmaceuticals, Inc. and Livernois &amp; London, LLC (incorporated</w:t>
              </w:r>
            </w:hyperlink>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r:id="rId140">
              <w:r>
                <w:rPr>
                  <w:rFonts w:ascii="Arial" w:cs="Arial" w:eastAsia="Arial" w:hAnsi="Arial"/>
                  <w:sz w:val="18"/>
                  <w:szCs w:val="18"/>
                  <w:color w:val="0000EE"/>
                  <w:w w:val="95"/>
                </w:rPr>
                <w:t>herein by reference to Exhibit 10.1 to the Current Report on Form 8-K of Imprimis Pharmaceuticals, Inc. filed with the Securities and</w:t>
              </w:r>
            </w:hyperlink>
          </w:p>
        </w:tc>
      </w:tr>
      <w:tr>
        <w:trPr>
          <w:trHeight w:val="196"/>
        </w:trPr>
        <w:tc>
          <w:tcPr>
            <w:tcW w:w="1380" w:type="dxa"/>
            <w:vAlign w:val="bottom"/>
          </w:tcPr>
          <w:p>
            <w:pPr>
              <w:spacing w:after="0"/>
              <w:rPr>
                <w:sz w:val="17"/>
                <w:szCs w:val="17"/>
                <w:color w:val="auto"/>
              </w:rPr>
            </w:pPr>
          </w:p>
        </w:tc>
        <w:tc>
          <w:tcPr>
            <w:tcW w:w="10040" w:type="dxa"/>
            <w:vAlign w:val="bottom"/>
            <w:gridSpan w:val="18"/>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Exchange Commission on February 17, 2017)</w:t>
              </w:r>
            </w:hyperlink>
          </w:p>
        </w:tc>
      </w:tr>
      <w:tr>
        <w:trPr>
          <w:trHeight w:val="20"/>
        </w:trPr>
        <w:tc>
          <w:tcPr>
            <w:tcW w:w="13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Arial" w:cs="Arial" w:eastAsia="Arial" w:hAnsi="Arial"/>
                <w:sz w:val="18"/>
                <w:szCs w:val="18"/>
                <w:color w:val="auto"/>
                <w:w w:val="88"/>
              </w:rPr>
              <w:t>10.41</w:t>
            </w: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141">
              <w:r>
                <w:rPr>
                  <w:rFonts w:ascii="Arial" w:cs="Arial" w:eastAsia="Arial" w:hAnsi="Arial"/>
                  <w:sz w:val="18"/>
                  <w:szCs w:val="18"/>
                  <w:color w:val="0000EE"/>
                  <w:w w:val="89"/>
                </w:rPr>
                <w:t>Form of Securities Purchase Agreement, dated March 21, 2017, between the Registrant and the Investors (incorporated herein by reference</w:t>
              </w:r>
            </w:hyperlink>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r:id="rId141">
              <w:r>
                <w:rPr>
                  <w:rFonts w:ascii="Arial" w:cs="Arial" w:eastAsia="Arial" w:hAnsi="Arial"/>
                  <w:sz w:val="18"/>
                  <w:szCs w:val="18"/>
                  <w:color w:val="0000EE"/>
                  <w:w w:val="93"/>
                </w:rPr>
                <w:t>to Exhibit 10.1 to the Current Report on Form 8-K of Imprimis Pharmaceuticals, Inc. filed with the Securities and Exchange Commission</w:t>
              </w:r>
            </w:hyperlink>
          </w:p>
        </w:tc>
      </w:tr>
      <w:tr>
        <w:trPr>
          <w:trHeight w:val="196"/>
        </w:trPr>
        <w:tc>
          <w:tcPr>
            <w:tcW w:w="1380" w:type="dxa"/>
            <w:vAlign w:val="bottom"/>
          </w:tcPr>
          <w:p>
            <w:pPr>
              <w:spacing w:after="0"/>
              <w:rPr>
                <w:sz w:val="17"/>
                <w:szCs w:val="17"/>
                <w:color w:val="auto"/>
              </w:rPr>
            </w:pPr>
          </w:p>
        </w:tc>
        <w:tc>
          <w:tcPr>
            <w:tcW w:w="144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on March 22, 2017)</w:t>
              </w:r>
            </w:hyperlink>
          </w:p>
        </w:tc>
        <w:tc>
          <w:tcPr>
            <w:tcW w:w="8600" w:type="dxa"/>
            <w:vAlign w:val="bottom"/>
            <w:gridSpan w:val="17"/>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Arial" w:cs="Arial" w:eastAsia="Arial" w:hAnsi="Arial"/>
                <w:sz w:val="18"/>
                <w:szCs w:val="18"/>
                <w:color w:val="auto"/>
                <w:w w:val="88"/>
              </w:rPr>
              <w:t>10.42</w:t>
            </w: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License Agreement dated April 1, 2017 between Imprimis Pharmaceuticals, Inc. and Richard L. Lindstrom, M.D. (incorporated herein by</w:t>
              </w:r>
            </w:hyperlink>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r:id="rId142">
              <w:r>
                <w:rPr>
                  <w:rFonts w:ascii="Arial" w:cs="Arial" w:eastAsia="Arial" w:hAnsi="Arial"/>
                  <w:sz w:val="18"/>
                  <w:szCs w:val="18"/>
                  <w:color w:val="0000EE"/>
                  <w:w w:val="95"/>
                </w:rPr>
                <w:t>reference to Exhibit 10.1 to the Current Report on Form 8-K of Imprimis Pharmaceuticals, Inc. filed with the Securities and Exchange</w:t>
              </w:r>
            </w:hyperlink>
          </w:p>
        </w:tc>
      </w:tr>
      <w:tr>
        <w:trPr>
          <w:trHeight w:val="196"/>
        </w:trPr>
        <w:tc>
          <w:tcPr>
            <w:tcW w:w="1380" w:type="dxa"/>
            <w:vAlign w:val="bottom"/>
          </w:tcPr>
          <w:p>
            <w:pPr>
              <w:spacing w:after="0"/>
              <w:rPr>
                <w:sz w:val="17"/>
                <w:szCs w:val="17"/>
                <w:color w:val="auto"/>
              </w:rPr>
            </w:pPr>
          </w:p>
        </w:tc>
        <w:tc>
          <w:tcPr>
            <w:tcW w:w="22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r:id="rId142">
              <w:r>
                <w:rPr>
                  <w:rFonts w:ascii="Arial" w:cs="Arial" w:eastAsia="Arial" w:hAnsi="Arial"/>
                  <w:sz w:val="18"/>
                  <w:szCs w:val="18"/>
                  <w:color w:val="0000EE"/>
                  <w:w w:val="93"/>
                </w:rPr>
                <w:t>Commission on April 6, 2017)</w:t>
              </w:r>
            </w:hyperlink>
          </w:p>
        </w:tc>
        <w:tc>
          <w:tcPr>
            <w:tcW w:w="7820" w:type="dxa"/>
            <w:vAlign w:val="bottom"/>
            <w:gridSpan w:val="15"/>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Arial" w:cs="Arial" w:eastAsia="Arial" w:hAnsi="Arial"/>
                <w:sz w:val="18"/>
                <w:szCs w:val="18"/>
                <w:color w:val="auto"/>
                <w:w w:val="88"/>
              </w:rPr>
              <w:t>10.43</w:t>
            </w: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r:id="rId143">
              <w:r>
                <w:rPr>
                  <w:rFonts w:ascii="Arial" w:cs="Arial" w:eastAsia="Arial" w:hAnsi="Arial"/>
                  <w:sz w:val="18"/>
                  <w:szCs w:val="18"/>
                  <w:color w:val="0000EE"/>
                  <w:w w:val="94"/>
                </w:rPr>
                <w:t>Strategic Sales &amp; Marketing Agreement dated April 13, 2017 between Imprimis Pharmaceuticals, Inc. and Cameron Ehlen Group, Inc.</w:t>
              </w:r>
            </w:hyperlink>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r:id="rId143">
              <w:r>
                <w:rPr>
                  <w:rFonts w:ascii="Arial" w:cs="Arial" w:eastAsia="Arial" w:hAnsi="Arial"/>
                  <w:sz w:val="18"/>
                  <w:szCs w:val="18"/>
                  <w:color w:val="0000EE"/>
                  <w:w w:val="96"/>
                </w:rPr>
                <w:t>(incorporated herein by reference to Exhibit 10.1 to the Current Report on Form 8-K of Imprimis Pharmaceuticals, Inc. filed with the</w:t>
              </w:r>
            </w:hyperlink>
          </w:p>
        </w:tc>
      </w:tr>
      <w:tr>
        <w:trPr>
          <w:trHeight w:val="196"/>
        </w:trPr>
        <w:tc>
          <w:tcPr>
            <w:tcW w:w="1380" w:type="dxa"/>
            <w:vAlign w:val="bottom"/>
          </w:tcPr>
          <w:p>
            <w:pPr>
              <w:spacing w:after="0"/>
              <w:rPr>
                <w:sz w:val="17"/>
                <w:szCs w:val="17"/>
                <w:color w:val="auto"/>
              </w:rPr>
            </w:pPr>
          </w:p>
        </w:tc>
        <w:tc>
          <w:tcPr>
            <w:tcW w:w="41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Securities and Exchange Commission on April 17, 2017)</w:t>
              </w:r>
            </w:hyperlink>
          </w:p>
        </w:tc>
        <w:tc>
          <w:tcPr>
            <w:tcW w:w="5920" w:type="dxa"/>
            <w:vAlign w:val="bottom"/>
            <w:gridSpan w:val="9"/>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Arial" w:cs="Arial" w:eastAsia="Arial" w:hAnsi="Arial"/>
                <w:sz w:val="18"/>
                <w:szCs w:val="18"/>
                <w:color w:val="auto"/>
                <w:w w:val="88"/>
              </w:rPr>
              <w:t>10.44</w:t>
            </w: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w w:val="97"/>
              </w:rPr>
            </w:pPr>
            <w:hyperlink r:id="rId144">
              <w:r>
                <w:rPr>
                  <w:rFonts w:ascii="Arial" w:cs="Arial" w:eastAsia="Arial" w:hAnsi="Arial"/>
                  <w:sz w:val="18"/>
                  <w:szCs w:val="18"/>
                  <w:color w:val="0000EE"/>
                  <w:w w:val="97"/>
                </w:rPr>
                <w:t>Strategic Sales &amp; Marketing Agreement dated April 28, 2017 between Imprimis Pharmaceuticals, Inc. and SightLife Surgical, Inc.</w:t>
              </w:r>
            </w:hyperlink>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r:id="rId144">
              <w:r>
                <w:rPr>
                  <w:rFonts w:ascii="Arial" w:cs="Arial" w:eastAsia="Arial" w:hAnsi="Arial"/>
                  <w:sz w:val="18"/>
                  <w:szCs w:val="18"/>
                  <w:color w:val="0000EE"/>
                  <w:w w:val="96"/>
                </w:rPr>
                <w:t>(incorporated herein by reference to Exhibit 10.1 to the Current Report on Form 8-K of Imprimis Pharmaceuticals, Inc. filed with the</w:t>
              </w:r>
            </w:hyperlink>
          </w:p>
        </w:tc>
      </w:tr>
      <w:tr>
        <w:trPr>
          <w:trHeight w:val="196"/>
        </w:trPr>
        <w:tc>
          <w:tcPr>
            <w:tcW w:w="1380" w:type="dxa"/>
            <w:vAlign w:val="bottom"/>
          </w:tcPr>
          <w:p>
            <w:pPr>
              <w:spacing w:after="0"/>
              <w:rPr>
                <w:sz w:val="17"/>
                <w:szCs w:val="17"/>
                <w:color w:val="auto"/>
              </w:rPr>
            </w:pPr>
          </w:p>
        </w:tc>
        <w:tc>
          <w:tcPr>
            <w:tcW w:w="39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44">
              <w:r>
                <w:rPr>
                  <w:rFonts w:ascii="Arial" w:cs="Arial" w:eastAsia="Arial" w:hAnsi="Arial"/>
                  <w:sz w:val="18"/>
                  <w:szCs w:val="18"/>
                  <w:color w:val="0000EE"/>
                  <w:w w:val="90"/>
                </w:rPr>
                <w:t>Securities and Exchange Commission on May 2, 2017)</w:t>
              </w:r>
            </w:hyperlink>
          </w:p>
        </w:tc>
        <w:tc>
          <w:tcPr>
            <w:tcW w:w="6060" w:type="dxa"/>
            <w:vAlign w:val="bottom"/>
            <w:gridSpan w:val="11"/>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Arial" w:cs="Arial" w:eastAsia="Arial" w:hAnsi="Arial"/>
                <w:sz w:val="18"/>
                <w:szCs w:val="18"/>
                <w:color w:val="auto"/>
                <w:w w:val="88"/>
              </w:rPr>
              <w:t>10.45</w:t>
            </w: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r:id="rId145">
              <w:r>
                <w:rPr>
                  <w:rFonts w:ascii="Arial" w:cs="Arial" w:eastAsia="Arial" w:hAnsi="Arial"/>
                  <w:sz w:val="18"/>
                  <w:szCs w:val="18"/>
                  <w:color w:val="0000EE"/>
                  <w:w w:val="93"/>
                </w:rPr>
                <w:t>Consulting Agreement dated May 1, 2017 between Eton Pharmaceuticals, Inc. and Mark L. Baum (incorporated herein by reference to</w:t>
              </w:r>
            </w:hyperlink>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45">
              <w:r>
                <w:rPr>
                  <w:rFonts w:ascii="Arial" w:cs="Arial" w:eastAsia="Arial" w:hAnsi="Arial"/>
                  <w:sz w:val="18"/>
                  <w:szCs w:val="18"/>
                  <w:color w:val="0000EE"/>
                  <w:w w:val="92"/>
                </w:rPr>
                <w:t>Exhibit 10.8 to the Quarterly Report on Form 10-Q of Imprimis Pharmaceuticals, Inc. filed with the Securities and Exchange Commission</w:t>
              </w:r>
            </w:hyperlink>
          </w:p>
        </w:tc>
      </w:tr>
      <w:tr>
        <w:trPr>
          <w:trHeight w:val="196"/>
        </w:trPr>
        <w:tc>
          <w:tcPr>
            <w:tcW w:w="1380" w:type="dxa"/>
            <w:vAlign w:val="bottom"/>
          </w:tcPr>
          <w:p>
            <w:pPr>
              <w:spacing w:after="0"/>
              <w:rPr>
                <w:sz w:val="17"/>
                <w:szCs w:val="17"/>
                <w:color w:val="auto"/>
              </w:rPr>
            </w:pPr>
          </w:p>
        </w:tc>
        <w:tc>
          <w:tcPr>
            <w:tcW w:w="10040" w:type="dxa"/>
            <w:vAlign w:val="bottom"/>
            <w:gridSpan w:val="18"/>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on August 10, 2017)</w:t>
              </w:r>
            </w:hyperlink>
          </w:p>
        </w:tc>
      </w:tr>
      <w:tr>
        <w:trPr>
          <w:trHeight w:val="20"/>
        </w:trPr>
        <w:tc>
          <w:tcPr>
            <w:tcW w:w="138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Arial" w:cs="Arial" w:eastAsia="Arial" w:hAnsi="Arial"/>
                <w:sz w:val="18"/>
                <w:szCs w:val="18"/>
                <w:color w:val="auto"/>
                <w:w w:val="88"/>
              </w:rPr>
              <w:t>10.46</w:t>
            </w: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r:id="rId146">
              <w:r>
                <w:rPr>
                  <w:rFonts w:ascii="Arial" w:cs="Arial" w:eastAsia="Arial" w:hAnsi="Arial"/>
                  <w:sz w:val="18"/>
                  <w:szCs w:val="18"/>
                  <w:color w:val="0000EE"/>
                  <w:w w:val="93"/>
                </w:rPr>
                <w:t>Consulting Agreement dated May 1, 2017 between Eton Pharmaceuticals, Inc. and Andrew R. Boll (incorporated herein by reference to</w:t>
              </w:r>
            </w:hyperlink>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46">
              <w:r>
                <w:rPr>
                  <w:rFonts w:ascii="Arial" w:cs="Arial" w:eastAsia="Arial" w:hAnsi="Arial"/>
                  <w:sz w:val="18"/>
                  <w:szCs w:val="18"/>
                  <w:color w:val="0000EE"/>
                  <w:w w:val="92"/>
                </w:rPr>
                <w:t>Exhibit 10.9 to the Quarterly Report on Form 10-Q of Imprimis Pharmaceuticals, Inc. filed with the Securities and Exchange Commission</w:t>
              </w:r>
            </w:hyperlink>
          </w:p>
        </w:tc>
      </w:tr>
      <w:tr>
        <w:trPr>
          <w:trHeight w:val="196"/>
        </w:trPr>
        <w:tc>
          <w:tcPr>
            <w:tcW w:w="1380" w:type="dxa"/>
            <w:vAlign w:val="bottom"/>
          </w:tcPr>
          <w:p>
            <w:pPr>
              <w:spacing w:after="0"/>
              <w:rPr>
                <w:sz w:val="17"/>
                <w:szCs w:val="17"/>
                <w:color w:val="auto"/>
              </w:rPr>
            </w:pPr>
          </w:p>
        </w:tc>
        <w:tc>
          <w:tcPr>
            <w:tcW w:w="10040" w:type="dxa"/>
            <w:vAlign w:val="bottom"/>
            <w:gridSpan w:val="18"/>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on August 10, 2017)</w:t>
              </w:r>
            </w:hyperlink>
          </w:p>
        </w:tc>
      </w:tr>
      <w:tr>
        <w:trPr>
          <w:trHeight w:val="20"/>
        </w:trPr>
        <w:tc>
          <w:tcPr>
            <w:tcW w:w="138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Arial" w:cs="Arial" w:eastAsia="Arial" w:hAnsi="Arial"/>
                <w:sz w:val="18"/>
                <w:szCs w:val="18"/>
                <w:color w:val="auto"/>
                <w:w w:val="88"/>
              </w:rPr>
              <w:t>10.47</w:t>
            </w:r>
          </w:p>
        </w:tc>
        <w:tc>
          <w:tcPr>
            <w:tcW w:w="10040" w:type="dxa"/>
            <w:vAlign w:val="bottom"/>
            <w:gridSpan w:val="18"/>
          </w:tcPr>
          <w:p>
            <w:pPr>
              <w:spacing w:after="0" w:line="196" w:lineRule="exact"/>
              <w:rPr>
                <w:rFonts w:ascii="Arial" w:cs="Arial" w:eastAsia="Arial" w:hAnsi="Arial"/>
                <w:sz w:val="18"/>
                <w:szCs w:val="18"/>
                <w:color w:val="0000EE"/>
                <w:w w:val="92"/>
              </w:rPr>
            </w:pPr>
            <w:hyperlink r:id="rId147">
              <w:r>
                <w:rPr>
                  <w:rFonts w:ascii="Arial" w:cs="Arial" w:eastAsia="Arial" w:hAnsi="Arial"/>
                  <w:sz w:val="18"/>
                  <w:szCs w:val="18"/>
                  <w:color w:val="0000EE"/>
                  <w:w w:val="92"/>
                </w:rPr>
                <w:t>Consulting Agreement dated May 1, 2017 between Eton Pharmaceuticals, Inc. and John P. Saharek (incorporated herein by reference to</w:t>
              </w:r>
            </w:hyperlink>
          </w:p>
        </w:tc>
      </w:tr>
      <w:tr>
        <w:trPr>
          <w:trHeight w:val="20"/>
        </w:trPr>
        <w:tc>
          <w:tcPr>
            <w:tcW w:w="1380" w:type="dxa"/>
            <w:vAlign w:val="bottom"/>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46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Exhibit 10.10 to the Quarterly Report on Form 10-Q of Imprimis Pharmaceuticals, Inc. filed with the Securities and Exchange</w:t>
              </w:r>
            </w:hyperlink>
          </w:p>
        </w:tc>
      </w:tr>
      <w:tr>
        <w:trPr>
          <w:trHeight w:val="196"/>
        </w:trPr>
        <w:tc>
          <w:tcPr>
            <w:tcW w:w="1380" w:type="dxa"/>
            <w:vAlign w:val="bottom"/>
          </w:tcPr>
          <w:p>
            <w:pPr>
              <w:spacing w:after="0"/>
              <w:rPr>
                <w:sz w:val="17"/>
                <w:szCs w:val="17"/>
                <w:color w:val="auto"/>
              </w:rPr>
            </w:pPr>
          </w:p>
        </w:tc>
        <w:tc>
          <w:tcPr>
            <w:tcW w:w="10040" w:type="dxa"/>
            <w:vAlign w:val="bottom"/>
            <w:gridSpan w:val="18"/>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Commission on August 10, 2017)</w:t>
              </w:r>
            </w:hyperlink>
          </w:p>
        </w:tc>
      </w:tr>
      <w:tr>
        <w:trPr>
          <w:trHeight w:val="20"/>
        </w:trPr>
        <w:tc>
          <w:tcPr>
            <w:tcW w:w="1380" w:type="dxa"/>
            <w:vAlign w:val="bottom"/>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Arial" w:cs="Arial" w:eastAsia="Arial" w:hAnsi="Arial"/>
                <w:sz w:val="18"/>
                <w:szCs w:val="18"/>
                <w:color w:val="auto"/>
                <w:w w:val="88"/>
              </w:rPr>
              <w:t>10.48</w:t>
            </w: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Consulting Agreement dated May 1, 2017 between Eton Pharmaceuticals, Inc. and Clayton Edwards (incorporated herein by reference to</w:t>
              </w:r>
            </w:hyperlink>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Exhibit 10.11 to the Quarterly Report on Form 10-Q of Imprimis Pharmaceuticals, Inc. filed with the Securities and Exchange Commission</w:t>
              </w:r>
            </w:hyperlink>
          </w:p>
        </w:tc>
      </w:tr>
      <w:tr>
        <w:trPr>
          <w:trHeight w:val="196"/>
        </w:trPr>
        <w:tc>
          <w:tcPr>
            <w:tcW w:w="1380" w:type="dxa"/>
            <w:vAlign w:val="bottom"/>
          </w:tcPr>
          <w:p>
            <w:pPr>
              <w:spacing w:after="0"/>
              <w:rPr>
                <w:sz w:val="17"/>
                <w:szCs w:val="17"/>
                <w:color w:val="auto"/>
              </w:rPr>
            </w:pPr>
          </w:p>
        </w:tc>
        <w:tc>
          <w:tcPr>
            <w:tcW w:w="10040" w:type="dxa"/>
            <w:vAlign w:val="bottom"/>
            <w:gridSpan w:val="18"/>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on August 10, 2017)</w:t>
              </w:r>
            </w:hyperlink>
          </w:p>
        </w:tc>
      </w:tr>
      <w:tr>
        <w:trPr>
          <w:trHeight w:val="20"/>
        </w:trPr>
        <w:tc>
          <w:tcPr>
            <w:tcW w:w="138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Arial" w:cs="Arial" w:eastAsia="Arial" w:hAnsi="Arial"/>
                <w:sz w:val="18"/>
                <w:szCs w:val="18"/>
                <w:color w:val="auto"/>
                <w:w w:val="88"/>
              </w:rPr>
              <w:t>10.49</w:t>
            </w: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Asset Purchase and License Agreement (pentoxifylline) dated May 9, 2017 between Imprimis Pharmaceuticals, Inc. and Eton</w:t>
              </w:r>
            </w:hyperlink>
          </w:p>
        </w:tc>
      </w:tr>
      <w:tr>
        <w:trPr>
          <w:trHeight w:val="196"/>
        </w:trPr>
        <w:tc>
          <w:tcPr>
            <w:tcW w:w="1380" w:type="dxa"/>
            <w:vAlign w:val="bottom"/>
          </w:tcPr>
          <w:p>
            <w:pPr>
              <w:spacing w:after="0"/>
              <w:rPr>
                <w:sz w:val="17"/>
                <w:szCs w:val="17"/>
                <w:color w:val="auto"/>
              </w:rPr>
            </w:pPr>
          </w:p>
        </w:tc>
        <w:tc>
          <w:tcPr>
            <w:tcW w:w="10040" w:type="dxa"/>
            <w:vAlign w:val="bottom"/>
            <w:gridSpan w:val="18"/>
          </w:tcPr>
          <w:p>
            <w:pPr>
              <w:spacing w:after="0" w:line="196" w:lineRule="exact"/>
              <w:rPr>
                <w:rFonts w:ascii="Arial" w:cs="Arial" w:eastAsia="Arial" w:hAnsi="Arial"/>
                <w:sz w:val="18"/>
                <w:szCs w:val="18"/>
                <w:color w:val="0000EE"/>
                <w:w w:val="92"/>
              </w:rPr>
            </w:pPr>
            <w:hyperlink r:id="rId149">
              <w:r>
                <w:rPr>
                  <w:rFonts w:ascii="Arial" w:cs="Arial" w:eastAsia="Arial" w:hAnsi="Arial"/>
                  <w:sz w:val="18"/>
                  <w:szCs w:val="18"/>
                  <w:color w:val="0000EE"/>
                  <w:w w:val="92"/>
                </w:rPr>
                <w:t>Pharmaceuticals, Inc. (incorporated herein by reference to Exhibit 10.1 to the Current Report on Form 8-K of Imprimis Pharmaceuticals,</w:t>
              </w:r>
            </w:hyperlink>
          </w:p>
        </w:tc>
      </w:tr>
      <w:tr>
        <w:trPr>
          <w:trHeight w:val="196"/>
        </w:trPr>
        <w:tc>
          <w:tcPr>
            <w:tcW w:w="1380" w:type="dxa"/>
            <w:vAlign w:val="bottom"/>
          </w:tcPr>
          <w:p>
            <w:pPr>
              <w:spacing w:after="0"/>
              <w:rPr>
                <w:sz w:val="17"/>
                <w:szCs w:val="17"/>
                <w:color w:val="auto"/>
              </w:rPr>
            </w:pPr>
          </w:p>
        </w:tc>
        <w:tc>
          <w:tcPr>
            <w:tcW w:w="100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Inc. filed with the Securities and Exchange Commission on June 20, 2017)</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060" w:type="dxa"/>
            <w:vAlign w:val="bottom"/>
            <w:gridSpan w:val="8"/>
            <w:shd w:val="clear" w:color="auto" w:fill="0000EE"/>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Arial" w:cs="Arial" w:eastAsia="Arial" w:hAnsi="Arial"/>
                <w:sz w:val="18"/>
                <w:szCs w:val="18"/>
                <w:color w:val="auto"/>
                <w:w w:val="88"/>
              </w:rPr>
              <w:t>10.50</w:t>
            </w: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Asset Purchase and License Agreement (corticotropin) dated May 9, 2017 between Imprimis Pharmaceuticals, Inc. and Eton</w:t>
              </w:r>
            </w:hyperlink>
          </w:p>
        </w:tc>
      </w:tr>
      <w:tr>
        <w:trPr>
          <w:trHeight w:val="196"/>
        </w:trPr>
        <w:tc>
          <w:tcPr>
            <w:tcW w:w="1380" w:type="dxa"/>
            <w:vAlign w:val="bottom"/>
          </w:tcPr>
          <w:p>
            <w:pPr>
              <w:spacing w:after="0"/>
              <w:rPr>
                <w:sz w:val="17"/>
                <w:szCs w:val="17"/>
                <w:color w:val="auto"/>
              </w:rPr>
            </w:pPr>
          </w:p>
        </w:tc>
        <w:tc>
          <w:tcPr>
            <w:tcW w:w="10040" w:type="dxa"/>
            <w:vAlign w:val="bottom"/>
            <w:gridSpan w:val="18"/>
          </w:tcPr>
          <w:p>
            <w:pPr>
              <w:spacing w:after="0" w:line="196" w:lineRule="exact"/>
              <w:rPr>
                <w:rFonts w:ascii="Arial" w:cs="Arial" w:eastAsia="Arial" w:hAnsi="Arial"/>
                <w:sz w:val="18"/>
                <w:szCs w:val="18"/>
                <w:color w:val="0000EE"/>
                <w:w w:val="92"/>
              </w:rPr>
            </w:pPr>
            <w:hyperlink r:id="rId150">
              <w:r>
                <w:rPr>
                  <w:rFonts w:ascii="Arial" w:cs="Arial" w:eastAsia="Arial" w:hAnsi="Arial"/>
                  <w:sz w:val="18"/>
                  <w:szCs w:val="18"/>
                  <w:color w:val="0000EE"/>
                  <w:w w:val="92"/>
                </w:rPr>
                <w:t>Pharmaceuticals, Inc. (incorporated herein by reference to Exhibit 10.2 to the Current Report on Form 8-K of Imprimis Pharmaceuticals,</w:t>
              </w:r>
            </w:hyperlink>
          </w:p>
        </w:tc>
      </w:tr>
      <w:tr>
        <w:trPr>
          <w:trHeight w:val="196"/>
        </w:trPr>
        <w:tc>
          <w:tcPr>
            <w:tcW w:w="1380" w:type="dxa"/>
            <w:vAlign w:val="bottom"/>
          </w:tcPr>
          <w:p>
            <w:pPr>
              <w:spacing w:after="0"/>
              <w:rPr>
                <w:sz w:val="17"/>
                <w:szCs w:val="17"/>
                <w:color w:val="auto"/>
              </w:rPr>
            </w:pPr>
          </w:p>
        </w:tc>
        <w:tc>
          <w:tcPr>
            <w:tcW w:w="100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Inc. filed with the Securities and Exchange Commission on June 20, 2017)</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060" w:type="dxa"/>
            <w:vAlign w:val="bottom"/>
            <w:gridSpan w:val="8"/>
            <w:shd w:val="clear" w:color="auto" w:fill="0000EE"/>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Arial" w:cs="Arial" w:eastAsia="Arial" w:hAnsi="Arial"/>
                <w:sz w:val="18"/>
                <w:szCs w:val="18"/>
                <w:color w:val="auto"/>
                <w:w w:val="88"/>
              </w:rPr>
              <w:t>10.51</w:t>
            </w:r>
          </w:p>
        </w:tc>
        <w:tc>
          <w:tcPr>
            <w:tcW w:w="10040" w:type="dxa"/>
            <w:vAlign w:val="bottom"/>
            <w:gridSpan w:val="18"/>
          </w:tcPr>
          <w:p>
            <w:pPr>
              <w:spacing w:after="0" w:line="196" w:lineRule="exact"/>
              <w:rPr>
                <w:rFonts w:ascii="Arial" w:cs="Arial" w:eastAsia="Arial" w:hAnsi="Arial"/>
                <w:sz w:val="18"/>
                <w:szCs w:val="18"/>
                <w:color w:val="0000EE"/>
                <w:w w:val="99"/>
              </w:rPr>
            </w:pPr>
            <w:hyperlink r:id="rId151">
              <w:r>
                <w:rPr>
                  <w:rFonts w:ascii="Arial" w:cs="Arial" w:eastAsia="Arial" w:hAnsi="Arial"/>
                  <w:sz w:val="18"/>
                  <w:szCs w:val="18"/>
                  <w:color w:val="0000EE"/>
                  <w:w w:val="99"/>
                </w:rPr>
                <w:t>Management Services Agreement dated May 1, 2017 between Imprimis Pharmaceuticals, Inc. and Eton Pharmaceuticals, Inc.</w:t>
              </w:r>
            </w:hyperlink>
          </w:p>
        </w:tc>
      </w:tr>
      <w:tr>
        <w:trPr>
          <w:trHeight w:val="20"/>
        </w:trPr>
        <w:tc>
          <w:tcPr>
            <w:tcW w:w="1380" w:type="dxa"/>
            <w:vAlign w:val="bottom"/>
          </w:tcPr>
          <w:p>
            <w:pPr>
              <w:spacing w:after="0" w:line="20" w:lineRule="exact"/>
              <w:rPr>
                <w:sz w:val="1"/>
                <w:szCs w:val="1"/>
                <w:color w:val="auto"/>
              </w:rPr>
            </w:pPr>
          </w:p>
        </w:tc>
        <w:tc>
          <w:tcPr>
            <w:tcW w:w="4060" w:type="dxa"/>
            <w:vAlign w:val="bottom"/>
            <w:gridSpan w:val="8"/>
            <w:shd w:val="clear" w:color="auto" w:fill="0000EE"/>
          </w:tcPr>
          <w:p>
            <w:pPr>
              <w:spacing w:after="0" w:line="20" w:lineRule="exact"/>
              <w:rPr>
                <w:sz w:val="1"/>
                <w:szCs w:val="1"/>
                <w:color w:val="auto"/>
              </w:rPr>
            </w:pPr>
          </w:p>
        </w:tc>
        <w:tc>
          <w:tcPr>
            <w:tcW w:w="596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r:id="rId151">
              <w:r>
                <w:rPr>
                  <w:rFonts w:ascii="Arial" w:cs="Arial" w:eastAsia="Arial" w:hAnsi="Arial"/>
                  <w:sz w:val="18"/>
                  <w:szCs w:val="18"/>
                  <w:color w:val="0000EE"/>
                  <w:w w:val="96"/>
                </w:rPr>
                <w:t>(incorporated herein by reference to Exhibit 10.4 to the Current Report on Form 8-K of Imprimis Pharmaceuticals, Inc. filed with the</w:t>
              </w:r>
            </w:hyperlink>
          </w:p>
        </w:tc>
      </w:tr>
      <w:tr>
        <w:trPr>
          <w:trHeight w:val="196"/>
        </w:trPr>
        <w:tc>
          <w:tcPr>
            <w:tcW w:w="1380" w:type="dxa"/>
            <w:vAlign w:val="bottom"/>
          </w:tcPr>
          <w:p>
            <w:pPr>
              <w:spacing w:after="0"/>
              <w:rPr>
                <w:sz w:val="17"/>
                <w:szCs w:val="17"/>
                <w:color w:val="auto"/>
              </w:rPr>
            </w:pPr>
          </w:p>
        </w:tc>
        <w:tc>
          <w:tcPr>
            <w:tcW w:w="10040" w:type="dxa"/>
            <w:vAlign w:val="bottom"/>
            <w:gridSpan w:val="18"/>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Securities and Exchange Commission on June 20, 2017)</w:t>
              </w:r>
            </w:hyperlink>
          </w:p>
        </w:tc>
      </w:tr>
      <w:tr>
        <w:trPr>
          <w:trHeight w:val="460"/>
        </w:trPr>
        <w:tc>
          <w:tcPr>
            <w:tcW w:w="1380" w:type="dxa"/>
            <w:vAlign w:val="bottom"/>
            <w:tcBorders>
              <w:bottom w:val="single" w:sz="8" w:color="auto"/>
            </w:tcBorders>
          </w:tcPr>
          <w:p>
            <w:pPr>
              <w:spacing w:after="0"/>
              <w:rPr>
                <w:sz w:val="24"/>
                <w:szCs w:val="24"/>
                <w:color w:val="auto"/>
              </w:rPr>
            </w:pPr>
          </w:p>
        </w:tc>
        <w:tc>
          <w:tcPr>
            <w:tcW w:w="14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75" w:right="2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10.52</w:t>
            </w:r>
          </w:p>
        </w:tc>
        <w:tc>
          <w:tcPr>
            <w:tcW w:w="10040" w:type="dxa"/>
            <w:vAlign w:val="bottom"/>
            <w:gridSpan w:val="10"/>
          </w:tcPr>
          <w:p>
            <w:pPr>
              <w:spacing w:after="0"/>
              <w:rPr>
                <w:sz w:val="20"/>
                <w:szCs w:val="20"/>
                <w:color w:val="auto"/>
              </w:rPr>
            </w:pPr>
            <w:r>
              <w:rPr>
                <w:rFonts w:ascii="Arial" w:cs="Arial" w:eastAsia="Arial" w:hAnsi="Arial"/>
                <w:sz w:val="18"/>
                <w:szCs w:val="18"/>
                <w:color w:val="auto"/>
                <w:w w:val="92"/>
              </w:rPr>
              <w:t>Asset Purchase Agreement dated June 27, 2017 between Imprimis Pharmaceuticals, Inc. and its wholly owned subsidiaries ImprimisRx</w:t>
            </w:r>
          </w:p>
        </w:tc>
      </w:tr>
      <w:tr>
        <w:trPr>
          <w:trHeight w:val="216"/>
        </w:trPr>
        <w:tc>
          <w:tcPr>
            <w:tcW w:w="1380" w:type="dxa"/>
            <w:vAlign w:val="bottom"/>
          </w:tcPr>
          <w:p>
            <w:pPr>
              <w:spacing w:after="0"/>
              <w:rPr>
                <w:sz w:val="18"/>
                <w:szCs w:val="18"/>
                <w:color w:val="auto"/>
              </w:rPr>
            </w:pPr>
          </w:p>
        </w:tc>
        <w:tc>
          <w:tcPr>
            <w:tcW w:w="10040" w:type="dxa"/>
            <w:vAlign w:val="bottom"/>
            <w:gridSpan w:val="10"/>
          </w:tcPr>
          <w:p>
            <w:pPr>
              <w:spacing w:after="0"/>
              <w:rPr>
                <w:sz w:val="20"/>
                <w:szCs w:val="20"/>
                <w:color w:val="auto"/>
              </w:rPr>
            </w:pPr>
            <w:r>
              <w:rPr>
                <w:rFonts w:ascii="Arial" w:cs="Arial" w:eastAsia="Arial" w:hAnsi="Arial"/>
                <w:sz w:val="18"/>
                <w:szCs w:val="18"/>
                <w:color w:val="auto"/>
              </w:rPr>
              <w:t>PA, Inc. and ImprimisRx CA, Inc. and Creative Pharmacy Solutions Central, LLC</w:t>
            </w:r>
          </w:p>
        </w:tc>
      </w:tr>
      <w:tr>
        <w:trPr>
          <w:trHeight w:val="190"/>
        </w:trPr>
        <w:tc>
          <w:tcPr>
            <w:tcW w:w="1380" w:type="dxa"/>
            <w:vAlign w:val="bottom"/>
          </w:tcPr>
          <w:p>
            <w:pPr>
              <w:spacing w:after="0" w:line="190" w:lineRule="exact"/>
              <w:rPr>
                <w:sz w:val="20"/>
                <w:szCs w:val="20"/>
                <w:color w:val="auto"/>
              </w:rPr>
            </w:pPr>
            <w:r>
              <w:rPr>
                <w:rFonts w:ascii="Arial" w:cs="Arial" w:eastAsia="Arial" w:hAnsi="Arial"/>
                <w:sz w:val="18"/>
                <w:szCs w:val="18"/>
                <w:color w:val="auto"/>
              </w:rPr>
              <w:t>10.53*</w:t>
            </w:r>
          </w:p>
        </w:tc>
        <w:tc>
          <w:tcPr>
            <w:tcW w:w="7620" w:type="dxa"/>
            <w:vAlign w:val="bottom"/>
            <w:tcBorders>
              <w:bottom w:val="single" w:sz="8" w:color="0000EE"/>
            </w:tcBorders>
            <w:gridSpan w:val="7"/>
          </w:tcPr>
          <w:p>
            <w:pPr>
              <w:spacing w:after="0" w:line="190"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Consulting Agreement dated October 27, 2017 between Surface Pharmaceuticals, Inc. and Mark L. Baum</w:t>
              </w:r>
            </w:hyperlink>
          </w:p>
        </w:tc>
        <w:tc>
          <w:tcPr>
            <w:tcW w:w="2420" w:type="dxa"/>
            <w:vAlign w:val="bottom"/>
            <w:gridSpan w:val="3"/>
          </w:tcPr>
          <w:p>
            <w:pPr>
              <w:spacing w:after="0"/>
              <w:rPr>
                <w:sz w:val="16"/>
                <w:szCs w:val="16"/>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10.54*</w:t>
            </w:r>
          </w:p>
        </w:tc>
        <w:tc>
          <w:tcPr>
            <w:tcW w:w="77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96">
              <w:r>
                <w:rPr>
                  <w:rFonts w:ascii="Arial" w:cs="Arial" w:eastAsia="Arial" w:hAnsi="Arial"/>
                  <w:sz w:val="18"/>
                  <w:szCs w:val="18"/>
                  <w:color w:val="0000EE"/>
                  <w:w w:val="90"/>
                </w:rPr>
                <w:t>Consulting Agreement dated October 27, 2017 between Surface Pharmaceuticals, Inc. and Andrew R. Boll</w:t>
              </w:r>
            </w:hyperlink>
          </w:p>
        </w:tc>
        <w:tc>
          <w:tcPr>
            <w:tcW w:w="2340" w:type="dxa"/>
            <w:vAlign w:val="bottom"/>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10.55*</w:t>
            </w:r>
          </w:p>
        </w:tc>
        <w:tc>
          <w:tcPr>
            <w:tcW w:w="10040" w:type="dxa"/>
            <w:vAlign w:val="bottom"/>
            <w:gridSpan w:val="10"/>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Consulting Agreement dated October 27, 2017 between Surface Pharmaceuticals, Inc. and John P. Saharek</w:t>
              </w:r>
            </w:hyperlink>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76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List of Subsidiaries</w:t>
              </w:r>
            </w:hyperlink>
          </w:p>
        </w:tc>
        <w:tc>
          <w:tcPr>
            <w:tcW w:w="236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10040" w:type="dxa"/>
            <w:vAlign w:val="bottom"/>
            <w:gridSpan w:val="10"/>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Consent of Independent Registered Public Accounting Firm</w:t>
              </w:r>
            </w:hyperlink>
          </w:p>
        </w:tc>
      </w:tr>
      <w:tr>
        <w:trPr>
          <w:trHeight w:val="20"/>
        </w:trPr>
        <w:tc>
          <w:tcPr>
            <w:tcW w:w="138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24.1*</w:t>
            </w:r>
          </w:p>
        </w:tc>
        <w:tc>
          <w:tcPr>
            <w:tcW w:w="10040" w:type="dxa"/>
            <w:vAlign w:val="bottom"/>
            <w:gridSpan w:val="10"/>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Power of Attorney (included on the signature page to this Annual Report)</w:t>
              </w:r>
            </w:hyperlink>
          </w:p>
        </w:tc>
      </w:tr>
      <w:tr>
        <w:trPr>
          <w:trHeight w:val="20"/>
        </w:trPr>
        <w:tc>
          <w:tcPr>
            <w:tcW w:w="138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004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114">
              <w:r>
                <w:rPr>
                  <w:rFonts w:ascii="Arial" w:cs="Arial" w:eastAsia="Arial" w:hAnsi="Arial"/>
                  <w:sz w:val="18"/>
                  <w:szCs w:val="18"/>
                  <w:color w:val="0000EE"/>
                  <w:w w:val="94"/>
                </w:rPr>
                <w:t>Certification of Mark L. Baum, Chief Executive Officer, pursuant to Rule 13a-14(a) or 15d-14(a) of the Securities and Exchange Act of</w:t>
              </w:r>
            </w:hyperlink>
          </w:p>
        </w:tc>
      </w:tr>
      <w:tr>
        <w:trPr>
          <w:trHeight w:val="196"/>
        </w:trPr>
        <w:tc>
          <w:tcPr>
            <w:tcW w:w="1380" w:type="dxa"/>
            <w:vAlign w:val="bottom"/>
          </w:tcPr>
          <w:p>
            <w:pPr>
              <w:spacing w:after="0"/>
              <w:rPr>
                <w:sz w:val="17"/>
                <w:szCs w:val="17"/>
                <w:color w:val="auto"/>
              </w:rPr>
            </w:pPr>
          </w:p>
        </w:tc>
        <w:tc>
          <w:tcPr>
            <w:tcW w:w="55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14">
              <w:r>
                <w:rPr>
                  <w:rFonts w:ascii="Arial" w:cs="Arial" w:eastAsia="Arial" w:hAnsi="Arial"/>
                  <w:sz w:val="18"/>
                  <w:szCs w:val="18"/>
                  <w:color w:val="0000EE"/>
                  <w:w w:val="89"/>
                </w:rPr>
                <w:t>1934, as adopted pursuant to Section 302 of the Sarbanes-Oxley Act of 2002.</w:t>
              </w:r>
            </w:hyperlink>
          </w:p>
        </w:tc>
        <w:tc>
          <w:tcPr>
            <w:tcW w:w="4460" w:type="dxa"/>
            <w:vAlign w:val="bottom"/>
            <w:gridSpan w:val="4"/>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004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116">
              <w:r>
                <w:rPr>
                  <w:rFonts w:ascii="Arial" w:cs="Arial" w:eastAsia="Arial" w:hAnsi="Arial"/>
                  <w:sz w:val="18"/>
                  <w:szCs w:val="18"/>
                  <w:color w:val="0000EE"/>
                  <w:w w:val="94"/>
                </w:rPr>
                <w:t>Certification of Andrew R. Boll, Chief Financial Officer, pursuant to Rule 13a-14(a) or 15d-14(a) of the Securities and Exchange Act of</w:t>
              </w:r>
            </w:hyperlink>
          </w:p>
        </w:tc>
      </w:tr>
      <w:tr>
        <w:trPr>
          <w:trHeight w:val="196"/>
        </w:trPr>
        <w:tc>
          <w:tcPr>
            <w:tcW w:w="1380" w:type="dxa"/>
            <w:vAlign w:val="bottom"/>
          </w:tcPr>
          <w:p>
            <w:pPr>
              <w:spacing w:after="0"/>
              <w:rPr>
                <w:sz w:val="17"/>
                <w:szCs w:val="17"/>
                <w:color w:val="auto"/>
              </w:rPr>
            </w:pPr>
          </w:p>
        </w:tc>
        <w:tc>
          <w:tcPr>
            <w:tcW w:w="55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16">
              <w:r>
                <w:rPr>
                  <w:rFonts w:ascii="Arial" w:cs="Arial" w:eastAsia="Arial" w:hAnsi="Arial"/>
                  <w:sz w:val="18"/>
                  <w:szCs w:val="18"/>
                  <w:color w:val="0000EE"/>
                  <w:w w:val="89"/>
                </w:rPr>
                <w:t>1934, as adopted pursuant to Section 302 of the Sarbanes-Oxley Act of 2002.</w:t>
              </w:r>
            </w:hyperlink>
          </w:p>
        </w:tc>
        <w:tc>
          <w:tcPr>
            <w:tcW w:w="4460" w:type="dxa"/>
            <w:vAlign w:val="bottom"/>
            <w:gridSpan w:val="4"/>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004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118">
              <w:r>
                <w:rPr>
                  <w:rFonts w:ascii="Arial" w:cs="Arial" w:eastAsia="Arial" w:hAnsi="Arial"/>
                  <w:sz w:val="18"/>
                  <w:szCs w:val="18"/>
                  <w:color w:val="0000EE"/>
                  <w:w w:val="94"/>
                </w:rPr>
                <w:t>Certification pursuant to 18 U.S.C. Section 1350, as adopted pursuant to Section 906 of the Sarbanes-Oxley Act of 2002, executed by</w:t>
              </w:r>
            </w:hyperlink>
          </w:p>
        </w:tc>
      </w:tr>
      <w:tr>
        <w:trPr>
          <w:trHeight w:val="196"/>
        </w:trPr>
        <w:tc>
          <w:tcPr>
            <w:tcW w:w="1380" w:type="dxa"/>
            <w:vAlign w:val="bottom"/>
          </w:tcPr>
          <w:p>
            <w:pPr>
              <w:spacing w:after="0"/>
              <w:rPr>
                <w:sz w:val="17"/>
                <w:szCs w:val="17"/>
                <w:color w:val="auto"/>
              </w:rPr>
            </w:pPr>
          </w:p>
        </w:tc>
        <w:tc>
          <w:tcPr>
            <w:tcW w:w="10040" w:type="dxa"/>
            <w:vAlign w:val="bottom"/>
            <w:gridSpan w:val="10"/>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Mark L. Baum, Chief Executive Officer.</w:t>
              </w:r>
            </w:hyperlink>
          </w:p>
        </w:tc>
      </w:tr>
      <w:tr>
        <w:trPr>
          <w:trHeight w:val="20"/>
        </w:trPr>
        <w:tc>
          <w:tcPr>
            <w:tcW w:w="138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80" w:type="dxa"/>
            <w:vAlign w:val="bottom"/>
            <w:gridSpan w:val="7"/>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004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120">
              <w:r>
                <w:rPr>
                  <w:rFonts w:ascii="Arial" w:cs="Arial" w:eastAsia="Arial" w:hAnsi="Arial"/>
                  <w:sz w:val="18"/>
                  <w:szCs w:val="18"/>
                  <w:color w:val="0000EE"/>
                  <w:w w:val="94"/>
                </w:rPr>
                <w:t>Certification pursuant to 18 U.S.C. Section 1350, as adopted pursuant to Section 906 of the Sarbanes-Oxley Act of 2002, executed by</w:t>
              </w:r>
            </w:hyperlink>
          </w:p>
        </w:tc>
      </w:tr>
      <w:tr>
        <w:trPr>
          <w:trHeight w:val="196"/>
        </w:trPr>
        <w:tc>
          <w:tcPr>
            <w:tcW w:w="1380" w:type="dxa"/>
            <w:vAlign w:val="bottom"/>
          </w:tcPr>
          <w:p>
            <w:pPr>
              <w:spacing w:after="0"/>
              <w:rPr>
                <w:sz w:val="17"/>
                <w:szCs w:val="17"/>
                <w:color w:val="auto"/>
              </w:rPr>
            </w:pPr>
          </w:p>
        </w:tc>
        <w:tc>
          <w:tcPr>
            <w:tcW w:w="296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120">
              <w:r>
                <w:rPr>
                  <w:rFonts w:ascii="Arial" w:cs="Arial" w:eastAsia="Arial" w:hAnsi="Arial"/>
                  <w:sz w:val="18"/>
                  <w:szCs w:val="18"/>
                  <w:color w:val="0000EE"/>
                  <w:w w:val="94"/>
                </w:rPr>
                <w:t>Andrew R. Boll, Chief Financial Officer.</w:t>
              </w:r>
            </w:hyperlink>
          </w:p>
        </w:tc>
        <w:tc>
          <w:tcPr>
            <w:tcW w:w="7080" w:type="dxa"/>
            <w:vAlign w:val="bottom"/>
            <w:gridSpan w:val="7"/>
          </w:tcPr>
          <w:p>
            <w:pPr>
              <w:spacing w:after="0"/>
              <w:rPr>
                <w:sz w:val="17"/>
                <w:szCs w:val="17"/>
                <w:color w:val="auto"/>
              </w:rPr>
            </w:pP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10"/>
          </w:tcPr>
          <w:p>
            <w:pPr>
              <w:spacing w:after="0"/>
              <w:rPr>
                <w:sz w:val="20"/>
                <w:szCs w:val="20"/>
                <w:color w:val="auto"/>
              </w:rPr>
            </w:pPr>
            <w:r>
              <w:rPr>
                <w:rFonts w:ascii="Arial" w:cs="Arial" w:eastAsia="Arial" w:hAnsi="Arial"/>
                <w:sz w:val="18"/>
                <w:szCs w:val="18"/>
                <w:color w:val="auto"/>
              </w:rPr>
              <w:t>XBRL Instant Document</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right="6740" w:firstLine="8"/>
        <w:spacing w:after="0" w:line="258" w:lineRule="auto"/>
        <w:tabs>
          <w:tab w:leader="none" w:pos="3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 Filed herewith.</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9" w:lineRule="exact"/>
        <w:rPr>
          <w:rFonts w:ascii="Arial" w:cs="Arial" w:eastAsia="Arial" w:hAnsi="Arial"/>
          <w:sz w:val="18"/>
          <w:szCs w:val="18"/>
          <w:color w:val="auto"/>
        </w:rPr>
      </w:pPr>
    </w:p>
    <w:p>
      <w:pPr>
        <w:ind w:left="340" w:hanging="324"/>
        <w:spacing w:after="0" w:line="255" w:lineRule="auto"/>
        <w:rPr>
          <w:rFonts w:ascii="Arial" w:cs="Arial" w:eastAsia="Arial" w:hAnsi="Arial"/>
          <w:sz w:val="18"/>
          <w:szCs w:val="18"/>
          <w:color w:val="auto"/>
        </w:rPr>
      </w:pPr>
      <w:r>
        <w:rPr>
          <w:rFonts w:ascii="Arial" w:cs="Arial" w:eastAsia="Arial" w:hAnsi="Arial"/>
          <w:sz w:val="18"/>
          <w:szCs w:val="18"/>
          <w:color w:val="auto"/>
        </w:rPr>
        <w:t>+ Confidential treatment has been granted with respect to portions of this exhibit pursuant to Rule 24b-2 of the Exchange Act and these confidential portions have been redacted from the filing that is incorporated herein by reference. A complete copy of this exhibit, including the redacted terms, has been separately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7" w:name="page88"/>
    <w:bookmarkEnd w:id="8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CONSULTING AGREEMENT (the “Agreement”) is effective as the last date provided for on the signature page and is entered into by and between Mark L. Baum, an individual (“Consultant”) and Surface Pharmaceuticals, Inc., a Delaware corporation with its principal address located at 12264 El Camino Real, Suite 350, San Diego, CA 92130 (the “Company”).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wishes to retain Consultant as an advisor to the Company;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Consultant wishes to provide advisory services to the Company as set forth below.</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mutual promises contained herein and other good and valuable consideration, the receipt and sufficiency of which are hereby acknowledged, Consultant and the Company agree, intending to be legally bound, as follows:</w:t>
      </w:r>
    </w:p>
    <w:p>
      <w:pPr>
        <w:spacing w:after="0" w:line="170"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Consulting Services</w:t>
      </w:r>
      <w:r>
        <w:rPr>
          <w:rFonts w:ascii="Arial" w:cs="Arial" w:eastAsia="Arial" w:hAnsi="Arial"/>
          <w:sz w:val="18"/>
          <w:szCs w:val="18"/>
          <w:color w:val="auto"/>
        </w:rPr>
        <w:t>.</w:t>
      </w:r>
    </w:p>
    <w:p>
      <w:pPr>
        <w:spacing w:after="0" w:line="225" w:lineRule="exact"/>
        <w:rPr>
          <w:sz w:val="20"/>
          <w:szCs w:val="20"/>
          <w:color w:val="auto"/>
        </w:rPr>
      </w:pPr>
    </w:p>
    <w:p>
      <w:pPr>
        <w:jc w:val="both"/>
        <w:ind w:left="1040" w:hanging="647"/>
        <w:spacing w:after="0" w:line="286" w:lineRule="auto"/>
        <w:tabs>
          <w:tab w:leader="none" w:pos="10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 xml:space="preserve">Consultant will provide consulting services to the Company during the Term (as further defined below) of this Agreement. The consulting services (“Services”) are set forth in the Statement of Work (“SOW”) that is attached hereto as </w:t>
      </w:r>
      <w:r>
        <w:rPr>
          <w:rFonts w:ascii="Arial" w:cs="Arial" w:eastAsia="Arial" w:hAnsi="Arial"/>
          <w:sz w:val="17"/>
          <w:szCs w:val="17"/>
          <w:b w:val="1"/>
          <w:bCs w:val="1"/>
          <w:i w:val="1"/>
          <w:iCs w:val="1"/>
          <w:color w:val="auto"/>
        </w:rPr>
        <w:t>Appendix A</w:t>
      </w:r>
      <w:r>
        <w:rPr>
          <w:rFonts w:ascii="Arial" w:cs="Arial" w:eastAsia="Arial" w:hAnsi="Arial"/>
          <w:sz w:val="17"/>
          <w:szCs w:val="17"/>
          <w:color w:val="auto"/>
        </w:rPr>
        <w:t xml:space="preserve"> and made a part hereof, as it may be amended from time to time by the parties hereto. Consultant shall perform all Services in compliance with all applicable laws.</w:t>
      </w:r>
    </w:p>
    <w:p>
      <w:pPr>
        <w:spacing w:after="0" w:line="166"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Effective Date; Term and Termination</w:t>
      </w:r>
      <w:r>
        <w:rPr>
          <w:rFonts w:ascii="Arial" w:cs="Arial" w:eastAsia="Arial" w:hAnsi="Arial"/>
          <w:sz w:val="18"/>
          <w:szCs w:val="18"/>
          <w:color w:val="auto"/>
        </w:rPr>
        <w:t>.</w:t>
      </w:r>
    </w:p>
    <w:p>
      <w:pPr>
        <w:spacing w:after="0" w:line="225" w:lineRule="exact"/>
        <w:rPr>
          <w:sz w:val="20"/>
          <w:szCs w:val="20"/>
          <w:color w:val="auto"/>
        </w:rPr>
      </w:pPr>
    </w:p>
    <w:p>
      <w:pPr>
        <w:jc w:val="both"/>
        <w:ind w:left="1040" w:hanging="647"/>
        <w:spacing w:after="0" w:line="312" w:lineRule="auto"/>
        <w:tabs>
          <w:tab w:leader="none" w:pos="10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 xml:space="preserve">This Agreement shall be effective on the later of the dates that it is executed by the Company and Consultant (the “Effective Date”) and shall terminate as of the date Services are completed (the “Term” as further defined and outlined in </w:t>
      </w:r>
      <w:r>
        <w:rPr>
          <w:rFonts w:ascii="Arial" w:cs="Arial" w:eastAsia="Arial" w:hAnsi="Arial"/>
          <w:sz w:val="16"/>
          <w:szCs w:val="16"/>
          <w:b w:val="1"/>
          <w:bCs w:val="1"/>
          <w:i w:val="1"/>
          <w:iCs w:val="1"/>
          <w:color w:val="auto"/>
        </w:rPr>
        <w:t>Appendix A</w:t>
      </w:r>
      <w:r>
        <w:rPr>
          <w:rFonts w:ascii="Arial" w:cs="Arial" w:eastAsia="Arial" w:hAnsi="Arial"/>
          <w:sz w:val="16"/>
          <w:szCs w:val="16"/>
          <w:color w:val="auto"/>
        </w:rPr>
        <w:t>) unless: (i) this Agreement is sooner terminated as provided in Section 2.2 below; or (ii) the parties agree in writing to extend the Term for a mutually agreed upon period.</w:t>
      </w:r>
    </w:p>
    <w:p>
      <w:pPr>
        <w:spacing w:after="0" w:line="147" w:lineRule="exact"/>
        <w:rPr>
          <w:sz w:val="20"/>
          <w:szCs w:val="20"/>
          <w:color w:val="auto"/>
        </w:rPr>
      </w:pPr>
    </w:p>
    <w:p>
      <w:pPr>
        <w:jc w:val="both"/>
        <w:ind w:left="1040" w:hanging="647"/>
        <w:spacing w:after="0" w:line="277" w:lineRule="auto"/>
        <w:tabs>
          <w:tab w:leader="none" w:pos="10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Agreement and the Services provided by Consultant may be terminated by either Consultant or the Company, at any time and for any reason, upon five (5) days prior written notice of termination.</w:t>
      </w:r>
    </w:p>
    <w:p>
      <w:pPr>
        <w:spacing w:after="0" w:line="170"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Consulting Fees</w:t>
      </w:r>
      <w:r>
        <w:rPr>
          <w:rFonts w:ascii="Arial" w:cs="Arial" w:eastAsia="Arial" w:hAnsi="Arial"/>
          <w:sz w:val="18"/>
          <w:szCs w:val="18"/>
          <w:color w:val="auto"/>
        </w:rPr>
        <w:t>.</w:t>
      </w:r>
    </w:p>
    <w:p>
      <w:pPr>
        <w:spacing w:after="0" w:line="225" w:lineRule="exact"/>
        <w:rPr>
          <w:sz w:val="20"/>
          <w:szCs w:val="20"/>
          <w:color w:val="auto"/>
        </w:rPr>
      </w:pPr>
    </w:p>
    <w:p>
      <w:pPr>
        <w:ind w:left="1040" w:hanging="647"/>
        <w:spacing w:after="0" w:line="277" w:lineRule="auto"/>
        <w:tabs>
          <w:tab w:leader="none" w:pos="10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In consideration of the Services provided hereunder, the Company shall provide Consultant the compensation as set forth in the applicable SOW (“Consulting Fee”).</w:t>
      </w:r>
    </w:p>
    <w:p>
      <w:pPr>
        <w:spacing w:after="0" w:line="170" w:lineRule="exact"/>
        <w:rPr>
          <w:sz w:val="20"/>
          <w:szCs w:val="20"/>
          <w:color w:val="auto"/>
        </w:rPr>
      </w:pPr>
    </w:p>
    <w:p>
      <w:pPr>
        <w:ind w:left="1040" w:right="20" w:hanging="647"/>
        <w:spacing w:after="0" w:line="277" w:lineRule="auto"/>
        <w:tabs>
          <w:tab w:leader="none" w:pos="10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Consultant shall be responsible for all expenses incurred in association with performance of the Services, unless pre-approved by the Company in writing in advance.</w:t>
      </w:r>
    </w:p>
    <w:p>
      <w:pPr>
        <w:spacing w:after="0" w:line="170" w:lineRule="exact"/>
        <w:rPr>
          <w:sz w:val="20"/>
          <w:szCs w:val="20"/>
          <w:color w:val="auto"/>
        </w:rPr>
      </w:pPr>
    </w:p>
    <w:p>
      <w:pPr>
        <w:jc w:val="both"/>
        <w:ind w:left="340" w:hanging="332"/>
        <w:spacing w:after="0" w:line="297"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Consultant acknowledges that Consultant will receive confidential and proprietary information from, on behalf of, or at the direction of, the Company in connection with, and during the course of providing, the Services, including but not limited to technical, clinical, marketing, commercial and/or legal information, data, reports, drawings, models, designs, prototypes, biological material, specimens, chemical compounds, formulas, manufacturing or other processes, software, specifications, patent applications, marketing strategies, customer information and customer lists (“Confidential Information”). All Confidential Information is and shall at all times remain the exclusive property of the Company. Consultant agrees: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9" w:name="page90"/>
    <w:bookmarkEnd w:id="89"/>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to hold the Confidential Information in strict confidence and not to disclose or make available any Confidential Information to any third party whatsoever, without the prior written consent of the Company;</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to use the Confidential Information only for the benefit of the Company and only for the purpose of providing the Services;</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to take at least the same degree of care to prevent disclosure of Confidential Information as Consultant takes to preserve and safeguard Consultant’s own confidential and proprietary information, but in any event, no less than a reasonable degree of care;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not to make copies of the Confidential Information except to the extent that the copies are reasonably necessary for providing the Services;</w:t>
      </w:r>
    </w:p>
    <w:p>
      <w:pPr>
        <w:spacing w:after="0" w:line="225"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to return or destroy (as the Company may direct) any Confidential Information held by Consultant immediately upon termination of the Term of this Agreement pursuant to Section 2 above and provide the Company with a letter certifying that all such Confidential Information has been returned or destroyed as directed;</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that Confidential Information excludes information that:</w:t>
      </w:r>
    </w:p>
    <w:p>
      <w:pPr>
        <w:spacing w:after="0" w:line="225" w:lineRule="exact"/>
        <w:rPr>
          <w:sz w:val="20"/>
          <w:szCs w:val="20"/>
          <w:color w:val="auto"/>
        </w:rPr>
      </w:pPr>
    </w:p>
    <w:p>
      <w:pPr>
        <w:ind w:left="1240" w:hanging="640"/>
        <w:spacing w:after="0" w:line="308" w:lineRule="auto"/>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 evidenced by Consultant’s written records, was lawfully known to Consultant prior to its communication by, on behalf of, or at the direction of the Company and was not communicated to Consultant subject to any restrictions on disclosure or use; or</w:t>
      </w:r>
    </w:p>
    <w:p>
      <w:pPr>
        <w:spacing w:after="0" w:line="146" w:lineRule="exact"/>
        <w:rPr>
          <w:rFonts w:ascii="Arial" w:cs="Arial" w:eastAsia="Arial" w:hAnsi="Arial"/>
          <w:sz w:val="17"/>
          <w:szCs w:val="17"/>
          <w:color w:val="auto"/>
        </w:rPr>
      </w:pPr>
    </w:p>
    <w:p>
      <w:pPr>
        <w:ind w:left="1240" w:hanging="640"/>
        <w:spacing w:after="0" w:line="277" w:lineRule="auto"/>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evidenced by Consultant’s written records, is independently developed by Consultant without use or knowledge of the Confidential Information; or</w:t>
      </w:r>
    </w:p>
    <w:p>
      <w:pPr>
        <w:spacing w:after="0" w:line="170" w:lineRule="exact"/>
        <w:rPr>
          <w:rFonts w:ascii="Arial" w:cs="Arial" w:eastAsia="Arial" w:hAnsi="Arial"/>
          <w:sz w:val="18"/>
          <w:szCs w:val="18"/>
          <w:color w:val="auto"/>
        </w:rPr>
      </w:pPr>
    </w:p>
    <w:p>
      <w:pPr>
        <w:ind w:left="1240" w:hanging="640"/>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 or becomes a part of the public domain other than by a breach of this Agreement by Consultant;</w:t>
      </w:r>
    </w:p>
    <w:p>
      <w:pPr>
        <w:spacing w:after="0" w:line="225" w:lineRule="exact"/>
        <w:rPr>
          <w:rFonts w:ascii="Arial" w:cs="Arial" w:eastAsia="Arial" w:hAnsi="Arial"/>
          <w:sz w:val="18"/>
          <w:szCs w:val="18"/>
          <w:color w:val="auto"/>
        </w:rPr>
      </w:pPr>
    </w:p>
    <w:p>
      <w:pPr>
        <w:ind w:left="1240" w:hanging="640"/>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becomes known to Consultant by the action of a third party not in breach of any obligation of confidence; or</w:t>
      </w:r>
    </w:p>
    <w:p>
      <w:pPr>
        <w:spacing w:after="0" w:line="225" w:lineRule="exact"/>
        <w:rPr>
          <w:rFonts w:ascii="Arial" w:cs="Arial" w:eastAsia="Arial" w:hAnsi="Arial"/>
          <w:sz w:val="18"/>
          <w:szCs w:val="18"/>
          <w:color w:val="auto"/>
        </w:rPr>
      </w:pPr>
    </w:p>
    <w:p>
      <w:pPr>
        <w:jc w:val="both"/>
        <w:ind w:left="1240" w:hanging="640"/>
        <w:spacing w:after="0" w:line="286" w:lineRule="auto"/>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is required to be disclosed or made available by Consultant to a third party pursuant to any applicable law, governmental regulation, or decision of any court or tribunal of competent jurisdiction, so long as Consultant takes reasonable steps, in light of the circumstances, to give the Company sufficient prior notice in order to contest such law, governmental regulation, or decision;</w:t>
      </w:r>
    </w:p>
    <w:p>
      <w:pPr>
        <w:spacing w:after="0" w:line="16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620" w:top="692" w:right="239" w:bottom="1440" w:gutter="0" w:footer="0" w:header="0"/>
        </w:sectPr>
      </w:pPr>
    </w:p>
    <w:bookmarkStart w:id="90" w:name="page91"/>
    <w:bookmarkEnd w:id="90"/>
    <w:p>
      <w:pPr>
        <w:jc w:val="both"/>
        <w:ind w:left="1040" w:hanging="647"/>
        <w:spacing w:after="0" w:line="264" w:lineRule="auto"/>
        <w:tabs>
          <w:tab w:leader="none" w:pos="10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that no representation or warranty, express or implied, is made by the Company as to the accuracy, completeness or reasonableness of any Confidential Information and that neither the Company will have any liability to Consultant as a result of Consultant’s possession or use of the Confidential information; and</w:t>
      </w:r>
    </w:p>
    <w:p>
      <w:pPr>
        <w:spacing w:after="0" w:line="181" w:lineRule="exact"/>
        <w:rPr>
          <w:sz w:val="20"/>
          <w:szCs w:val="20"/>
          <w:color w:val="auto"/>
        </w:rPr>
      </w:pPr>
    </w:p>
    <w:p>
      <w:pPr>
        <w:jc w:val="both"/>
        <w:ind w:left="1040" w:hanging="647"/>
        <w:spacing w:after="0" w:line="277" w:lineRule="auto"/>
        <w:tabs>
          <w:tab w:leader="none" w:pos="10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that money damages may not be sufficient remedy for any breach of this Section and that the Company will be entitled to seek specific performance and injunctive or equitable relief as a remedy for any such breach.</w:t>
      </w:r>
    </w:p>
    <w:p>
      <w:pPr>
        <w:spacing w:after="0" w:line="170" w:lineRule="exact"/>
        <w:rPr>
          <w:sz w:val="20"/>
          <w:szCs w:val="20"/>
          <w:color w:val="auto"/>
        </w:rPr>
      </w:pPr>
    </w:p>
    <w:p>
      <w:pPr>
        <w:jc w:val="both"/>
        <w:ind w:left="1040" w:hanging="647"/>
        <w:spacing w:after="0" w:line="277" w:lineRule="auto"/>
        <w:tabs>
          <w:tab w:leader="none" w:pos="102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Nothing in this Section is intended to limit any remedy of the Company under the California Uniform Trade Secrets Act (California Civil Code Section 3426), or otherwise available under law.</w:t>
      </w:r>
    </w:p>
    <w:p>
      <w:pPr>
        <w:spacing w:after="0" w:line="170" w:lineRule="exact"/>
        <w:rPr>
          <w:sz w:val="20"/>
          <w:szCs w:val="20"/>
          <w:color w:val="auto"/>
        </w:rPr>
      </w:pPr>
    </w:p>
    <w:p>
      <w:pPr>
        <w:jc w:val="both"/>
        <w:ind w:left="1040" w:hanging="647"/>
        <w:spacing w:after="0" w:line="279" w:lineRule="auto"/>
        <w:tabs>
          <w:tab w:leader="none" w:pos="102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7"/>
          <w:szCs w:val="17"/>
          <w:color w:val="auto"/>
        </w:rPr>
        <w:t>Notwithstanding the other provisions of this Agreement, pursuant to 18 U.S.C. Section 1833(b), Consultant shall not be held criminally or civilly liable under any federal or state trade secret law for the disclosure of a trade secret that is made in confidence to a federal, state, or local government official, either directly or indirectly, or to an attorney, and solely for the purpose of reporting or investigating a suspected violation of law; or is made in a complaint or other document filed in a lawsuit or other proceeding, if such filing is made under seal.</w:t>
      </w:r>
    </w:p>
    <w:p>
      <w:pPr>
        <w:spacing w:after="0" w:line="171" w:lineRule="exact"/>
        <w:rPr>
          <w:sz w:val="20"/>
          <w:szCs w:val="20"/>
          <w:color w:val="auto"/>
        </w:rPr>
      </w:pPr>
    </w:p>
    <w:p>
      <w:pPr>
        <w:jc w:val="both"/>
        <w:ind w:left="340" w:hanging="332"/>
        <w:spacing w:after="0" w:line="26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Independent Contractor</w:t>
      </w:r>
      <w:r>
        <w:rPr>
          <w:rFonts w:ascii="Arial" w:cs="Arial" w:eastAsia="Arial" w:hAnsi="Arial"/>
          <w:sz w:val="17"/>
          <w:szCs w:val="17"/>
          <w:color w:val="auto"/>
        </w:rPr>
        <w:t>. The relationship of Consultant to the Company shall be that of an independent contractor rendering professional services. Consultant is not an employee of the Company. Nothing contained in this Agreement shall be deemed to create a relationship of employer and employee or principal and agent between the Company and Consultant. In no circumstance shall Consultant look to the Company as Consultant’s employer, partner, agent or principal. Consultant is not entitled to and will be excluded from participating in any of Company’s fringe benefit plans or programs as a result of the performance of the Services under this Agreement, including, but not limited to, health, sickness, accident or dental coverage, life insurance, disability benefits, accidental death and dismemberment coverage, unemployment insurance coverage, workers’ compensation coverage, and pension or 401(k) benefit(s) provided by Company to its employees (and Consultant waives the right to receive any such benefits). Consultant agrees, as an independent contractor, that Consultant is not entitled to unemployment benefits in the event this Agreement terminates, or workers’ compensation benefits in the event that Consultant is injured in any manner or becomes ill while performing the work under this Agreement. Consultant is solely responsible for all tax returns, payments, or reports required to be filed with or made to any federal, state or local tax authority with respect to Consultant’s performance of Services and receipt of consideration (including Consulting Fees) under this Agreement. Consultant is not authorized to make any representation, contract or commitment on behalf of the Company unless specifically requested or authorized in writing to do so by an executive officer or Board member of the Company.</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1" w:name="page92"/>
    <w:bookmarkEnd w:id="91"/>
    <w:p>
      <w:pPr>
        <w:jc w:val="both"/>
        <w:ind w:left="34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this Agreement or any of its provisions shall be binding upon a party unless in writing and signed by each party. The waiver by either party of a breach or violation of any provision of this Agreement shall not constitute or be construed as a waiver of any subsequent breach or violation of that provision or as a waiver of any breach or violation of any other provision.</w:t>
      </w:r>
    </w:p>
    <w:p>
      <w:pPr>
        <w:spacing w:after="0" w:line="181"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by a court of competent jurisdiction to be invalid, illegal or unenforceable, the remaining provisions of this Agreement shall be unimpaired, and the invalid, illegal or unenforceable provision shall be replaced by a mutually acceptable provision, which, being valid, legal and enforceable, comes closest to the intention of the parties underlying the invalid, illegal or unenforceable provision.</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Sections 2.2, 3, 4, 6-11 and any other obligation under this Agreement which is to survive or be performed after termination of this Agreement, regardless of the cause therefor, shall survive any termination or expiration of this Agreement.</w:t>
      </w:r>
    </w:p>
    <w:p>
      <w:pPr>
        <w:spacing w:after="0" w:line="170"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communication required or permitted to be made or given under this Agreement to either party shall be in writing and shall be sufficiently given if (i) hand delivered, (ii) sent by overnight guaranteed delivery service, such as Federal Express or UPS; or (iii) sent by facsimile transmission or electronic mail during addressee’s normal business hours, with a duplicate copy sent by overnight delivery or certified or registered mail, addressed as either party may from time to time designate to the other by written notice. Any such notice or other communication shall be deemed to be given as of the date it is received by the addressee.</w:t>
      </w:r>
    </w:p>
    <w:p>
      <w:pPr>
        <w:spacing w:after="0" w:line="188"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California, excluding the choice of law rules, and the parties hereby agree to submit to the jurisdiction and venue of the State and Federal courts of the State of California, and agree that the State and Federal courts of the State of California shall be the exclusive forum for the resolution of all disputes related to or arising out of this Agreement.</w:t>
      </w:r>
    </w:p>
    <w:p>
      <w:pPr>
        <w:spacing w:after="0" w:line="18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Amendments</w:t>
      </w:r>
      <w:r>
        <w:rPr>
          <w:rFonts w:ascii="Arial" w:cs="Arial" w:eastAsia="Arial" w:hAnsi="Arial"/>
          <w:sz w:val="18"/>
          <w:szCs w:val="18"/>
          <w:color w:val="auto"/>
        </w:rPr>
        <w:t>. This Agreement, including any applicable SOW, represents the entire agreement between the parties in relation to the subject matter contained herein and supersedes all previous other agreements and representations, whether oral or written. This Agreement may be modified only if such modification is in writing and signed by a duly authorized representative of each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SIGNATURE PAGE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Consulting Agreement as of the date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COMPANY:</w:t>
            </w: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CONSULTANT:</w:t>
            </w:r>
          </w:p>
        </w:tc>
        <w:tc>
          <w:tcPr>
            <w:tcW w:w="0" w:type="dxa"/>
            <w:vAlign w:val="bottom"/>
          </w:tcPr>
          <w:p>
            <w:pPr>
              <w:spacing w:after="0"/>
              <w:rPr>
                <w:sz w:val="1"/>
                <w:szCs w:val="1"/>
                <w:color w:val="auto"/>
              </w:rPr>
            </w:pP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color w:val="auto"/>
              </w:rPr>
              <w:t>SURFACE PHARMACEUTICALS, INC.</w:t>
            </w: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MARK L. BAUM</w:t>
            </w:r>
          </w:p>
        </w:tc>
        <w:tc>
          <w:tcPr>
            <w:tcW w:w="0" w:type="dxa"/>
            <w:vAlign w:val="bottom"/>
          </w:tcPr>
          <w:p>
            <w:pPr>
              <w:spacing w:after="0"/>
              <w:rPr>
                <w:sz w:val="1"/>
                <w:szCs w:val="1"/>
                <w:color w:val="auto"/>
              </w:rPr>
            </w:pPr>
          </w:p>
        </w:tc>
      </w:tr>
      <w:tr>
        <w:trPr>
          <w:trHeight w:val="439"/>
        </w:trPr>
        <w:tc>
          <w:tcPr>
            <w:tcW w:w="540" w:type="dxa"/>
            <w:vAlign w:val="bottom"/>
            <w:vMerge w:val="restart"/>
          </w:tcPr>
          <w:p>
            <w:pPr>
              <w:spacing w:after="0"/>
              <w:rPr>
                <w:sz w:val="20"/>
                <w:szCs w:val="20"/>
                <w:color w:val="auto"/>
              </w:rPr>
            </w:pPr>
            <w:r>
              <w:rPr>
                <w:rFonts w:ascii="Arial" w:cs="Arial" w:eastAsia="Arial" w:hAnsi="Arial"/>
                <w:sz w:val="18"/>
                <w:szCs w:val="18"/>
                <w:color w:val="auto"/>
              </w:rPr>
              <w:t>By:</w:t>
            </w:r>
          </w:p>
        </w:tc>
        <w:tc>
          <w:tcPr>
            <w:tcW w:w="5080" w:type="dxa"/>
            <w:vAlign w:val="bottom"/>
            <w:gridSpan w:val="2"/>
          </w:tcPr>
          <w:p>
            <w:pPr>
              <w:ind w:left="160"/>
              <w:spacing w:after="0"/>
              <w:rPr>
                <w:sz w:val="20"/>
                <w:szCs w:val="20"/>
                <w:color w:val="auto"/>
              </w:rPr>
            </w:pPr>
            <w:r>
              <w:rPr>
                <w:rFonts w:ascii="Arial" w:cs="Arial" w:eastAsia="Arial" w:hAnsi="Arial"/>
                <w:sz w:val="18"/>
                <w:szCs w:val="18"/>
                <w:i w:val="1"/>
                <w:iCs w:val="1"/>
                <w:color w:val="auto"/>
              </w:rPr>
              <w:t>/s/ Andrew Boll</w:t>
            </w:r>
          </w:p>
        </w:tc>
        <w:tc>
          <w:tcPr>
            <w:tcW w:w="900" w:type="dxa"/>
            <w:vAlign w:val="bottom"/>
            <w:vMerge w:val="restart"/>
          </w:tcPr>
          <w:p>
            <w:pPr>
              <w:ind w:left="220"/>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i w:val="1"/>
                <w:iCs w:val="1"/>
                <w:color w:val="auto"/>
              </w:rPr>
              <w:t>/s/ Mark Baum</w:t>
            </w:r>
          </w:p>
        </w:tc>
        <w:tc>
          <w:tcPr>
            <w:tcW w:w="0" w:type="dxa"/>
            <w:vAlign w:val="bottom"/>
          </w:tcPr>
          <w:p>
            <w:pPr>
              <w:spacing w:after="0"/>
              <w:rPr>
                <w:sz w:val="1"/>
                <w:szCs w:val="1"/>
                <w:color w:val="auto"/>
              </w:rPr>
            </w:pPr>
          </w:p>
        </w:tc>
      </w:tr>
      <w:tr>
        <w:trPr>
          <w:trHeight w:val="202"/>
        </w:trPr>
        <w:tc>
          <w:tcPr>
            <w:tcW w:w="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4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Andrew R. Boll</w:t>
            </w:r>
          </w:p>
        </w:tc>
        <w:tc>
          <w:tcPr>
            <w:tcW w:w="900" w:type="dxa"/>
            <w:vAlign w:val="bottom"/>
            <w:vMerge w:val="continue"/>
          </w:tcPr>
          <w:p>
            <w:pPr>
              <w:spacing w:after="0"/>
              <w:rPr>
                <w:sz w:val="17"/>
                <w:szCs w:val="17"/>
                <w:color w:val="auto"/>
              </w:rPr>
            </w:pPr>
          </w:p>
        </w:tc>
        <w:tc>
          <w:tcPr>
            <w:tcW w:w="4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L. Baum</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5080" w:type="dxa"/>
            <w:vAlign w:val="bottom"/>
            <w:gridSpan w:val="2"/>
          </w:tcPr>
          <w:p>
            <w:pPr>
              <w:ind w:left="160"/>
              <w:spacing w:after="0"/>
              <w:rPr>
                <w:sz w:val="20"/>
                <w:szCs w:val="20"/>
                <w:color w:val="auto"/>
              </w:rPr>
            </w:pPr>
            <w:r>
              <w:rPr>
                <w:rFonts w:ascii="Arial" w:cs="Arial" w:eastAsia="Arial" w:hAnsi="Arial"/>
                <w:sz w:val="18"/>
                <w:szCs w:val="18"/>
                <w:color w:val="auto"/>
              </w:rPr>
              <w:t>Executive Director</w:t>
            </w:r>
          </w:p>
        </w:tc>
        <w:tc>
          <w:tcPr>
            <w:tcW w:w="90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An individual</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5080" w:type="dxa"/>
            <w:vAlign w:val="bottom"/>
            <w:gridSpan w:val="2"/>
          </w:tcPr>
          <w:p>
            <w:pPr>
              <w:ind w:left="160"/>
              <w:spacing w:after="0"/>
              <w:rPr>
                <w:sz w:val="20"/>
                <w:szCs w:val="20"/>
                <w:color w:val="auto"/>
              </w:rPr>
            </w:pPr>
            <w:r>
              <w:rPr>
                <w:rFonts w:ascii="Arial" w:cs="Arial" w:eastAsia="Arial" w:hAnsi="Arial"/>
                <w:sz w:val="18"/>
                <w:szCs w:val="18"/>
                <w:color w:val="auto"/>
              </w:rPr>
              <w:t>10/27/2017</w:t>
            </w:r>
          </w:p>
        </w:tc>
        <w:tc>
          <w:tcPr>
            <w:tcW w:w="900" w:type="dxa"/>
            <w:vAlign w:val="bottom"/>
          </w:tcPr>
          <w:p>
            <w:pPr>
              <w:ind w:left="220"/>
              <w:spacing w:after="0"/>
              <w:rPr>
                <w:sz w:val="20"/>
                <w:szCs w:val="20"/>
                <w:color w:val="auto"/>
              </w:rPr>
            </w:pPr>
            <w:r>
              <w:rPr>
                <w:rFonts w:ascii="Arial" w:cs="Arial" w:eastAsia="Arial" w:hAnsi="Arial"/>
                <w:sz w:val="18"/>
                <w:szCs w:val="18"/>
                <w:color w:val="auto"/>
              </w:rPr>
              <w:t>Date:</w:t>
            </w:r>
          </w:p>
        </w:tc>
        <w:tc>
          <w:tcPr>
            <w:tcW w:w="4900" w:type="dxa"/>
            <w:vAlign w:val="bottom"/>
          </w:tcPr>
          <w:p>
            <w:pPr>
              <w:spacing w:after="0"/>
              <w:rPr>
                <w:sz w:val="20"/>
                <w:szCs w:val="20"/>
                <w:color w:val="auto"/>
              </w:rPr>
            </w:pPr>
            <w:r>
              <w:rPr>
                <w:rFonts w:ascii="Arial" w:cs="Arial" w:eastAsia="Arial" w:hAnsi="Arial"/>
                <w:sz w:val="18"/>
                <w:szCs w:val="18"/>
                <w:color w:val="auto"/>
              </w:rPr>
              <w:t>10/27/2017</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92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4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Reviewed and approved by</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 Robert Kammer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Robert J. Kammer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19024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7">
                      <a:extLst>
                        <a:ext uri="{28A0092B-C50C-407E-A947-70E740481C1C}"/>
                      </a:extLst>
                    </a:blip>
                    <a:srcRect/>
                    <a:stretch>
                      <a:fillRect/>
                    </a:stretch>
                  </pic:blipFill>
                  <pic:spPr bwMode="auto">
                    <a:xfrm>
                      <a:off x="0" y="0"/>
                      <a:ext cx="31902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Surface Committee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Parent Corporation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Surface Pharmaceuticals, Inc.</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Appendix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Work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Consulting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 L. Baum and Surface Pharmaceuticals,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Consultant shall provide management advisory services to the Company relating to its establishment, formulation development and optimization, invention support and other related services as may be requested from time to time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or shortly following commencement of Consultant’s Services to the Company, the Company shall grant to Consultant 725,000 shares (the “Shares”) of the Company’s restricted common stock, par value $0.001 (“Common Stock”) under the terms of the Company’s 2017 Equity Incentive Plan (the “Plan”) and a Restricted Stock Award Grant Notice and Agreement thereunder to be provided to Consultant by the Company (collectively with the Plan, the “Restricted Stock Documents”).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Shares shall vest upon the earliest of:</w:t>
      </w:r>
    </w:p>
    <w:p>
      <w:pPr>
        <w:spacing w:after="0" w:line="225" w:lineRule="exact"/>
        <w:rPr>
          <w:sz w:val="20"/>
          <w:szCs w:val="20"/>
          <w:color w:val="auto"/>
        </w:rPr>
      </w:pPr>
    </w:p>
    <w:p>
      <w:pPr>
        <w:ind w:left="980" w:hanging="648"/>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Change in Control (as defined in the Plan);</w:t>
      </w:r>
    </w:p>
    <w:p>
      <w:pPr>
        <w:spacing w:after="0" w:line="225"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of any underwriting agreement between the Company and the underwriter(s) managing an initial public offering of the Company’s common stock, pursuant to which the common stock is priced for initial public offering (the “IPO”);</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of closing of any bona-fide equity financing with third party investors resulting in cash gross proceeds to the Company of at least $10,000,000 (“Subsequent Financing”); or</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immediately prior to the one year anniversary of the date of grant of the Shares (as indicated in the Restricted Stock Documents) (the “Date of Grant”).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and in any case of (1), (2), (3) and (4), subject to Consultant’s Continuous Service through such vesting date; </w:t>
      </w:r>
      <w:r>
        <w:rPr>
          <w:rFonts w:ascii="Arial" w:cs="Arial" w:eastAsia="Arial" w:hAnsi="Arial"/>
          <w:sz w:val="18"/>
          <w:szCs w:val="18"/>
          <w:i w:val="1"/>
          <w:iCs w:val="1"/>
          <w:color w:val="auto"/>
        </w:rPr>
        <w:t>provided, however</w:t>
      </w:r>
      <w:r>
        <w:rPr>
          <w:rFonts w:ascii="Arial" w:cs="Arial" w:eastAsia="Arial" w:hAnsi="Arial"/>
          <w:sz w:val="18"/>
          <w:szCs w:val="18"/>
          <w:color w:val="auto"/>
        </w:rPr>
        <w:t>, in the event Consultant’s Continuous Service is terminated by the Company (other than for Cause) or by death of Consultant prior to the completion of the Term (as defined in this Consulting Agreement), the Shares shall vest immediately upon such termination.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Consultant understands that that the receipt of the Shares hereunder will trigger tax consequences to Consultant for which Consultant will be solely responsible and that the Shares have not been registered under the Securities Act of 1933, as amended, or any applicable state securities law. Consultant must execute the Restricted Stock Documents as a condition to receipt of the Shares 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Consultant commenced providing Services to the Company on or about July 30, 2017 and shall provide the Services through the earlier of (i) one year from the Date of Grant, (ii) a Change in Control, (iii) the IPO, (iv) a Subsequent Financing or (v) such earlier date as the Services are terminated by the Company or Consultant in accordance with this Agreement (the “Term”).</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4" w:name="page95"/>
    <w:bookmarkEnd w:id="9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CONSULTING AGREEMENT (the “Agreement”) is effective as the last date provided for on the signature page and is entered into by and between Andrew R. Boll, an individual (“Consultant”) and Surface Pharmaceuticals, Inc., a Delaware corporation with its principal address located at 12264 El Camino Real, Suite 350, San Diego, CA 92130 (the “Company”).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wishes to retain Consultant as an advisor to the Company;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Consultant wishes to provide advisory services to the Company as set forth below.</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mutual promises contained herein and other good and valuable consideration, the receipt and sufficiency of which are hereby acknowledged, Consultant and the Company agree, intending to be legally bound, as follows:</w:t>
      </w:r>
    </w:p>
    <w:p>
      <w:pPr>
        <w:spacing w:after="0" w:line="170"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Consulting 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hanging="648"/>
        <w:spacing w:after="0" w:line="286" w:lineRule="auto"/>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7"/>
          <w:szCs w:val="17"/>
          <w:color w:val="auto"/>
        </w:rPr>
        <w:t xml:space="preserve">Consultant will provide consulting services to the Company during the Term (as further defined below) of this Agreement. The consulting services (“Services”) are set forth in the Statement of Work (“SOW”) that is attached hereto as </w:t>
      </w:r>
      <w:r>
        <w:rPr>
          <w:rFonts w:ascii="Arial" w:cs="Arial" w:eastAsia="Arial" w:hAnsi="Arial"/>
          <w:sz w:val="17"/>
          <w:szCs w:val="17"/>
          <w:b w:val="1"/>
          <w:bCs w:val="1"/>
          <w:i w:val="1"/>
          <w:iCs w:val="1"/>
          <w:color w:val="auto"/>
        </w:rPr>
        <w:t>Appendix A</w:t>
      </w:r>
      <w:r>
        <w:rPr>
          <w:rFonts w:ascii="Arial" w:cs="Arial" w:eastAsia="Arial" w:hAnsi="Arial"/>
          <w:sz w:val="17"/>
          <w:szCs w:val="17"/>
          <w:color w:val="auto"/>
        </w:rPr>
        <w:t xml:space="preserve"> and made a part hereof, as it may be amended from time to time by the parties hereto. Consultant shall perform all Services in compliance with all applicable laws.</w:t>
      </w:r>
    </w:p>
    <w:p>
      <w:pPr>
        <w:spacing w:after="0" w:line="16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Effective Date; Term and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hanging="648"/>
        <w:spacing w:after="0" w:line="312" w:lineRule="auto"/>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color w:val="auto"/>
        </w:rPr>
        <w:t xml:space="preserve">This Agreement shall be effective on the later of the dates that it is executed by the Company and Consultant (the “Effective Date”) and shall terminate as of the date Services are completed (the “Term” as further defined and outlined in </w:t>
      </w:r>
      <w:r>
        <w:rPr>
          <w:rFonts w:ascii="Arial" w:cs="Arial" w:eastAsia="Arial" w:hAnsi="Arial"/>
          <w:sz w:val="16"/>
          <w:szCs w:val="16"/>
          <w:b w:val="1"/>
          <w:bCs w:val="1"/>
          <w:i w:val="1"/>
          <w:iCs w:val="1"/>
          <w:color w:val="auto"/>
        </w:rPr>
        <w:t>Appendix A</w:t>
      </w:r>
      <w:r>
        <w:rPr>
          <w:rFonts w:ascii="Arial" w:cs="Arial" w:eastAsia="Arial" w:hAnsi="Arial"/>
          <w:sz w:val="16"/>
          <w:szCs w:val="16"/>
          <w:color w:val="auto"/>
        </w:rPr>
        <w:t>) unless: (i) this Agreement is sooner terminated as provided in Section 2.2 below; or (ii) the parties agree in writing to extend the Term for a mutually agreed upon period.</w:t>
      </w:r>
    </w:p>
    <w:p>
      <w:pPr>
        <w:spacing w:after="0" w:line="146" w:lineRule="exact"/>
        <w:rPr>
          <w:rFonts w:ascii="Arial" w:cs="Arial" w:eastAsia="Arial" w:hAnsi="Arial"/>
          <w:sz w:val="18"/>
          <w:szCs w:val="18"/>
          <w:color w:val="auto"/>
        </w:rPr>
      </w:pPr>
    </w:p>
    <w:p>
      <w:pPr>
        <w:ind w:left="980" w:hanging="648"/>
        <w:spacing w:after="0" w:line="277" w:lineRule="auto"/>
        <w:rPr>
          <w:rFonts w:ascii="Arial" w:cs="Arial" w:eastAsia="Arial" w:hAnsi="Arial"/>
          <w:sz w:val="18"/>
          <w:szCs w:val="18"/>
          <w:color w:val="auto"/>
        </w:rPr>
      </w:pPr>
      <w:r>
        <w:rPr>
          <w:rFonts w:ascii="Arial" w:cs="Arial" w:eastAsia="Arial" w:hAnsi="Arial"/>
          <w:sz w:val="18"/>
          <w:szCs w:val="18"/>
          <w:color w:val="auto"/>
        </w:rPr>
        <w:t>2.2.The Agreement and the Services provided by Consultant may be terminated by either Consultant or the Company, at any time and for any reason, upon five (5) days prior written notice of termination.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Consulting 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hanging="648"/>
        <w:spacing w:after="0" w:line="277" w:lineRule="auto"/>
        <w:rPr>
          <w:rFonts w:ascii="Arial" w:cs="Arial" w:eastAsia="Arial" w:hAnsi="Arial"/>
          <w:sz w:val="18"/>
          <w:szCs w:val="18"/>
          <w:color w:val="auto"/>
        </w:rPr>
      </w:pPr>
      <w:r>
        <w:rPr>
          <w:rFonts w:ascii="Arial" w:cs="Arial" w:eastAsia="Arial" w:hAnsi="Arial"/>
          <w:sz w:val="18"/>
          <w:szCs w:val="18"/>
          <w:color w:val="auto"/>
        </w:rPr>
        <w:t>3.1.In consideration of the Services provided hereunder, the Company shall provide Consultant the compensation as set forth in the applicable SOW (“Consulting Fee”).</w:t>
      </w:r>
    </w:p>
    <w:p>
      <w:pPr>
        <w:spacing w:after="0" w:line="170" w:lineRule="exact"/>
        <w:rPr>
          <w:rFonts w:ascii="Arial" w:cs="Arial" w:eastAsia="Arial" w:hAnsi="Arial"/>
          <w:sz w:val="18"/>
          <w:szCs w:val="18"/>
          <w:color w:val="auto"/>
        </w:rPr>
      </w:pPr>
    </w:p>
    <w:p>
      <w:pPr>
        <w:ind w:left="980" w:right="20" w:hanging="648"/>
        <w:spacing w:after="0" w:line="277" w:lineRule="auto"/>
        <w:rPr>
          <w:rFonts w:ascii="Arial" w:cs="Arial" w:eastAsia="Arial" w:hAnsi="Arial"/>
          <w:sz w:val="18"/>
          <w:szCs w:val="18"/>
          <w:color w:val="auto"/>
        </w:rPr>
      </w:pPr>
      <w:r>
        <w:rPr>
          <w:rFonts w:ascii="Arial" w:cs="Arial" w:eastAsia="Arial" w:hAnsi="Arial"/>
          <w:sz w:val="18"/>
          <w:szCs w:val="18"/>
          <w:color w:val="auto"/>
        </w:rPr>
        <w:t>3.2.Consultant shall be responsible for all expenses incurred in association with performance of the Services, unless pre-approved by the Company in writing in advance.</w:t>
      </w:r>
    </w:p>
    <w:p>
      <w:pPr>
        <w:spacing w:after="0" w:line="170" w:lineRule="exact"/>
        <w:rPr>
          <w:rFonts w:ascii="Arial" w:cs="Arial" w:eastAsia="Arial" w:hAnsi="Arial"/>
          <w:sz w:val="18"/>
          <w:szCs w:val="18"/>
          <w:color w:val="auto"/>
        </w:rPr>
      </w:pPr>
    </w:p>
    <w:p>
      <w:pPr>
        <w:jc w:val="both"/>
        <w:ind w:left="340" w:hanging="332"/>
        <w:spacing w:after="0" w:line="297"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Consultant acknowledges that Consultant will receive confidential and proprietary information from, on behalf of, or at the direction of, the Company in connection with, and during the course of providing, the Services, including but not limited to technical, clinical, marketing, commercial and/or legal information, data, reports, drawings, models, designs, prototypes, biological material, specimens, chemical compounds, formulas, manufacturing or other processes, software, specifications, patent applications, marketing strategies, customer information and customer lists (“Confidential Information”). All Confidential Information is and shall at all times remain the exclusive property of the Company. Consultant agrees: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6" w:name="page97"/>
    <w:bookmarkEnd w:id="96"/>
    <w:p>
      <w:pPr>
        <w:jc w:val="both"/>
        <w:ind w:left="640" w:hanging="647"/>
        <w:spacing w:after="0" w:line="277" w:lineRule="auto"/>
        <w:tabs>
          <w:tab w:leader="none" w:pos="6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to hold the Confidential Information in strict confidence and not to disclose or make available any Confidential Information to any third party whatsoever, without the prior written consent of the Company;</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to use the Confidential Information only for the benefit of the Company and only for the purpose of providing the Services;</w:t>
      </w:r>
    </w:p>
    <w:p>
      <w:pPr>
        <w:spacing w:after="0" w:line="225" w:lineRule="exact"/>
        <w:rPr>
          <w:sz w:val="20"/>
          <w:szCs w:val="20"/>
          <w:color w:val="auto"/>
        </w:rPr>
      </w:pPr>
    </w:p>
    <w:p>
      <w:pPr>
        <w:jc w:val="both"/>
        <w:ind w:left="640" w:hanging="647"/>
        <w:spacing w:after="0" w:line="277" w:lineRule="auto"/>
        <w:tabs>
          <w:tab w:leader="none" w:pos="6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to take at least the same degree of care to prevent disclosure of Confidential Information as Consultant takes to preserve and safeguard Consultant’s own confidential and proprietary information, but in any event, no less than a reasonable degree of care;</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not to make copies of the Confidential Information except to the extent that the copies are reasonably necessary for providing the Services;</w:t>
      </w:r>
    </w:p>
    <w:p>
      <w:pPr>
        <w:spacing w:after="0" w:line="225" w:lineRule="exact"/>
        <w:rPr>
          <w:sz w:val="20"/>
          <w:szCs w:val="20"/>
          <w:color w:val="auto"/>
        </w:rPr>
      </w:pPr>
    </w:p>
    <w:p>
      <w:pPr>
        <w:jc w:val="both"/>
        <w:ind w:left="640" w:hanging="647"/>
        <w:spacing w:after="0" w:line="264" w:lineRule="auto"/>
        <w:tabs>
          <w:tab w:leader="none" w:pos="6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to return or destroy (as the Company may direct) any Confidential Information held by Consultant immediately upon termination of the Term of this Agreement pursuant to Section 2 above and provide the Company with a letter certifying that all such Confidential Information has been returned or destroyed as directed;</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that Confidential Information excludes information that:</w:t>
      </w:r>
    </w:p>
    <w:p>
      <w:pPr>
        <w:spacing w:after="0" w:line="225" w:lineRule="exact"/>
        <w:rPr>
          <w:sz w:val="20"/>
          <w:szCs w:val="20"/>
          <w:color w:val="auto"/>
        </w:rPr>
      </w:pPr>
    </w:p>
    <w:p>
      <w:pPr>
        <w:ind w:left="1220" w:hanging="647"/>
        <w:spacing w:after="0" w:line="308" w:lineRule="auto"/>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as evidenced by Consultant’s written records, was lawfully known to Consultant prior to its communication by, on behalf of, or at the direction of the Company and was not communicated to Consultant subject to any restrictions on disclosure or use; or</w:t>
      </w:r>
    </w:p>
    <w:p>
      <w:pPr>
        <w:spacing w:after="0" w:line="146" w:lineRule="exact"/>
        <w:rPr>
          <w:rFonts w:ascii="Arial" w:cs="Arial" w:eastAsia="Arial" w:hAnsi="Arial"/>
          <w:sz w:val="17"/>
          <w:szCs w:val="17"/>
          <w:color w:val="auto"/>
        </w:rPr>
      </w:pPr>
    </w:p>
    <w:p>
      <w:pPr>
        <w:ind w:left="1220" w:hanging="647"/>
        <w:spacing w:after="0" w:line="277" w:lineRule="auto"/>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evidenced by Consultant’s written records, is independently developed by Consultant without use or knowledge of the Confidential Information; or</w:t>
      </w:r>
    </w:p>
    <w:p>
      <w:pPr>
        <w:spacing w:after="0" w:line="170" w:lineRule="exact"/>
        <w:rPr>
          <w:rFonts w:ascii="Arial" w:cs="Arial" w:eastAsia="Arial" w:hAnsi="Arial"/>
          <w:sz w:val="18"/>
          <w:szCs w:val="18"/>
          <w:color w:val="auto"/>
        </w:rPr>
      </w:pPr>
    </w:p>
    <w:p>
      <w:pPr>
        <w:ind w:left="1220" w:hanging="647"/>
        <w:spacing w:after="0"/>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or becomes a part of the public domain other than by a breach of this Agreement by Consultant;</w:t>
      </w:r>
    </w:p>
    <w:p>
      <w:pPr>
        <w:spacing w:after="0" w:line="225" w:lineRule="exact"/>
        <w:rPr>
          <w:rFonts w:ascii="Arial" w:cs="Arial" w:eastAsia="Arial" w:hAnsi="Arial"/>
          <w:sz w:val="18"/>
          <w:szCs w:val="18"/>
          <w:color w:val="auto"/>
        </w:rPr>
      </w:pPr>
    </w:p>
    <w:p>
      <w:pPr>
        <w:ind w:left="1220" w:hanging="647"/>
        <w:spacing w:after="0"/>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becomes known to Consultant by the action of a third party not in breach of any obligation of confidence; or</w:t>
      </w:r>
    </w:p>
    <w:p>
      <w:pPr>
        <w:spacing w:after="0" w:line="225" w:lineRule="exact"/>
        <w:rPr>
          <w:rFonts w:ascii="Arial" w:cs="Arial" w:eastAsia="Arial" w:hAnsi="Arial"/>
          <w:sz w:val="18"/>
          <w:szCs w:val="18"/>
          <w:color w:val="auto"/>
        </w:rPr>
      </w:pPr>
    </w:p>
    <w:p>
      <w:pPr>
        <w:jc w:val="both"/>
        <w:ind w:left="1220" w:hanging="647"/>
        <w:spacing w:after="0" w:line="286" w:lineRule="auto"/>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is required to be disclosed or made available by Consultant to a third party pursuant to any applicable law, governmental regulation, or decision of any court or tribunal of competent jurisdiction, so long as Consultant takes reasonable steps, in light of the circumstances, to give the Company sufficient prior notice in order to contest such law, governmental regulation, or decision;</w:t>
      </w:r>
    </w:p>
    <w:p>
      <w:pPr>
        <w:spacing w:after="0" w:line="16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692" w:right="239" w:bottom="1440" w:gutter="0" w:footer="0" w:header="0"/>
        </w:sectPr>
      </w:pPr>
    </w:p>
    <w:bookmarkStart w:id="97" w:name="page98"/>
    <w:bookmarkEnd w:id="97"/>
    <w:p>
      <w:pPr>
        <w:jc w:val="both"/>
        <w:ind w:left="980" w:hanging="647"/>
        <w:spacing w:after="0" w:line="264" w:lineRule="auto"/>
        <w:tabs>
          <w:tab w:leader="none" w:pos="9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that no representation or warranty, express or implied, is made by the Company as to the accuracy, completeness or reasonableness of any Confidential Information and that neither the Company will have any liability to Consultant as a result of Consultant’s possession or use of the Confidential information; and</w:t>
      </w:r>
    </w:p>
    <w:p>
      <w:pPr>
        <w:spacing w:after="0" w:line="181" w:lineRule="exact"/>
        <w:rPr>
          <w:sz w:val="20"/>
          <w:szCs w:val="20"/>
          <w:color w:val="auto"/>
        </w:rPr>
      </w:pPr>
    </w:p>
    <w:p>
      <w:pPr>
        <w:jc w:val="both"/>
        <w:ind w:left="980" w:hanging="647"/>
        <w:spacing w:after="0" w:line="277" w:lineRule="auto"/>
        <w:tabs>
          <w:tab w:leader="none" w:pos="9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that money damages may not be sufficient remedy for any breach of this Section and that the Company will be entitled to seek specific performance and injunctive or equitable relief as a remedy for any such breach.</w:t>
      </w:r>
    </w:p>
    <w:p>
      <w:pPr>
        <w:spacing w:after="0" w:line="170" w:lineRule="exact"/>
        <w:rPr>
          <w:sz w:val="20"/>
          <w:szCs w:val="20"/>
          <w:color w:val="auto"/>
        </w:rPr>
      </w:pPr>
    </w:p>
    <w:p>
      <w:pPr>
        <w:jc w:val="both"/>
        <w:ind w:left="980" w:hanging="647"/>
        <w:spacing w:after="0" w:line="277" w:lineRule="auto"/>
        <w:tabs>
          <w:tab w:leader="none" w:pos="96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Nothing in this Section is intended to limit any remedy of the Company under the California Uniform Trade Secrets Act (California Civil Code Section 3426), or otherwise available under law.</w:t>
      </w:r>
    </w:p>
    <w:p>
      <w:pPr>
        <w:spacing w:after="0" w:line="170" w:lineRule="exact"/>
        <w:rPr>
          <w:sz w:val="20"/>
          <w:szCs w:val="20"/>
          <w:color w:val="auto"/>
        </w:rPr>
      </w:pPr>
    </w:p>
    <w:p>
      <w:pPr>
        <w:jc w:val="both"/>
        <w:ind w:left="980" w:hanging="647"/>
        <w:spacing w:after="0" w:line="279" w:lineRule="auto"/>
        <w:tabs>
          <w:tab w:leader="none" w:pos="96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7"/>
          <w:szCs w:val="17"/>
          <w:color w:val="auto"/>
        </w:rPr>
        <w:t>Notwithstanding the other provisions of this Agreement, pursuant to 18 U.S.C. Section 1833(b), Consultant shall not be held criminally or civilly liable under any federal or state trade secret law for the disclosure of a trade secret that is made in confidence to a federal, state, or local government official, either directly or indirectly, or to an attorney, and solely for the purpose of reporting or investigating a suspected violation of law; or is made in a complaint or other document filed in a lawsuit or other proceeding, if such filing is made under seal.</w:t>
      </w:r>
    </w:p>
    <w:p>
      <w:pPr>
        <w:spacing w:after="0" w:line="171" w:lineRule="exact"/>
        <w:rPr>
          <w:sz w:val="20"/>
          <w:szCs w:val="20"/>
          <w:color w:val="auto"/>
        </w:rPr>
      </w:pPr>
    </w:p>
    <w:p>
      <w:pPr>
        <w:jc w:val="both"/>
        <w:ind w:left="340" w:hanging="332"/>
        <w:spacing w:after="0" w:line="26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Independent Contractor</w:t>
      </w:r>
      <w:r>
        <w:rPr>
          <w:rFonts w:ascii="Arial" w:cs="Arial" w:eastAsia="Arial" w:hAnsi="Arial"/>
          <w:sz w:val="17"/>
          <w:szCs w:val="17"/>
          <w:color w:val="auto"/>
        </w:rPr>
        <w:t>. The relationship of Consultant to the Company shall be that of an independent contractor rendering professional services. Consultant is not an employee of the Company. Nothing contained in this Agreement shall be deemed to create a relationship of employer and employee or principal and agent between the Company and Consultant. In no circumstance shall Consultant look to the Company as Consultant’s employer, partner, agent or principal. Consultant is not entitled to and will be excluded from participating in any of Company’s fringe benefit plans or programs as a result of the performance of the Services under this Agreement, including, but not limited to, health, sickness, accident or dental coverage, life insurance, disability benefits, accidental death and dismemberment coverage, unemployment insurance coverage, workers’ compensation coverage, and pension or 401(k) benefit(s) provided by Company to its employees (and Consultant waives the right to receive any such benefits). Consultant agrees, as an independent contractor, that Consultant is not entitled to unemployment benefits in the event this Agreement terminates, or workers’ compensation benefits in the event that Consultant is injured in any manner or becomes ill while performing the work under this Agreement. Consultant is solely responsible for all tax returns, payments, or reports required to be filed with or made to any federal, state or local tax authority with respect to Consultant’s performance of Services and receipt of consideration (including Consulting Fees) under this Agreement. Consultant is not authorized to make any representation, contract or commitment on behalf of the Company unless specifically requested or authorized in writing to do so by an executive officer or Board member of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8" w:name="page99"/>
    <w:bookmarkEnd w:id="98"/>
    <w:p>
      <w:pPr>
        <w:jc w:val="both"/>
        <w:ind w:left="34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this Agreement or any of its provisions shall be binding upon a party unless in writing and signed by each party. The waiver by either party of a breach or violation of any provision of this Agreement shall not constitute or be construed as a waiver of any subsequent breach or violation of that provision or as a waiver of any breach or violation of any other provision.</w:t>
      </w:r>
    </w:p>
    <w:p>
      <w:pPr>
        <w:spacing w:after="0" w:line="181"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by a court of competent jurisdiction to be invalid, illegal or unenforceable, the remaining provisions of this Agreement shall be unimpaired, and the invalid, illegal or unenforceable provision shall be replaced by a mutually acceptable provision, which, being valid, legal and enforceable, comes closest to the intention of the parties underlying the invalid, illegal or unenforceable provision.</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Sections 2.2, 3, 4, 6-11 and any other obligation under this Agreement which is to survive or be performed after termination of this Agreement, regardless of the cause therefor, shall survive any termination or expiration of this Agreement.</w:t>
      </w:r>
    </w:p>
    <w:p>
      <w:pPr>
        <w:spacing w:after="0" w:line="170"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communication required or permitted to be made or given under this Agreement to either party shall be in writing and shall be sufficiently given if (i) hand delivered, (ii) sent by overnight guaranteed delivery service, such as Federal Express or UPS; or (iii) sent by facsimile transmission or electronic mail during addressee’s normal business hours, with a duplicate copy sent by overnight delivery or certified or registered mail, addressed as either party may from time to time designate to the other by written notice. Any such notice or other communication shall be deemed to be given as of the date it is received by the addressee.</w:t>
      </w:r>
    </w:p>
    <w:p>
      <w:pPr>
        <w:spacing w:after="0" w:line="188"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California, excluding the choice of law rules, and the parties hereby agree to submit to the jurisdiction and venue of the State and Federal courts of the State of California, and agree that the State and Federal courts of the State of California shall be the exclusive forum for the resolution of all disputes related to or arising out of this Agreement.</w:t>
      </w:r>
    </w:p>
    <w:p>
      <w:pPr>
        <w:spacing w:after="0" w:line="18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Amendments</w:t>
      </w:r>
      <w:r>
        <w:rPr>
          <w:rFonts w:ascii="Arial" w:cs="Arial" w:eastAsia="Arial" w:hAnsi="Arial"/>
          <w:sz w:val="18"/>
          <w:szCs w:val="18"/>
          <w:color w:val="auto"/>
        </w:rPr>
        <w:t>. This Agreement, including any applicable SOW, represents the entire agreement between the parties in relation to the subject matter contained herein and supersedes all previous other agreements and representations, whether oral or written. This Agreement may be modified only if such modification is in writing and signed by a duly authorized representative of each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SIGNATURE PAGE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Consulting Agreement as of the date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COMPANY:</w:t>
            </w: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CONSULTANT:</w:t>
            </w:r>
          </w:p>
        </w:tc>
        <w:tc>
          <w:tcPr>
            <w:tcW w:w="0" w:type="dxa"/>
            <w:vAlign w:val="bottom"/>
          </w:tcPr>
          <w:p>
            <w:pPr>
              <w:spacing w:after="0"/>
              <w:rPr>
                <w:sz w:val="1"/>
                <w:szCs w:val="1"/>
                <w:color w:val="auto"/>
              </w:rPr>
            </w:pP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color w:val="auto"/>
              </w:rPr>
              <w:t>SURFACE PHARMACEUTICALS, INC.</w:t>
            </w: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ANDREW R. BOLL</w:t>
            </w:r>
          </w:p>
        </w:tc>
        <w:tc>
          <w:tcPr>
            <w:tcW w:w="0" w:type="dxa"/>
            <w:vAlign w:val="bottom"/>
          </w:tcPr>
          <w:p>
            <w:pPr>
              <w:spacing w:after="0"/>
              <w:rPr>
                <w:sz w:val="1"/>
                <w:szCs w:val="1"/>
                <w:color w:val="auto"/>
              </w:rPr>
            </w:pPr>
          </w:p>
        </w:tc>
      </w:tr>
      <w:tr>
        <w:trPr>
          <w:trHeight w:val="439"/>
        </w:trPr>
        <w:tc>
          <w:tcPr>
            <w:tcW w:w="540" w:type="dxa"/>
            <w:vAlign w:val="bottom"/>
            <w:vMerge w:val="restart"/>
          </w:tcPr>
          <w:p>
            <w:pPr>
              <w:spacing w:after="0"/>
              <w:rPr>
                <w:sz w:val="20"/>
                <w:szCs w:val="20"/>
                <w:color w:val="auto"/>
              </w:rPr>
            </w:pPr>
            <w:r>
              <w:rPr>
                <w:rFonts w:ascii="Arial" w:cs="Arial" w:eastAsia="Arial" w:hAnsi="Arial"/>
                <w:sz w:val="18"/>
                <w:szCs w:val="18"/>
                <w:color w:val="auto"/>
              </w:rPr>
              <w:t>By:</w:t>
            </w:r>
          </w:p>
        </w:tc>
        <w:tc>
          <w:tcPr>
            <w:tcW w:w="5080" w:type="dxa"/>
            <w:vAlign w:val="bottom"/>
            <w:gridSpan w:val="2"/>
          </w:tcPr>
          <w:p>
            <w:pPr>
              <w:ind w:left="160"/>
              <w:spacing w:after="0"/>
              <w:rPr>
                <w:sz w:val="20"/>
                <w:szCs w:val="20"/>
                <w:color w:val="auto"/>
              </w:rPr>
            </w:pPr>
            <w:r>
              <w:rPr>
                <w:rFonts w:ascii="Arial" w:cs="Arial" w:eastAsia="Arial" w:hAnsi="Arial"/>
                <w:sz w:val="18"/>
                <w:szCs w:val="18"/>
                <w:i w:val="1"/>
                <w:iCs w:val="1"/>
                <w:color w:val="auto"/>
              </w:rPr>
              <w:t>/s/ Mark Baum</w:t>
            </w:r>
          </w:p>
        </w:tc>
        <w:tc>
          <w:tcPr>
            <w:tcW w:w="900" w:type="dxa"/>
            <w:vAlign w:val="bottom"/>
            <w:vMerge w:val="restart"/>
          </w:tcPr>
          <w:p>
            <w:pPr>
              <w:ind w:left="220"/>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i w:val="1"/>
                <w:iCs w:val="1"/>
                <w:color w:val="auto"/>
              </w:rPr>
              <w:t>/s/ Andrew Boll</w:t>
            </w:r>
          </w:p>
        </w:tc>
        <w:tc>
          <w:tcPr>
            <w:tcW w:w="0" w:type="dxa"/>
            <w:vAlign w:val="bottom"/>
          </w:tcPr>
          <w:p>
            <w:pPr>
              <w:spacing w:after="0"/>
              <w:rPr>
                <w:sz w:val="1"/>
                <w:szCs w:val="1"/>
                <w:color w:val="auto"/>
              </w:rPr>
            </w:pPr>
          </w:p>
        </w:tc>
      </w:tr>
      <w:tr>
        <w:trPr>
          <w:trHeight w:val="202"/>
        </w:trPr>
        <w:tc>
          <w:tcPr>
            <w:tcW w:w="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4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L. Baum</w:t>
            </w:r>
          </w:p>
        </w:tc>
        <w:tc>
          <w:tcPr>
            <w:tcW w:w="900" w:type="dxa"/>
            <w:vAlign w:val="bottom"/>
            <w:vMerge w:val="continue"/>
          </w:tcPr>
          <w:p>
            <w:pPr>
              <w:spacing w:after="0"/>
              <w:rPr>
                <w:sz w:val="17"/>
                <w:szCs w:val="17"/>
                <w:color w:val="auto"/>
              </w:rPr>
            </w:pPr>
          </w:p>
        </w:tc>
        <w:tc>
          <w:tcPr>
            <w:tcW w:w="4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Andrew R. Boll</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5080" w:type="dxa"/>
            <w:vAlign w:val="bottom"/>
            <w:gridSpan w:val="2"/>
          </w:tcPr>
          <w:p>
            <w:pPr>
              <w:ind w:left="160"/>
              <w:spacing w:after="0"/>
              <w:rPr>
                <w:sz w:val="20"/>
                <w:szCs w:val="20"/>
                <w:color w:val="auto"/>
              </w:rPr>
            </w:pPr>
            <w:r>
              <w:rPr>
                <w:rFonts w:ascii="Arial" w:cs="Arial" w:eastAsia="Arial" w:hAnsi="Arial"/>
                <w:sz w:val="18"/>
                <w:szCs w:val="18"/>
                <w:color w:val="auto"/>
              </w:rPr>
              <w:t>Executive Director</w:t>
            </w:r>
          </w:p>
        </w:tc>
        <w:tc>
          <w:tcPr>
            <w:tcW w:w="90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An individual</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5080" w:type="dxa"/>
            <w:vAlign w:val="bottom"/>
            <w:gridSpan w:val="2"/>
          </w:tcPr>
          <w:p>
            <w:pPr>
              <w:ind w:left="160"/>
              <w:spacing w:after="0"/>
              <w:rPr>
                <w:sz w:val="20"/>
                <w:szCs w:val="20"/>
                <w:color w:val="auto"/>
              </w:rPr>
            </w:pPr>
            <w:r>
              <w:rPr>
                <w:rFonts w:ascii="Arial" w:cs="Arial" w:eastAsia="Arial" w:hAnsi="Arial"/>
                <w:sz w:val="18"/>
                <w:szCs w:val="18"/>
                <w:color w:val="auto"/>
              </w:rPr>
              <w:t>10/27/2017</w:t>
            </w:r>
          </w:p>
        </w:tc>
        <w:tc>
          <w:tcPr>
            <w:tcW w:w="900" w:type="dxa"/>
            <w:vAlign w:val="bottom"/>
          </w:tcPr>
          <w:p>
            <w:pPr>
              <w:ind w:left="220"/>
              <w:spacing w:after="0"/>
              <w:rPr>
                <w:sz w:val="20"/>
                <w:szCs w:val="20"/>
                <w:color w:val="auto"/>
              </w:rPr>
            </w:pPr>
            <w:r>
              <w:rPr>
                <w:rFonts w:ascii="Arial" w:cs="Arial" w:eastAsia="Arial" w:hAnsi="Arial"/>
                <w:sz w:val="18"/>
                <w:szCs w:val="18"/>
                <w:color w:val="auto"/>
              </w:rPr>
              <w:t>Date:</w:t>
            </w:r>
          </w:p>
        </w:tc>
        <w:tc>
          <w:tcPr>
            <w:tcW w:w="4900" w:type="dxa"/>
            <w:vAlign w:val="bottom"/>
          </w:tcPr>
          <w:p>
            <w:pPr>
              <w:spacing w:after="0"/>
              <w:rPr>
                <w:sz w:val="20"/>
                <w:szCs w:val="20"/>
                <w:color w:val="auto"/>
              </w:rPr>
            </w:pPr>
            <w:r>
              <w:rPr>
                <w:rFonts w:ascii="Arial" w:cs="Arial" w:eastAsia="Arial" w:hAnsi="Arial"/>
                <w:sz w:val="18"/>
                <w:szCs w:val="18"/>
                <w:color w:val="auto"/>
              </w:rPr>
              <w:t>10/27/2017</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92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4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Reviewed and approved by</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 Robert Kammer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Robert J. Kammer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19024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4">
                      <a:extLst>
                        <a:ext uri="{28A0092B-C50C-407E-A947-70E740481C1C}"/>
                      </a:extLst>
                    </a:blip>
                    <a:srcRect/>
                    <a:stretch>
                      <a:fillRect/>
                    </a:stretch>
                  </pic:blipFill>
                  <pic:spPr bwMode="auto">
                    <a:xfrm>
                      <a:off x="0" y="0"/>
                      <a:ext cx="31902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Surface Committee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Parent Corporation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Surface Pharmaceuticals,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Appendix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Work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Consulting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Andrew R. Boll and Surface Pharmaceuticals,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Consultant shall provide legal advisory services to the Company relating to its establishment, financing activities and other related services as may be requested from time to time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or shortly following commencement of Consultant’s Services to the Company, the Company shall grant to Consultant 362,500 shares (the “Shares”) of the Company’s restricted common stock, par value $0.001 (“Common Stock”) under the terms of the Company’s 2017 Equity Incentive Plan (the “Plan”) and a Restricted Stock Award Grant Notice and Agreement thereunder to be provided to Consultant by the Company (collectively with the Plan, the “Restricted Stock Documents”).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Shares shall vest upon the earliest of:</w:t>
      </w:r>
    </w:p>
    <w:p>
      <w:pPr>
        <w:spacing w:after="0" w:line="225" w:lineRule="exact"/>
        <w:rPr>
          <w:sz w:val="20"/>
          <w:szCs w:val="20"/>
          <w:color w:val="auto"/>
        </w:rPr>
      </w:pPr>
    </w:p>
    <w:p>
      <w:pPr>
        <w:ind w:left="980" w:hanging="648"/>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Change in Control (as defined in the Plan);</w:t>
      </w:r>
    </w:p>
    <w:p>
      <w:pPr>
        <w:spacing w:after="0" w:line="225"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of any underwriting agreement between the Company and the underwriter(s) managing an initial public offering of the Company’s common stock, pursuant to which the common stock is priced for initial public offering (the “IPO”);</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of closing of any bona-fide equity financing with third party investors resulting in cash gross proceeds to the Company of at least $10,000,000 (“Subsequent Financing”); or</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immediately prior to the one year anniversary of the date of grant of the Shares (as indicated in the Restricted Stock Documents) (the “Date of Grant”).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and in any case of (1), (2), (3) and (4), subject to Consultant’s Continuous Service through such vesting date; </w:t>
      </w:r>
      <w:r>
        <w:rPr>
          <w:rFonts w:ascii="Arial" w:cs="Arial" w:eastAsia="Arial" w:hAnsi="Arial"/>
          <w:sz w:val="18"/>
          <w:szCs w:val="18"/>
          <w:i w:val="1"/>
          <w:iCs w:val="1"/>
          <w:color w:val="auto"/>
        </w:rPr>
        <w:t>provided, however</w:t>
      </w:r>
      <w:r>
        <w:rPr>
          <w:rFonts w:ascii="Arial" w:cs="Arial" w:eastAsia="Arial" w:hAnsi="Arial"/>
          <w:sz w:val="18"/>
          <w:szCs w:val="18"/>
          <w:color w:val="auto"/>
        </w:rPr>
        <w:t>, in the event Consultant’s Continuous Service is terminated by the Company (other than for Cause) or by death of Consultant prior to the completion of the Term (as defined in this Consulting Agreement), the Shares shall vest immediately upon such termination.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Consultant understands that that the receipt of the Shares hereunder will trigger tax consequences to Consultant for which Consultant will be solely responsible and that the Shares have not been registered under the Securities Act of 1933, as amended, or any applicable state securities law. Consultant must execute the Restricted Stock Documents as a condition to receipt of the Shares 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Consultant commenced providing Services to the Company on or about July 30, 2017 and shall provide the Services through the earlier of (i) one year from the Date of Grant, (ii) a Change in Control, (iii) the IPO, (iv) a Subsequent Financing or (v) such earlier date as the Services are terminated by the Company or Consultant in accordance with this Agreement (the “Term”).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1" w:name="page102"/>
    <w:bookmarkEnd w:id="10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CONSULTING AGREEMENT (the “Agreement”) is effective as the last date provided for on the signature page and is entered into by and between John Saharek, an individual (“Consultant”) and Surface Pharmaceuticals, Inc., a Delaware corporation with its principal address located at 12264 El Camino Real, Suite 350, San Diego, CA 92130 (the “Company”).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wishes to retain Consultant as an advisor to the Company;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Consultant wishes to provide advisory services to the Company as set forth below.</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mutual promises contained herein and other good and valuable consideration, the receipt and sufficiency of which are hereby acknowledged, Consultant and the Company agree, intending to be legally bound, as follows:</w:t>
      </w:r>
    </w:p>
    <w:p>
      <w:pPr>
        <w:spacing w:after="0" w:line="170"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Consulting 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hanging="648"/>
        <w:spacing w:after="0" w:line="286" w:lineRule="auto"/>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7"/>
          <w:szCs w:val="17"/>
          <w:color w:val="auto"/>
        </w:rPr>
        <w:t xml:space="preserve">Consultant will provide consulting services to the Company during the Term (as further defined below) of this Agreement. The consulting services (“Services”) are set forth in the Statement of Work (“SOW”) that is attached hereto as </w:t>
      </w:r>
      <w:r>
        <w:rPr>
          <w:rFonts w:ascii="Arial" w:cs="Arial" w:eastAsia="Arial" w:hAnsi="Arial"/>
          <w:sz w:val="17"/>
          <w:szCs w:val="17"/>
          <w:b w:val="1"/>
          <w:bCs w:val="1"/>
          <w:i w:val="1"/>
          <w:iCs w:val="1"/>
          <w:color w:val="auto"/>
        </w:rPr>
        <w:t>Appendix A</w:t>
      </w:r>
      <w:r>
        <w:rPr>
          <w:rFonts w:ascii="Arial" w:cs="Arial" w:eastAsia="Arial" w:hAnsi="Arial"/>
          <w:sz w:val="17"/>
          <w:szCs w:val="17"/>
          <w:color w:val="auto"/>
        </w:rPr>
        <w:t xml:space="preserve"> and made a part hereof, as it may be amended from time to time by the parties hereto. Consultant shall perform all Services in compliance with all applicable laws.</w:t>
      </w:r>
    </w:p>
    <w:p>
      <w:pPr>
        <w:spacing w:after="0" w:line="16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Effective Date; Term and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hanging="648"/>
        <w:spacing w:after="0" w:line="312" w:lineRule="auto"/>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color w:val="auto"/>
        </w:rPr>
        <w:t xml:space="preserve">This Agreement shall be effective on the later of the dates that it is executed by the Company and Consultant (the “Effective Date”) and shall terminate as of the date Services are completed (the “Term” as further defined and outlined in </w:t>
      </w:r>
      <w:r>
        <w:rPr>
          <w:rFonts w:ascii="Arial" w:cs="Arial" w:eastAsia="Arial" w:hAnsi="Arial"/>
          <w:sz w:val="16"/>
          <w:szCs w:val="16"/>
          <w:b w:val="1"/>
          <w:bCs w:val="1"/>
          <w:i w:val="1"/>
          <w:iCs w:val="1"/>
          <w:color w:val="auto"/>
        </w:rPr>
        <w:t>Appendix A</w:t>
      </w:r>
      <w:r>
        <w:rPr>
          <w:rFonts w:ascii="Arial" w:cs="Arial" w:eastAsia="Arial" w:hAnsi="Arial"/>
          <w:sz w:val="16"/>
          <w:szCs w:val="16"/>
          <w:color w:val="auto"/>
        </w:rPr>
        <w:t>) unless: (i) this Agreement is sooner terminated as provided in Section 2.2 below; or (ii) the parties agree in writing to extend the Term for a mutually agreed upon period.</w:t>
      </w:r>
    </w:p>
    <w:p>
      <w:pPr>
        <w:spacing w:after="0" w:line="146" w:lineRule="exact"/>
        <w:rPr>
          <w:rFonts w:ascii="Arial" w:cs="Arial" w:eastAsia="Arial" w:hAnsi="Arial"/>
          <w:sz w:val="18"/>
          <w:szCs w:val="18"/>
          <w:color w:val="auto"/>
        </w:rPr>
      </w:pPr>
    </w:p>
    <w:p>
      <w:pPr>
        <w:ind w:left="980" w:hanging="648"/>
        <w:spacing w:after="0" w:line="277" w:lineRule="auto"/>
        <w:rPr>
          <w:rFonts w:ascii="Arial" w:cs="Arial" w:eastAsia="Arial" w:hAnsi="Arial"/>
          <w:sz w:val="18"/>
          <w:szCs w:val="18"/>
          <w:color w:val="auto"/>
        </w:rPr>
      </w:pPr>
      <w:r>
        <w:rPr>
          <w:rFonts w:ascii="Arial" w:cs="Arial" w:eastAsia="Arial" w:hAnsi="Arial"/>
          <w:sz w:val="18"/>
          <w:szCs w:val="18"/>
          <w:color w:val="auto"/>
        </w:rPr>
        <w:t>2.2.The Agreement and the Services provided by Consultant may be terminated by either Consultant or the Company, at any time and for any reason, upon five (5) days prior written notice of termination.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Consulting 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hanging="648"/>
        <w:spacing w:after="0" w:line="277" w:lineRule="auto"/>
        <w:rPr>
          <w:rFonts w:ascii="Arial" w:cs="Arial" w:eastAsia="Arial" w:hAnsi="Arial"/>
          <w:sz w:val="18"/>
          <w:szCs w:val="18"/>
          <w:color w:val="auto"/>
        </w:rPr>
      </w:pPr>
      <w:r>
        <w:rPr>
          <w:rFonts w:ascii="Arial" w:cs="Arial" w:eastAsia="Arial" w:hAnsi="Arial"/>
          <w:sz w:val="18"/>
          <w:szCs w:val="18"/>
          <w:color w:val="auto"/>
        </w:rPr>
        <w:t>3.1.In consideration of the Services provided hereunder, the Company shall provide Consultant the compensation as set forth in the applicable SOW (“Consulting Fee”).</w:t>
      </w:r>
    </w:p>
    <w:p>
      <w:pPr>
        <w:spacing w:after="0" w:line="170" w:lineRule="exact"/>
        <w:rPr>
          <w:rFonts w:ascii="Arial" w:cs="Arial" w:eastAsia="Arial" w:hAnsi="Arial"/>
          <w:sz w:val="18"/>
          <w:szCs w:val="18"/>
          <w:color w:val="auto"/>
        </w:rPr>
      </w:pPr>
    </w:p>
    <w:p>
      <w:pPr>
        <w:ind w:left="980" w:right="20" w:hanging="648"/>
        <w:spacing w:after="0" w:line="277" w:lineRule="auto"/>
        <w:rPr>
          <w:rFonts w:ascii="Arial" w:cs="Arial" w:eastAsia="Arial" w:hAnsi="Arial"/>
          <w:sz w:val="18"/>
          <w:szCs w:val="18"/>
          <w:color w:val="auto"/>
        </w:rPr>
      </w:pPr>
      <w:r>
        <w:rPr>
          <w:rFonts w:ascii="Arial" w:cs="Arial" w:eastAsia="Arial" w:hAnsi="Arial"/>
          <w:sz w:val="18"/>
          <w:szCs w:val="18"/>
          <w:color w:val="auto"/>
        </w:rPr>
        <w:t>3.2.Consultant shall be responsible for all expenses incurred in association with performance of the Services, unless pre-approved by the Company in writing in advance.</w:t>
      </w:r>
    </w:p>
    <w:p>
      <w:pPr>
        <w:spacing w:after="0" w:line="170" w:lineRule="exact"/>
        <w:rPr>
          <w:rFonts w:ascii="Arial" w:cs="Arial" w:eastAsia="Arial" w:hAnsi="Arial"/>
          <w:sz w:val="18"/>
          <w:szCs w:val="18"/>
          <w:color w:val="auto"/>
        </w:rPr>
      </w:pPr>
    </w:p>
    <w:p>
      <w:pPr>
        <w:jc w:val="both"/>
        <w:ind w:left="340" w:hanging="332"/>
        <w:spacing w:after="0" w:line="297"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Consultant acknowledges that Consultant will receive confidential and proprietary information from, on behalf of, or at the direction of, the Company in connection with, and during the course of providing, the Services, including but not limited to technical, clinical, marketing, commercial and/or legal information, data, reports, drawings, models, designs, prototypes, biological material, specimens, chemical compounds, formulas, manufacturing or other processes, software, specifications, patent applications, marketing strategies, customer information and customer lists (“Confidential Information”). All Confidential Information is and shall at all times remain the exclusive property of the Company. Consultant agrees: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3" w:name="page104"/>
    <w:bookmarkEnd w:id="103"/>
    <w:p>
      <w:pPr>
        <w:jc w:val="both"/>
        <w:ind w:left="640" w:hanging="647"/>
        <w:spacing w:after="0" w:line="277" w:lineRule="auto"/>
        <w:tabs>
          <w:tab w:leader="none" w:pos="6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to hold the Confidential Information in strict confidence and not to disclose or make available any Confidential Information to any third party whatsoever, without the prior written consent of the Company;</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to use the Confidential Information only for the benefit of the Company and only for the purpose of providing the Services;</w:t>
      </w:r>
    </w:p>
    <w:p>
      <w:pPr>
        <w:spacing w:after="0" w:line="225" w:lineRule="exact"/>
        <w:rPr>
          <w:sz w:val="20"/>
          <w:szCs w:val="20"/>
          <w:color w:val="auto"/>
        </w:rPr>
      </w:pPr>
    </w:p>
    <w:p>
      <w:pPr>
        <w:jc w:val="both"/>
        <w:ind w:left="640" w:hanging="647"/>
        <w:spacing w:after="0" w:line="277" w:lineRule="auto"/>
        <w:tabs>
          <w:tab w:leader="none" w:pos="6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to take at least the same degree of care to prevent disclosure of Confidential Information as Consultant takes to preserve and safeguard Consultant’s own confidential and proprietary information, but in any event, no less than a reasonable degree of care;</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not to make copies of the Confidential Information except to the extent that the copies are reasonably necessary for providing the Services;</w:t>
      </w:r>
    </w:p>
    <w:p>
      <w:pPr>
        <w:spacing w:after="0" w:line="225" w:lineRule="exact"/>
        <w:rPr>
          <w:sz w:val="20"/>
          <w:szCs w:val="20"/>
          <w:color w:val="auto"/>
        </w:rPr>
      </w:pPr>
    </w:p>
    <w:p>
      <w:pPr>
        <w:jc w:val="both"/>
        <w:ind w:left="640" w:hanging="647"/>
        <w:spacing w:after="0" w:line="264" w:lineRule="auto"/>
        <w:tabs>
          <w:tab w:leader="none" w:pos="6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to return or destroy (as the Company may direct) any Confidential Information held by Consultant immediately upon termination of the Term of this Agreement pursuant to Section 2 above and provide the Company with a letter certifying that all such Confidential Information has been returned or destroyed as directed;</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that Confidential Information excludes information that:</w:t>
      </w:r>
    </w:p>
    <w:p>
      <w:pPr>
        <w:spacing w:after="0" w:line="225" w:lineRule="exact"/>
        <w:rPr>
          <w:sz w:val="20"/>
          <w:szCs w:val="20"/>
          <w:color w:val="auto"/>
        </w:rPr>
      </w:pPr>
    </w:p>
    <w:p>
      <w:pPr>
        <w:ind w:left="1220" w:hanging="647"/>
        <w:spacing w:after="0" w:line="308" w:lineRule="auto"/>
        <w:tabs>
          <w:tab w:leader="none" w:pos="1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as evidenced by Consultant’s written records, was lawfully known to Consultant prior to its communication by, on behalf of, or at the direction of the Company and was not communicated to Consultant subject to any restrictions on disclosure or use; or</w:t>
      </w:r>
    </w:p>
    <w:p>
      <w:pPr>
        <w:spacing w:after="0" w:line="146" w:lineRule="exact"/>
        <w:rPr>
          <w:rFonts w:ascii="Arial" w:cs="Arial" w:eastAsia="Arial" w:hAnsi="Arial"/>
          <w:sz w:val="17"/>
          <w:szCs w:val="17"/>
          <w:color w:val="auto"/>
        </w:rPr>
      </w:pPr>
    </w:p>
    <w:p>
      <w:pPr>
        <w:ind w:left="1220" w:hanging="647"/>
        <w:spacing w:after="0" w:line="277" w:lineRule="auto"/>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evidenced by Consultant’s written records, is independently developed by Consultant without use or knowledge of the Confidential Information; or</w:t>
      </w:r>
    </w:p>
    <w:p>
      <w:pPr>
        <w:spacing w:after="0" w:line="170" w:lineRule="exact"/>
        <w:rPr>
          <w:rFonts w:ascii="Arial" w:cs="Arial" w:eastAsia="Arial" w:hAnsi="Arial"/>
          <w:sz w:val="18"/>
          <w:szCs w:val="18"/>
          <w:color w:val="auto"/>
        </w:rPr>
      </w:pPr>
    </w:p>
    <w:p>
      <w:pPr>
        <w:ind w:left="1220" w:hanging="647"/>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 or becomes a part of the public domain other than by a breach of this Agreement by Consultant;</w:t>
      </w:r>
    </w:p>
    <w:p>
      <w:pPr>
        <w:spacing w:after="0" w:line="225" w:lineRule="exact"/>
        <w:rPr>
          <w:rFonts w:ascii="Arial" w:cs="Arial" w:eastAsia="Arial" w:hAnsi="Arial"/>
          <w:sz w:val="18"/>
          <w:szCs w:val="18"/>
          <w:color w:val="auto"/>
        </w:rPr>
      </w:pPr>
    </w:p>
    <w:p>
      <w:pPr>
        <w:ind w:left="1220" w:hanging="647"/>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becomes known to Consultant by the action of a third party not in breach of any obligation of confidence; or</w:t>
      </w:r>
    </w:p>
    <w:p>
      <w:pPr>
        <w:spacing w:after="0" w:line="225" w:lineRule="exact"/>
        <w:rPr>
          <w:rFonts w:ascii="Arial" w:cs="Arial" w:eastAsia="Arial" w:hAnsi="Arial"/>
          <w:sz w:val="18"/>
          <w:szCs w:val="18"/>
          <w:color w:val="auto"/>
        </w:rPr>
      </w:pPr>
    </w:p>
    <w:p>
      <w:pPr>
        <w:jc w:val="both"/>
        <w:ind w:left="1220" w:hanging="647"/>
        <w:spacing w:after="0" w:line="286" w:lineRule="auto"/>
        <w:tabs>
          <w:tab w:leader="none" w:pos="1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is required to be disclosed or made available by Consultant to a third party pursuant to any applicable law, governmental regulation, or decision of any court or tribunal of competent jurisdiction, so long as Consultant takes reasonable steps, in light of the circumstances, to give the Company sufficient prior notice in order to contest such law, governmental regulation, or decision;</w:t>
      </w:r>
    </w:p>
    <w:p>
      <w:pPr>
        <w:spacing w:after="0" w:line="16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692" w:right="239" w:bottom="1440" w:gutter="0" w:footer="0" w:header="0"/>
        </w:sectPr>
      </w:pPr>
    </w:p>
    <w:bookmarkStart w:id="104" w:name="page105"/>
    <w:bookmarkEnd w:id="104"/>
    <w:p>
      <w:pPr>
        <w:jc w:val="both"/>
        <w:ind w:left="972" w:hanging="647"/>
        <w:spacing w:after="0" w:line="264" w:lineRule="auto"/>
        <w:tabs>
          <w:tab w:leader="none" w:pos="952"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that no representation or warranty, express or implied, is made by the Company as to the accuracy, completeness or reasonableness of any Confidential Information and that neither the Company will have any liability to Consultant as a result of Consultant’s possession or use of the Confidential information; and</w:t>
      </w:r>
    </w:p>
    <w:p>
      <w:pPr>
        <w:spacing w:after="0" w:line="181" w:lineRule="exact"/>
        <w:rPr>
          <w:sz w:val="20"/>
          <w:szCs w:val="20"/>
          <w:color w:val="auto"/>
        </w:rPr>
      </w:pPr>
    </w:p>
    <w:p>
      <w:pPr>
        <w:jc w:val="both"/>
        <w:ind w:left="972" w:hanging="647"/>
        <w:spacing w:after="0" w:line="277" w:lineRule="auto"/>
        <w:tabs>
          <w:tab w:leader="none" w:pos="952"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that money damages may not be sufficient remedy for any breach of this Section and that the Company will be entitled to seek specific performance and injunctive or equitable relief as a remedy for any such breach.</w:t>
      </w:r>
    </w:p>
    <w:p>
      <w:pPr>
        <w:spacing w:after="0" w:line="170" w:lineRule="exact"/>
        <w:rPr>
          <w:sz w:val="20"/>
          <w:szCs w:val="20"/>
          <w:color w:val="auto"/>
        </w:rPr>
      </w:pPr>
    </w:p>
    <w:p>
      <w:pPr>
        <w:jc w:val="both"/>
        <w:ind w:left="972" w:hanging="647"/>
        <w:spacing w:after="0" w:line="277" w:lineRule="auto"/>
        <w:tabs>
          <w:tab w:leader="none" w:pos="952"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Nothing in this Section is intended to limit any remedy of the Company under the California Uniform Trade Secrets Act (California Civil Code Section 3426), or otherwise available under law.</w:t>
      </w:r>
    </w:p>
    <w:p>
      <w:pPr>
        <w:spacing w:after="0" w:line="170" w:lineRule="exact"/>
        <w:rPr>
          <w:sz w:val="20"/>
          <w:szCs w:val="20"/>
          <w:color w:val="auto"/>
        </w:rPr>
      </w:pPr>
    </w:p>
    <w:p>
      <w:pPr>
        <w:jc w:val="both"/>
        <w:ind w:left="972" w:hanging="647"/>
        <w:spacing w:after="0" w:line="279" w:lineRule="auto"/>
        <w:tabs>
          <w:tab w:leader="none" w:pos="952"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7"/>
          <w:szCs w:val="17"/>
          <w:color w:val="auto"/>
        </w:rPr>
        <w:t>Notwithstanding the other provisions of this Agreement, pursuant to 18 U.S.C. Section 1833(b), Consultant shall not be held criminally or civilly liable under any federal or state trade secret law for the disclosure of a trade secret that is made in confidence to a federal, state, or local government official, either directly or indirectly, or to an attorney, and solely for the purpose of reporting or investigating a suspected violation of law; or is made in a complaint or other document filed in a lawsuit or other proceeding, if such filing is made under seal.</w:t>
      </w:r>
    </w:p>
    <w:p>
      <w:pPr>
        <w:spacing w:after="0" w:line="171" w:lineRule="exact"/>
        <w:rPr>
          <w:sz w:val="20"/>
          <w:szCs w:val="20"/>
          <w:color w:val="auto"/>
        </w:rPr>
      </w:pPr>
    </w:p>
    <w:p>
      <w:pPr>
        <w:jc w:val="both"/>
        <w:ind w:left="332" w:hanging="332"/>
        <w:spacing w:after="0" w:line="268" w:lineRule="auto"/>
        <w:tabs>
          <w:tab w:leader="none" w:pos="332"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Independent Contractor</w:t>
      </w:r>
      <w:r>
        <w:rPr>
          <w:rFonts w:ascii="Arial" w:cs="Arial" w:eastAsia="Arial" w:hAnsi="Arial"/>
          <w:sz w:val="17"/>
          <w:szCs w:val="17"/>
          <w:color w:val="auto"/>
        </w:rPr>
        <w:t>. The relationship of Consultant to the Company shall be that of an independent contractor rendering professional services. Consultant is not an employee of the Company. Nothing contained in this Agreement shall be deemed to create a relationship of employer and employee or principal and agent between the Company and Consultant. In no circumstance shall Consultant look to the Company as Consultant’s employer, partner, agent or principal. Consultant is not entitled to and will be excluded from participating in any of Company’s fringe benefit plans or programs as a result of the performance of the Services under this Agreement, including, but not limited to, health, sickness, accident or dental coverage, life insurance, disability benefits, accidental death and dismemberment coverage, unemployment insurance coverage, workers’ compensation coverage, and pension or 401(k) benefit(s) provided by Company to its employees (and Consultant waives the right to receive any such benefits). Consultant agrees, as an independent contractor, that Consultant is not entitled to unemployment benefits in the event this Agreement terminates, or workers’ compensation benefits in the event that Consultant is injured in any manner or becomes ill while performing the work under this Agreement. Consultant is solely responsible for all tax returns, payments, or reports required to be filed with or made to any federal, state or local tax authority with respect to Consultant’s performance of Services and receipt of consideration (including Consulting Fees) under this Agreement. Consultant is not authorized to make any representation, contract or commitment on behalf of the Company unless specifically requested or authorized in writing to do so by an executive officer or Board member of the Company.</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92" w:right="239" w:bottom="1440" w:gutter="0" w:footer="0" w:header="0"/>
        </w:sectPr>
      </w:pPr>
    </w:p>
    <w:bookmarkStart w:id="105" w:name="page106"/>
    <w:bookmarkEnd w:id="105"/>
    <w:p>
      <w:pPr>
        <w:jc w:val="both"/>
        <w:ind w:left="340" w:hanging="332"/>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this Agreement or any of its provisions shall be binding upon a party unless in writing and signed by each party. The waiver by either party of a breach or violation of any provision of this Agreement shall not constitute or be construed as a waiver of any subsequent breach or violation of that provision or as a waiver of any breach or violation of any other provision.</w:t>
      </w:r>
    </w:p>
    <w:p>
      <w:pPr>
        <w:spacing w:after="0" w:line="181"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by a court of competent jurisdiction to be invalid, illegal or unenforceable, the remaining provisions of this Agreement shall be unimpaired, and the invalid, illegal or unenforceable provision shall be replaced by a mutually acceptable provision, which, being valid, legal and enforceable, comes closest to the intention of the parties underlying the invalid, illegal or unenforceable provision.</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Sections 2.2, 3, 4, 6-11 and any other obligation under this Agreement which is to survive or be performed after termination of this Agreement, regardless of the cause therefor, shall survive any termination or expiration of this Agreement.</w:t>
      </w:r>
    </w:p>
    <w:p>
      <w:pPr>
        <w:spacing w:after="0" w:line="170"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communication required or permitted to be made or given under this Agreement to either party shall be in writing and shall be sufficiently given if (i) hand delivered, (ii) sent by overnight guaranteed delivery service, such as Federal Express or UPS; or (iii) sent by facsimile transmission or electronic mail during addressee’s normal business hours, with a duplicate copy sent by overnight delivery or certified or registered mail, addressed as either party may from time to time designate to the other by written notice. Any such notice or other communication shall be deemed to be given as of the date it is received by the addressee.</w:t>
      </w:r>
    </w:p>
    <w:p>
      <w:pPr>
        <w:spacing w:after="0" w:line="188"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California, excluding the choice of law rules, and the parties hereby agree to submit to the jurisdiction and venue of the State and Federal courts of the State of California, and agree that the State and Federal courts of the State of California shall be the exclusive forum for the resolution of all disputes related to or arising out of this Agreement.</w:t>
      </w:r>
    </w:p>
    <w:p>
      <w:pPr>
        <w:spacing w:after="0" w:line="18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Amendments</w:t>
      </w:r>
      <w:r>
        <w:rPr>
          <w:rFonts w:ascii="Arial" w:cs="Arial" w:eastAsia="Arial" w:hAnsi="Arial"/>
          <w:sz w:val="18"/>
          <w:szCs w:val="18"/>
          <w:color w:val="auto"/>
        </w:rPr>
        <w:t>. This Agreement, including any applicable SOW, represents the entire agreement between the parties in relation to the subject matter contained herein and supersedes all previous other agreements and representations, whether oral or written. This Agreement may be modified only if such modification is in writing and signed by a duly authorized representative of each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SIGNATURE PAGE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Consulting Agreement as of the date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COMPANY:</w:t>
            </w: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CONSULTANT:</w:t>
            </w:r>
          </w:p>
        </w:tc>
        <w:tc>
          <w:tcPr>
            <w:tcW w:w="0" w:type="dxa"/>
            <w:vAlign w:val="bottom"/>
          </w:tcPr>
          <w:p>
            <w:pPr>
              <w:spacing w:after="0"/>
              <w:rPr>
                <w:sz w:val="1"/>
                <w:szCs w:val="1"/>
                <w:color w:val="auto"/>
              </w:rPr>
            </w:pP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color w:val="auto"/>
              </w:rPr>
              <w:t>SURFACE PHARMACEUTICALS, INC.</w:t>
            </w: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JOHN SAHAREK</w:t>
            </w:r>
          </w:p>
        </w:tc>
        <w:tc>
          <w:tcPr>
            <w:tcW w:w="0" w:type="dxa"/>
            <w:vAlign w:val="bottom"/>
          </w:tcPr>
          <w:p>
            <w:pPr>
              <w:spacing w:after="0"/>
              <w:rPr>
                <w:sz w:val="1"/>
                <w:szCs w:val="1"/>
                <w:color w:val="auto"/>
              </w:rPr>
            </w:pPr>
          </w:p>
        </w:tc>
      </w:tr>
      <w:tr>
        <w:trPr>
          <w:trHeight w:val="439"/>
        </w:trPr>
        <w:tc>
          <w:tcPr>
            <w:tcW w:w="480" w:type="dxa"/>
            <w:vAlign w:val="bottom"/>
            <w:vMerge w:val="restart"/>
          </w:tcPr>
          <w:p>
            <w:pPr>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ind w:left="220"/>
              <w:spacing w:after="0"/>
              <w:rPr>
                <w:sz w:val="20"/>
                <w:szCs w:val="20"/>
                <w:color w:val="auto"/>
              </w:rPr>
            </w:pPr>
            <w:r>
              <w:rPr>
                <w:rFonts w:ascii="Arial" w:cs="Arial" w:eastAsia="Arial" w:hAnsi="Arial"/>
                <w:sz w:val="18"/>
                <w:szCs w:val="18"/>
                <w:i w:val="1"/>
                <w:iCs w:val="1"/>
                <w:color w:val="auto"/>
              </w:rPr>
              <w:t>/s/ Andrew Boll</w:t>
            </w:r>
          </w:p>
        </w:tc>
        <w:tc>
          <w:tcPr>
            <w:tcW w:w="900" w:type="dxa"/>
            <w:vAlign w:val="bottom"/>
            <w:vMerge w:val="restart"/>
          </w:tcPr>
          <w:p>
            <w:pPr>
              <w:ind w:left="220"/>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i w:val="1"/>
                <w:iCs w:val="1"/>
                <w:color w:val="auto"/>
              </w:rPr>
              <w:t>/s/ John Saharek</w:t>
            </w:r>
          </w:p>
        </w:tc>
        <w:tc>
          <w:tcPr>
            <w:tcW w:w="0" w:type="dxa"/>
            <w:vAlign w:val="bottom"/>
          </w:tcPr>
          <w:p>
            <w:pPr>
              <w:spacing w:after="0"/>
              <w:rPr>
                <w:sz w:val="1"/>
                <w:szCs w:val="1"/>
                <w:color w:val="auto"/>
              </w:rPr>
            </w:pPr>
          </w:p>
        </w:tc>
      </w:tr>
      <w:tr>
        <w:trPr>
          <w:trHeight w:val="202"/>
        </w:trPr>
        <w:tc>
          <w:tcPr>
            <w:tcW w:w="4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4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Andrew R. Boll</w:t>
            </w:r>
          </w:p>
        </w:tc>
        <w:tc>
          <w:tcPr>
            <w:tcW w:w="900" w:type="dxa"/>
            <w:vAlign w:val="bottom"/>
            <w:vMerge w:val="continue"/>
          </w:tcPr>
          <w:p>
            <w:pPr>
              <w:spacing w:after="0"/>
              <w:rPr>
                <w:sz w:val="17"/>
                <w:szCs w:val="17"/>
                <w:color w:val="auto"/>
              </w:rPr>
            </w:pPr>
          </w:p>
        </w:tc>
        <w:tc>
          <w:tcPr>
            <w:tcW w:w="4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John Saharek</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Its:</w:t>
            </w: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Executive Director</w:t>
            </w:r>
          </w:p>
        </w:tc>
        <w:tc>
          <w:tcPr>
            <w:tcW w:w="90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An individual</w:t>
            </w:r>
          </w:p>
        </w:tc>
        <w:tc>
          <w:tcPr>
            <w:tcW w:w="0" w:type="dxa"/>
            <w:vAlign w:val="bottom"/>
          </w:tcPr>
          <w:p>
            <w:pPr>
              <w:spacing w:after="0"/>
              <w:rPr>
                <w:sz w:val="1"/>
                <w:szCs w:val="1"/>
                <w:color w:val="auto"/>
              </w:rPr>
            </w:pPr>
          </w:p>
        </w:tc>
      </w:tr>
      <w:tr>
        <w:trPr>
          <w:trHeight w:val="432"/>
        </w:trPr>
        <w:tc>
          <w:tcPr>
            <w:tcW w:w="480" w:type="dxa"/>
            <w:vAlign w:val="bottom"/>
          </w:tcPr>
          <w:p>
            <w:pPr>
              <w:spacing w:after="0"/>
              <w:rPr>
                <w:sz w:val="24"/>
                <w:szCs w:val="24"/>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10/27/2017</w:t>
            </w:r>
          </w:p>
        </w:tc>
        <w:tc>
          <w:tcPr>
            <w:tcW w:w="900" w:type="dxa"/>
            <w:vAlign w:val="bottom"/>
          </w:tcPr>
          <w:p>
            <w:pPr>
              <w:ind w:left="220"/>
              <w:spacing w:after="0"/>
              <w:rPr>
                <w:sz w:val="20"/>
                <w:szCs w:val="20"/>
                <w:color w:val="auto"/>
              </w:rPr>
            </w:pPr>
            <w:r>
              <w:rPr>
                <w:rFonts w:ascii="Arial" w:cs="Arial" w:eastAsia="Arial" w:hAnsi="Arial"/>
                <w:sz w:val="18"/>
                <w:szCs w:val="18"/>
                <w:color w:val="auto"/>
              </w:rPr>
              <w:t>Date:</w:t>
            </w:r>
          </w:p>
        </w:tc>
        <w:tc>
          <w:tcPr>
            <w:tcW w:w="4900" w:type="dxa"/>
            <w:vAlign w:val="bottom"/>
          </w:tcPr>
          <w:p>
            <w:pPr>
              <w:spacing w:after="0"/>
              <w:rPr>
                <w:sz w:val="20"/>
                <w:szCs w:val="20"/>
                <w:color w:val="auto"/>
              </w:rPr>
            </w:pPr>
            <w:r>
              <w:rPr>
                <w:rFonts w:ascii="Arial" w:cs="Arial" w:eastAsia="Arial" w:hAnsi="Arial"/>
                <w:sz w:val="18"/>
                <w:szCs w:val="18"/>
                <w:color w:val="auto"/>
              </w:rPr>
              <w:t>10/27/2017</w:t>
            </w: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92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4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Reviewed and approved by</w:t>
      </w:r>
      <w:r>
        <w:rPr>
          <w:rFonts w:ascii="Arial" w:cs="Arial" w:eastAsia="Arial" w:hAnsi="Arial"/>
          <w:sz w:val="18"/>
          <w:szCs w:val="18"/>
          <w:b w:val="1"/>
          <w:bCs w:val="1"/>
          <w:color w:val="auto"/>
        </w:rPr>
        <w:t>:</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 Robert Kammer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Robert J. Kammer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Surface Committee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Parent Corporation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Surface Pharmaceuticals,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Appendix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Work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Consulting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John Saharek and Surface Pharmaceuticals,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Consultant shall provide advisory services to the Company relating to its sales and marketing activities and other related services as may be requested from time to time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or shortly following commencement of Consultant’s Services to the Company, the Company shall grant to Consultant an option to purchase up to 20,000 shares of the Company’s restricted common stock, par value $0.001 (“Common Stock”) under the terms of the Company’s 2017 Equity Incentive Plan (the “Plan”) and a Stock Option Grant Notice and Agreement thereunder to be provided to Consultant by the Company (collectively with the Plan, the “Stock Option Documents”).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shares subject to the option shall vest upon the earliest of:</w:t>
      </w:r>
    </w:p>
    <w:p>
      <w:pPr>
        <w:spacing w:after="0" w:line="225" w:lineRule="exact"/>
        <w:rPr>
          <w:sz w:val="20"/>
          <w:szCs w:val="20"/>
          <w:color w:val="auto"/>
        </w:rPr>
      </w:pPr>
    </w:p>
    <w:p>
      <w:pPr>
        <w:ind w:left="980" w:hanging="648"/>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Change in Control (as defined in the Plan);</w:t>
      </w:r>
    </w:p>
    <w:p>
      <w:pPr>
        <w:spacing w:after="0" w:line="225"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of any underwriting agreement between the Company and the underwriter(s) managing an initial public offering of the Company’s common stock, pursuant to which the common stock is priced for initial public offering (the “IPO”);</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immediately prior to the one year anniversary of the date of grant of the option (as indicated in the Stock Option Documents).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and in any case of (1), (2) and (3), subject to Consultant’s Continuous Service through such vesting date; </w:t>
      </w:r>
      <w:r>
        <w:rPr>
          <w:rFonts w:ascii="Arial" w:cs="Arial" w:eastAsia="Arial" w:hAnsi="Arial"/>
          <w:sz w:val="18"/>
          <w:szCs w:val="18"/>
          <w:i w:val="1"/>
          <w:iCs w:val="1"/>
          <w:color w:val="auto"/>
        </w:rPr>
        <w:t>provided, however</w:t>
      </w:r>
      <w:r>
        <w:rPr>
          <w:rFonts w:ascii="Arial" w:cs="Arial" w:eastAsia="Arial" w:hAnsi="Arial"/>
          <w:sz w:val="18"/>
          <w:szCs w:val="18"/>
          <w:color w:val="auto"/>
        </w:rPr>
        <w:t>, in the event Consultant’s Continuous Service is terminated by the Company (other than for Cause) or by death of Consultant prior to the completion of the Term (as defined in this Consulting Agreement), the shares subject to the option shall vest immediately upon such termination.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Consultant understands that that the receipt of the option and/or shares subject to the option hereunder will trigger tax consequences to Consultant for which Consultant will be solely responsible and that the option and/or shares subject to the option have not been registered under the Securities Act of 1933, as amended, or any applicable state securities law. Consultant must execute the Restricted Stock Documents as a condition to receipt of the option and/or shares subject to the option 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Consultant commenced providing Services to the Company on or about July 30, 2017 and shall provide the Services through the earliest of (i) one year from the date of grant of the option, (ii) a Change in Control, (iii) the IPO, or (iv) such earlier date as the Services are terminated by the Company or Consultant in accordance with this Agreement (the “Term”).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8" w:name="page109"/>
    <w:bookmarkEnd w:id="10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 2017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87"/>
              </w:rPr>
              <w:t>State of</w:t>
            </w:r>
          </w:p>
        </w:tc>
      </w:tr>
      <w:tr>
        <w:trPr>
          <w:trHeight w:val="203"/>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3"/>
              </w:rPr>
              <w:t>Incorporation or</w:t>
            </w:r>
          </w:p>
        </w:tc>
      </w:tr>
      <w:tr>
        <w:trPr>
          <w:trHeight w:val="228"/>
        </w:trPr>
        <w:tc>
          <w:tcPr>
            <w:tcW w:w="5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Name of Subsidiary</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2"/>
              </w:rPr>
              <w:t>Organization</w:t>
            </w:r>
          </w:p>
        </w:tc>
      </w:tr>
      <w:tr>
        <w:trPr>
          <w:trHeight w:val="203"/>
        </w:trPr>
        <w:tc>
          <w:tcPr>
            <w:tcW w:w="562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Imprimis NJOF, LLC</w:t>
            </w:r>
          </w:p>
        </w:tc>
        <w:tc>
          <w:tcPr>
            <w:tcW w:w="200" w:type="dxa"/>
            <w:vAlign w:val="bottom"/>
            <w:tcBorders>
              <w:top w:val="single" w:sz="8" w:color="CCEEFF"/>
            </w:tcBorders>
            <w:shd w:val="clear" w:color="auto" w:fill="CCEEFF"/>
          </w:tcPr>
          <w:p>
            <w:pPr>
              <w:spacing w:after="0"/>
              <w:rPr>
                <w:sz w:val="17"/>
                <w:szCs w:val="17"/>
                <w:color w:val="auto"/>
              </w:rPr>
            </w:pPr>
          </w:p>
        </w:tc>
        <w:tc>
          <w:tcPr>
            <w:tcW w:w="560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New Jersey</w:t>
            </w:r>
          </w:p>
        </w:tc>
      </w:tr>
      <w:tr>
        <w:trPr>
          <w:trHeight w:val="203"/>
        </w:trPr>
        <w:tc>
          <w:tcPr>
            <w:tcW w:w="582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6"/>
              </w:rPr>
              <w:t>ImprimisRx NJ, LLC</w:t>
            </w:r>
          </w:p>
        </w:tc>
        <w:tc>
          <w:tcPr>
            <w:tcW w:w="5600" w:type="dxa"/>
            <w:vAlign w:val="bottom"/>
          </w:tcPr>
          <w:p>
            <w:pPr>
              <w:jc w:val="center"/>
              <w:spacing w:after="0" w:line="202" w:lineRule="exact"/>
              <w:rPr>
                <w:sz w:val="20"/>
                <w:szCs w:val="20"/>
                <w:color w:val="auto"/>
              </w:rPr>
            </w:pPr>
            <w:r>
              <w:rPr>
                <w:rFonts w:ascii="Arial" w:cs="Arial" w:eastAsia="Arial" w:hAnsi="Arial"/>
                <w:sz w:val="18"/>
                <w:szCs w:val="18"/>
                <w:color w:val="auto"/>
                <w:w w:val="89"/>
              </w:rPr>
              <w:t>New Jersey</w:t>
            </w:r>
          </w:p>
        </w:tc>
      </w:tr>
      <w:tr>
        <w:trPr>
          <w:trHeight w:val="203"/>
        </w:trPr>
        <w:tc>
          <w:tcPr>
            <w:tcW w:w="582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2"/>
              </w:rPr>
              <w:t>Park Compounding, Inc.</w:t>
            </w:r>
          </w:p>
        </w:tc>
        <w:tc>
          <w:tcPr>
            <w:tcW w:w="56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California</w:t>
            </w:r>
          </w:p>
        </w:tc>
      </w:tr>
      <w:tr>
        <w:trPr>
          <w:trHeight w:val="203"/>
        </w:trPr>
        <w:tc>
          <w:tcPr>
            <w:tcW w:w="582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4"/>
              </w:rPr>
              <w:t>ImprimisRx PA, Inc.</w:t>
            </w:r>
          </w:p>
        </w:tc>
        <w:tc>
          <w:tcPr>
            <w:tcW w:w="5600" w:type="dxa"/>
            <w:vAlign w:val="bottom"/>
          </w:tcPr>
          <w:p>
            <w:pPr>
              <w:jc w:val="center"/>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5820" w:type="dxa"/>
            <w:vAlign w:val="bottom"/>
            <w:gridSpan w:val="2"/>
            <w:shd w:val="clear" w:color="auto" w:fill="CCEEFF"/>
          </w:tcPr>
          <w:p>
            <w:pPr>
              <w:jc w:val="center"/>
              <w:ind w:right="180"/>
              <w:spacing w:after="0" w:line="202" w:lineRule="exact"/>
              <w:rPr>
                <w:sz w:val="20"/>
                <w:szCs w:val="20"/>
                <w:color w:val="auto"/>
              </w:rPr>
            </w:pPr>
            <w:r>
              <w:rPr>
                <w:rFonts w:ascii="Arial" w:cs="Arial" w:eastAsia="Arial" w:hAnsi="Arial"/>
                <w:sz w:val="18"/>
                <w:szCs w:val="18"/>
                <w:color w:val="auto"/>
                <w:w w:val="96"/>
              </w:rPr>
              <w:t>ImprimisRx TX, Inc.</w:t>
            </w:r>
          </w:p>
        </w:tc>
        <w:tc>
          <w:tcPr>
            <w:tcW w:w="56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5"/>
              </w:rPr>
              <w:t>Texas</w:t>
            </w:r>
          </w:p>
        </w:tc>
      </w:tr>
      <w:tr>
        <w:trPr>
          <w:trHeight w:val="230"/>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Surface Pharmaceuticals, Inc.</w:t>
            </w:r>
          </w:p>
        </w:tc>
        <w:tc>
          <w:tcPr>
            <w:tcW w:w="5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98"/>
        </w:trPr>
        <w:tc>
          <w:tcPr>
            <w:tcW w:w="5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110" w:name="page111"/>
    <w:bookmarkEnd w:id="1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1" w:name="page112"/>
    <w:bookmarkEnd w:id="111"/>
    <w:p>
      <w:pPr>
        <w:ind w:left="10280"/>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333-159159, 333-183488, 333-198674 and 333-220186 on Form S-8 and Registration Statement No. 333-198675, 333-215672 and 333-218308 on Form S-3 of our report dated March 8, 2018, relating to the consolidated financial statements of Imprimis Pharmaceuticals, Inc. and subsidiaries, appearing in this Annual Report on Form 10-K of Imprimis Pharmaceuticals, Inc. for the year ended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KMJ Corbin &amp; Company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2" w:name="page113"/>
    <w:bookmarkEnd w:id="11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Mark L. Baum, certify that:</w:t>
      </w:r>
    </w:p>
    <w:p>
      <w:pPr>
        <w:spacing w:after="0" w:line="229"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Form 10-K for the fiscal year ended December 31, 2017 of Imprimis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8, 2018</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4" w:name="page115"/>
    <w:bookmarkEnd w:id="11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5" w:name="page116"/>
    <w:bookmarkEnd w:id="115"/>
    <w:p>
      <w:pPr>
        <w:ind w:left="1028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Andrew R. Boll, certify that:</w:t>
      </w:r>
    </w:p>
    <w:p>
      <w:pPr>
        <w:spacing w:after="0" w:line="229"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Form 10-K for the fiscal year ended December 31, 2017 of Imprimis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8, 2018</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6" w:name="page117"/>
    <w:bookmarkEnd w:id="11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In connection with the Annual Report on Form 10-K of Imprimis Pharmaceuticals, Inc. (the “Company”) for the period ended December 31, 2016 as filed with the Securities and Exchange Commission on the date hereof (the “Report”), the undersigned, Mark L. Baum, Chief Executive Officer of the Company, hereby certifies, pursuant to 18 U.S.C. Section 1350, that to his knowledge:</w:t>
      </w:r>
    </w:p>
    <w:p>
      <w:pPr>
        <w:spacing w:after="0" w:line="181" w:lineRule="exact"/>
        <w:rPr>
          <w:sz w:val="20"/>
          <w:szCs w:val="20"/>
          <w:color w:val="auto"/>
        </w:rPr>
      </w:pPr>
    </w:p>
    <w:p>
      <w:pPr>
        <w:ind w:left="700" w:hanging="251"/>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340" w:firstLine="449"/>
        <w:spacing w:after="0" w:line="501" w:lineRule="auto"/>
        <w:tabs>
          <w:tab w:leader="none" w:pos="69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8, 2018</w:t>
      </w: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10-K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8" w:name="page119"/>
    <w:bookmarkEnd w:id="11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In connection with the Annual Report on Form 10-K of Imprimis Pharmaceuticals, Inc. (the “Company”) for the period ended December 31, 2017 as filed with the Securities and Exchange Commission on the date hereof (the “Report”), the undersigned, Andrew R. Boll, Chief Financial Officer of the Company, hereby certifies, pursuant to 18 U.S.C. Section 1350, that to his knowledge:</w:t>
      </w:r>
    </w:p>
    <w:p>
      <w:pPr>
        <w:spacing w:after="0" w:line="181" w:lineRule="exact"/>
        <w:rPr>
          <w:sz w:val="20"/>
          <w:szCs w:val="20"/>
          <w:color w:val="auto"/>
        </w:rPr>
      </w:pPr>
    </w:p>
    <w:p>
      <w:pPr>
        <w:ind w:left="700" w:hanging="251"/>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340" w:firstLine="449"/>
        <w:spacing w:after="0" w:line="501" w:lineRule="auto"/>
        <w:tabs>
          <w:tab w:leader="none" w:pos="69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8, 2018</w:t>
      </w: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10-K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0" w:name="page121"/>
    <w:bookmarkEnd w:id="12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upperLetter"/>
      <w:start w:val="24"/>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2"/>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decimal"/>
      <w:start w:val="3"/>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1)"/>
      <w:numFmt w:val="lowerLetter"/>
      <w:start w:val="1"/>
    </w:lvl>
    <w:lvl w:ilvl="1">
      <w:lvlJc w:val="left"/>
      <w:lvlText w:val="(%2)"/>
      <w:numFmt w:val="decimal"/>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2"/>
    </w:lvl>
  </w:abstractNum>
  <w:abstractNum w:abstractNumId="19">
    <w:nsid w:val="3A95F874"/>
    <w:multiLevelType w:val="hybridMultilevel"/>
    <w:lvl w:ilvl="0">
      <w:lvlJc w:val="left"/>
      <w:lvlText w:val="%1."/>
      <w:numFmt w:val="decimal"/>
      <w:start w:val="3"/>
    </w:lvl>
  </w:abstractNum>
  <w:abstractNum w:abstractNumId="20">
    <w:nsid w:val="8138641"/>
    <w:multiLevelType w:val="hybridMultilevel"/>
    <w:lvl w:ilvl="0">
      <w:lvlJc w:val="left"/>
      <w:lvlText w:val="%1."/>
      <w:numFmt w:val="decimal"/>
      <w:start w:val="4"/>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decimal"/>
      <w:start w:val="5"/>
    </w:lvl>
  </w:abstractNum>
  <w:abstractNum w:abstractNumId="23">
    <w:nsid w:val="737B8DDC"/>
    <w:multiLevelType w:val="hybridMultilevel"/>
    <w:lvl w:ilvl="0">
      <w:lvlJc w:val="left"/>
      <w:lvlText w:val="%1."/>
      <w:numFmt w:val="decimal"/>
      <w:start w:val="6"/>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1."/>
      <w:numFmt w:val="decimal"/>
      <w:start w:val="5"/>
    </w:lvl>
  </w:abstractNum>
  <w:abstractNum w:abstractNumId="28">
    <w:nsid w:val="614FD4A1"/>
    <w:multiLevelType w:val="hybridMultilevel"/>
    <w:lvl w:ilvl="0">
      <w:lvlJc w:val="left"/>
      <w:lvlText w:val="%1."/>
      <w:numFmt w:val="decimal"/>
      <w:start w:val="6"/>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decimal"/>
      <w:start w:val="5"/>
    </w:lvl>
  </w:abstractNum>
  <w:abstractNum w:abstractNumId="33">
    <w:nsid w:val="3804823E"/>
    <w:multiLevelType w:val="hybridMultilevel"/>
    <w:lvl w:ilvl="0">
      <w:lvlJc w:val="left"/>
      <w:lvlText w:val="%1."/>
      <w:numFmt w:val="decimal"/>
      <w:start w:val="6"/>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52" Type="http://schemas.openxmlformats.org/officeDocument/2006/relationships/image" Target="media/image88.png"/><Relationship Id="rId153" Type="http://schemas.openxmlformats.org/officeDocument/2006/relationships/image" Target="media/image89.png"/><Relationship Id="rId154" Type="http://schemas.openxmlformats.org/officeDocument/2006/relationships/image" Target="media/image90.png"/><Relationship Id="rId155" Type="http://schemas.openxmlformats.org/officeDocument/2006/relationships/image" Target="media/image91.png"/><Relationship Id="rId156" Type="http://schemas.openxmlformats.org/officeDocument/2006/relationships/image" Target="media/image92.png"/><Relationship Id="rId157" Type="http://schemas.openxmlformats.org/officeDocument/2006/relationships/image" Target="media/image93.png"/><Relationship Id="rId158" Type="http://schemas.openxmlformats.org/officeDocument/2006/relationships/image" Target="media/image94.png"/><Relationship Id="rId159" Type="http://schemas.openxmlformats.org/officeDocument/2006/relationships/image" Target="media/image95.png"/><Relationship Id="rId160" Type="http://schemas.openxmlformats.org/officeDocument/2006/relationships/image" Target="media/image96.png"/><Relationship Id="rId161" Type="http://schemas.openxmlformats.org/officeDocument/2006/relationships/image" Target="media/image97.png"/><Relationship Id="rId162" Type="http://schemas.openxmlformats.org/officeDocument/2006/relationships/image" Target="media/image98.png"/><Relationship Id="rId163" Type="http://schemas.openxmlformats.org/officeDocument/2006/relationships/image" Target="media/image99.png"/><Relationship Id="rId164" Type="http://schemas.openxmlformats.org/officeDocument/2006/relationships/image" Target="media/image100.png"/><Relationship Id="rId165" Type="http://schemas.openxmlformats.org/officeDocument/2006/relationships/image" Target="media/image101.png"/><Relationship Id="rId166" Type="http://schemas.openxmlformats.org/officeDocument/2006/relationships/image" Target="media/image102.png"/><Relationship Id="rId167" Type="http://schemas.openxmlformats.org/officeDocument/2006/relationships/image" Target="media/image103.png"/><Relationship Id="rId168" Type="http://schemas.openxmlformats.org/officeDocument/2006/relationships/image" Target="media/image104.png"/><Relationship Id="rId169" Type="http://schemas.openxmlformats.org/officeDocument/2006/relationships/image" Target="media/image105.png"/><Relationship Id="rId170" Type="http://schemas.openxmlformats.org/officeDocument/2006/relationships/image" Target="media/image106.png"/><Relationship Id="rId171" Type="http://schemas.openxmlformats.org/officeDocument/2006/relationships/image" Target="media/image107.png"/><Relationship Id="rId172" Type="http://schemas.openxmlformats.org/officeDocument/2006/relationships/image" Target="media/image108.png"/><Relationship Id="rId173" Type="http://schemas.openxmlformats.org/officeDocument/2006/relationships/image" Target="media/image109.png"/><Relationship Id="rId174" Type="http://schemas.openxmlformats.org/officeDocument/2006/relationships/image" Target="media/image110.png"/><Relationship Id="rId175" Type="http://schemas.openxmlformats.org/officeDocument/2006/relationships/image" Target="media/image111.png"/><Relationship Id="rId176" Type="http://schemas.openxmlformats.org/officeDocument/2006/relationships/image" Target="media/image112.png"/><Relationship Id="rId177" Type="http://schemas.openxmlformats.org/officeDocument/2006/relationships/image" Target="media/image113.png"/><Relationship Id="rId178" Type="http://schemas.openxmlformats.org/officeDocument/2006/relationships/image" Target="media/image114.png"/><Relationship Id="rId179" Type="http://schemas.openxmlformats.org/officeDocument/2006/relationships/image" Target="media/image115.png"/><Relationship Id="rId180" Type="http://schemas.openxmlformats.org/officeDocument/2006/relationships/image" Target="media/image116.png"/><Relationship Id="rId181" Type="http://schemas.openxmlformats.org/officeDocument/2006/relationships/image" Target="media/image117.png"/><Relationship Id="rId182" Type="http://schemas.openxmlformats.org/officeDocument/2006/relationships/image" Target="media/image118.png"/><Relationship Id="rId95" Type="http://schemas.openxmlformats.org/officeDocument/2006/relationships/hyperlink" Target="http://www.sec.gov/Archives/edgar/data/1360214/000114420407050619/v088205_ex2-1.htm" TargetMode="External"/><Relationship Id="rId96" Type="http://schemas.openxmlformats.org/officeDocument/2006/relationships/hyperlink" Target="http://www.sec.gov/Archives/edgar/data/1360214/000149315214000408/ex2-1.htm" TargetMode="External"/><Relationship Id="rId97" Type="http://schemas.openxmlformats.org/officeDocument/2006/relationships/hyperlink" Target="http://www.sec.gov/Archives/edgar/data/1360214/000149315214004010/ex2-1.htm" TargetMode="External"/><Relationship Id="rId98" Type="http://schemas.openxmlformats.org/officeDocument/2006/relationships/hyperlink" Target="http://www.sec.gov/Archives/edgar/data/1360214/000149315215003565/ex10-4.htm" TargetMode="External"/><Relationship Id="rId99" Type="http://schemas.openxmlformats.org/officeDocument/2006/relationships/hyperlink" Target="http://www.sec.gov/Archives/edgar/data/1360214/000149315214000878/ex3-2.htm" TargetMode="External"/><Relationship Id="rId100" Type="http://schemas.openxmlformats.org/officeDocument/2006/relationships/hyperlink" Target="http://www.sec.gov/Archives/edgar/data/1360214/000107878211003672/f8k121911_ex3z1.htm" TargetMode="External"/><Relationship Id="rId101" Type="http://schemas.openxmlformats.org/officeDocument/2006/relationships/hyperlink" Target="http://www.sec.gov/Archives/edgar/data/1360214/000114420407050619/v088205_ex10-8.htm" TargetMode="External"/><Relationship Id="rId102" Type="http://schemas.openxmlformats.org/officeDocument/2006/relationships/hyperlink" Target="http://www.sec.gov/Archives/edgar/data/1360214/000135448813002503/immy_ex103.htm" TargetMode="External"/><Relationship Id="rId103" Type="http://schemas.openxmlformats.org/officeDocument/2006/relationships/hyperlink" Target="http://www.sec.gov/Archives/edgar/data/1360214/000149315213002218/ex10-3.htm" TargetMode="External"/><Relationship Id="rId104" Type="http://schemas.openxmlformats.org/officeDocument/2006/relationships/hyperlink" Target="http://www.sec.gov/Archives/edgar/data/1360214/000114420407050619/v088205_ex10-12.htm" TargetMode="External"/><Relationship Id="rId105" Type="http://schemas.openxmlformats.org/officeDocument/2006/relationships/hyperlink" Target="http://www.sec.gov/Archives/edgar/data/1360214/000114420407050619/v088205_ex10-13.htm" TargetMode="External"/><Relationship Id="rId106" Type="http://schemas.openxmlformats.org/officeDocument/2006/relationships/hyperlink" Target="http://www.sec.gov/Archives/edgar/data/1360214/000135448813002503/immy_ex104.htm" TargetMode="External"/><Relationship Id="rId107" Type="http://schemas.openxmlformats.org/officeDocument/2006/relationships/hyperlink" Target="http://www.sec.gov/Archives/edgar/data/1360214/000107878212001147/f8k042712_ex10z2.htm" TargetMode="External"/><Relationship Id="rId108" Type="http://schemas.openxmlformats.org/officeDocument/2006/relationships/hyperlink" Target="http://www.sec.gov/Archives/edgar/data/1360214/000135448812003649/tdlp_ex1040.htm" TargetMode="External"/><Relationship Id="rId109" Type="http://schemas.openxmlformats.org/officeDocument/2006/relationships/hyperlink" Target="http://www.sec.gov/Archives/edgar/data/1360214/000135448812003649/tdlp_ex1041.htm" TargetMode="External"/><Relationship Id="rId110" Type="http://schemas.openxmlformats.org/officeDocument/2006/relationships/hyperlink" Target="http://www.sec.gov/Archives/edgar/data/1360214/000135448812005456/immy_ex1044.htm" TargetMode="External"/><Relationship Id="rId111" Type="http://schemas.openxmlformats.org/officeDocument/2006/relationships/hyperlink" Target="http://www.sec.gov/Archives/edgar/data/1360214/000135448813002503/immy_ex102.htm" TargetMode="External"/><Relationship Id="rId112" Type="http://schemas.openxmlformats.org/officeDocument/2006/relationships/hyperlink" Target="http://www.sec.gov/Archives/edgar/data/1360214/000135448813004603/immy_ex104.htm" TargetMode="External"/><Relationship Id="rId113" Type="http://schemas.openxmlformats.org/officeDocument/2006/relationships/hyperlink" Target="http://www.sec.gov/Archives/edgar/data/1360214/000135448813004603/immy_ex105.htm" TargetMode="External"/><Relationship Id="rId114" Type="http://schemas.openxmlformats.org/officeDocument/2006/relationships/hyperlink" Target="http://www.sec.gov/Archives/edgar/data/1360214/000149315213002218/ex10-1.htm" TargetMode="External"/><Relationship Id="rId115" Type="http://schemas.openxmlformats.org/officeDocument/2006/relationships/hyperlink" Target="http://www.sec.gov/Archives/edgar/data/1360214/000149315213002218/ex10-2.htm" TargetMode="External"/><Relationship Id="rId116" Type="http://schemas.openxmlformats.org/officeDocument/2006/relationships/hyperlink" Target="http://www.sec.gov/Archives/edgar/data/1360214/000149315214000878/ex10-27.htm" TargetMode="External"/><Relationship Id="rId117" Type="http://schemas.openxmlformats.org/officeDocument/2006/relationships/hyperlink" Target="http://www.sec.gov/Archives/edgar/data/1360214/000149315214000878/ex10-28.htm" TargetMode="External"/><Relationship Id="rId118" Type="http://schemas.openxmlformats.org/officeDocument/2006/relationships/hyperlink" Target="http://www.sec.gov/Archives/edgar/data/1360214/000149315214000878/ex10-29.htm" TargetMode="External"/><Relationship Id="rId119" Type="http://schemas.openxmlformats.org/officeDocument/2006/relationships/hyperlink" Target="http://www.sec.gov/Archives/edgar/data/1360214/000149315214003462/ex10-1.htm" TargetMode="External"/><Relationship Id="rId120" Type="http://schemas.openxmlformats.org/officeDocument/2006/relationships/hyperlink" Target="http://www.sec.gov/Archives/edgar/data/1360214/000149315215000345/ex10-1.htm" TargetMode="External"/><Relationship Id="rId121" Type="http://schemas.openxmlformats.org/officeDocument/2006/relationships/hyperlink" Target="http://www.sec.gov/Archives/edgar/data/1360214/000149315215000345/ex10-2.htm" TargetMode="External"/><Relationship Id="rId122" Type="http://schemas.openxmlformats.org/officeDocument/2006/relationships/hyperlink" Target="http://www.sec.gov/Archives/edgar/data/1360214/000149315215000345/ex10-3.htm" TargetMode="External"/><Relationship Id="rId123" Type="http://schemas.openxmlformats.org/officeDocument/2006/relationships/hyperlink" Target="http://www.sec.gov/Archives/edgar/data/1360214/000149315215001853/ex10-2.htm" TargetMode="External"/><Relationship Id="rId124" Type="http://schemas.openxmlformats.org/officeDocument/2006/relationships/hyperlink" Target="http://www.sec.gov/Archives/edgar/data/1360214/000149315215001853/ex10-1.htm" TargetMode="External"/><Relationship Id="rId125" Type="http://schemas.openxmlformats.org/officeDocument/2006/relationships/hyperlink" Target="http://www.sec.gov/Archives/edgar/data/1360214/000149315215003566/ex10-1.htm" TargetMode="External"/><Relationship Id="rId126" Type="http://schemas.openxmlformats.org/officeDocument/2006/relationships/hyperlink" Target="http://www.sec.gov/Archives/edgar/data/1360214/000149315215005350/ex10-1.htm" TargetMode="External"/><Relationship Id="rId127" Type="http://schemas.openxmlformats.org/officeDocument/2006/relationships/hyperlink" Target="http://www.sec.gov/Archives/edgar/data/1360214/000149315215005914/ex1-1.htm" TargetMode="External"/><Relationship Id="rId128" Type="http://schemas.openxmlformats.org/officeDocument/2006/relationships/hyperlink" Target="http://www.sec.gov/Archives/edgar/data/1360214/000149315216008212/ex10-30.htm" TargetMode="External"/><Relationship Id="rId129" Type="http://schemas.openxmlformats.org/officeDocument/2006/relationships/hyperlink" Target="http://www.sec.gov/Archives/edgar/data/1360214/000149315216006916/ex10-1.htm" TargetMode="External"/><Relationship Id="rId130" Type="http://schemas.openxmlformats.org/officeDocument/2006/relationships/hyperlink" Target="http://www.sec.gov/Archives/edgar/data/1360214/000149315216006916/ex10-2.htm" TargetMode="External"/><Relationship Id="rId131" Type="http://schemas.openxmlformats.org/officeDocument/2006/relationships/hyperlink" Target="http://www.sec.gov/Archives/edgar/data/1360214/000149315216006916/ex10-3.htm" TargetMode="External"/><Relationship Id="rId132" Type="http://schemas.openxmlformats.org/officeDocument/2006/relationships/hyperlink" Target="http://www.sec.gov/Archives/edgar/data/1360214/000149315216006916/ex10-4.htm" TargetMode="External"/><Relationship Id="rId133" Type="http://schemas.openxmlformats.org/officeDocument/2006/relationships/hyperlink" Target="http://www.sec.gov/Archives/edgar/data/1360214/000149315216008006/ex1-1.htm" TargetMode="External"/><Relationship Id="rId134" Type="http://schemas.openxmlformats.org/officeDocument/2006/relationships/hyperlink" Target="http://www.sec.gov/Archives/edgar/data/1360214/000149315216016187/ex10-1.htm" TargetMode="External"/><Relationship Id="rId135" Type="http://schemas.openxmlformats.org/officeDocument/2006/relationships/hyperlink" Target="http://www.sec.gov/Archives/edgar/data/1360214/000149315216016187/ex10-2.htm" TargetMode="External"/><Relationship Id="rId136" Type="http://schemas.openxmlformats.org/officeDocument/2006/relationships/hyperlink" Target="http://www.sec.gov/Archives/edgar/data/1360214/000149315216016187/ex10-3.htm" TargetMode="External"/><Relationship Id="rId137" Type="http://schemas.openxmlformats.org/officeDocument/2006/relationships/hyperlink" Target="http://www.sec.gov/Archives/edgar/data/1360214/000149315216016261/ex10-1.htm" TargetMode="External"/><Relationship Id="rId138" Type="http://schemas.openxmlformats.org/officeDocument/2006/relationships/hyperlink" Target="http://www.sec.gov/Archives/edgar/data/1360214/000149315216016261/ex10-2.htm" TargetMode="External"/><Relationship Id="rId139" Type="http://schemas.openxmlformats.org/officeDocument/2006/relationships/hyperlink" Target="http://www.sec.gov/Archives/edgar/data/1360214/000149315216016261/ex10-3.htm" TargetMode="External"/><Relationship Id="rId140" Type="http://schemas.openxmlformats.org/officeDocument/2006/relationships/hyperlink" Target="http://www.sec.gov/Archives/edgar/data/1360214/000149315217001716/ex10-1.htm" TargetMode="External"/><Relationship Id="rId141" Type="http://schemas.openxmlformats.org/officeDocument/2006/relationships/hyperlink" Target="http://www.sec.gov/Archives/edgar/data/1360214/000149315217002715/ex10-1.htm" TargetMode="External"/><Relationship Id="rId142" Type="http://schemas.openxmlformats.org/officeDocument/2006/relationships/hyperlink" Target="http://www.sec.gov/Archives/edgar/data/1360214/000149315217003596/ex10-1.htm" TargetMode="External"/><Relationship Id="rId143" Type="http://schemas.openxmlformats.org/officeDocument/2006/relationships/hyperlink" Target="http://www.sec.gov/Archives/edgar/data/1360214/000149315217004007/ex10-1.htm" TargetMode="External"/><Relationship Id="rId144" Type="http://schemas.openxmlformats.org/officeDocument/2006/relationships/hyperlink" Target="http://www.sec.gov/Archives/edgar/data/1360214/000149315217004662/ex10-1.htm" TargetMode="External"/><Relationship Id="rId145" Type="http://schemas.openxmlformats.org/officeDocument/2006/relationships/hyperlink" Target="http://www.sec.gov/Archives/edgar/data/1360214/000149315217008881/ex10-8.htm" TargetMode="External"/><Relationship Id="rId146" Type="http://schemas.openxmlformats.org/officeDocument/2006/relationships/hyperlink" Target="http://www.sec.gov/Archives/edgar/data/1360214/000149315217008881/ex10-9.htm" TargetMode="External"/><Relationship Id="rId147" Type="http://schemas.openxmlformats.org/officeDocument/2006/relationships/hyperlink" Target="http://www.sec.gov/Archives/edgar/data/1360214/000149315217008881/ex10-10.htm" TargetMode="External"/><Relationship Id="rId148" Type="http://schemas.openxmlformats.org/officeDocument/2006/relationships/hyperlink" Target="http://www.sec.gov/Archives/edgar/data/1360214/000149315217008881/ex10-11.htm" TargetMode="External"/><Relationship Id="rId149" Type="http://schemas.openxmlformats.org/officeDocument/2006/relationships/hyperlink" Target="http://www.sec.gov/Archives/edgar/data/1360214/000149315217006919/ex10-1.htm" TargetMode="External"/><Relationship Id="rId150" Type="http://schemas.openxmlformats.org/officeDocument/2006/relationships/hyperlink" Target="http://www.sec.gov/Archives/edgar/data/1360214/000149315217006919/ex10-2.htm" TargetMode="External"/><Relationship Id="rId151" Type="http://schemas.openxmlformats.org/officeDocument/2006/relationships/hyperlink" Target="http://www.sec.gov/Archives/edgar/data/1360214/000149315217006919/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2020-01-14T15:58:48Z</dcterms:created>
  <dcterms:modified xsi:type="dcterms:W3CDTF">2020-01-14T15:58:48Z</dcterms:modified>
</cp:coreProperties>
</file>