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740" w:right="1960" w:hanging="3732"/>
        <w:spacing w:after="0" w:line="501" w:lineRule="auto"/>
        <w:tabs>
          <w:tab w:leader="none" w:pos="29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pacing w:after="0" w:line="237"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0" w:type="dxa"/>
            <w:vAlign w:val="bottom"/>
          </w:tcPr>
          <w:p>
            <w:pPr>
              <w:ind w:left="60"/>
              <w:spacing w:after="0"/>
              <w:rPr>
                <w:sz w:val="20"/>
                <w:szCs w:val="20"/>
                <w:color w:val="auto"/>
              </w:rPr>
            </w:pPr>
            <w:r>
              <w:rPr>
                <w:rFonts w:ascii="Arial" w:cs="Arial" w:eastAsia="Arial" w:hAnsi="Arial"/>
                <w:sz w:val="18"/>
                <w:szCs w:val="18"/>
                <w:color w:val="auto"/>
              </w:rPr>
              <w:t>]</w:t>
            </w:r>
          </w:p>
        </w:tc>
        <w:tc>
          <w:tcPr>
            <w:tcW w:w="312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0" w:type="dxa"/>
            <w:vAlign w:val="bottom"/>
          </w:tcPr>
          <w:p>
            <w:pPr>
              <w:ind w:left="60"/>
              <w:spacing w:after="0"/>
              <w:rPr>
                <w:sz w:val="20"/>
                <w:szCs w:val="20"/>
                <w:color w:val="auto"/>
              </w:rPr>
            </w:pPr>
            <w:r>
              <w:rPr>
                <w:rFonts w:ascii="Arial" w:cs="Arial" w:eastAsia="Arial" w:hAnsi="Arial"/>
                <w:sz w:val="18"/>
                <w:szCs w:val="18"/>
                <w:color w:val="auto"/>
              </w:rPr>
              <w:t>] (Do not check if a smaller reporting company)</w:t>
            </w:r>
          </w:p>
        </w:tc>
        <w:tc>
          <w:tcPr>
            <w:tcW w:w="312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[X]</w:t>
            </w:r>
          </w:p>
        </w:tc>
      </w:tr>
      <w:tr>
        <w:trPr>
          <w:trHeight w:val="230"/>
        </w:trPr>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12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12, 2018, 23,277,975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2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20" w:type="dxa"/>
            <w:vAlign w:val="bottom"/>
            <w:gridSpan w:val="6"/>
          </w:tcPr>
          <w:p>
            <w:pPr>
              <w:jc w:val="center"/>
              <w:ind w:right="270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Part I</w:t>
            </w:r>
          </w:p>
        </w:tc>
        <w:tc>
          <w:tcPr>
            <w:tcW w:w="9880" w:type="dxa"/>
            <w:vAlign w:val="bottom"/>
            <w:gridSpan w:val="17"/>
            <w:shd w:val="clear" w:color="auto" w:fill="CCEEFF"/>
          </w:tcPr>
          <w:p>
            <w:pPr>
              <w:ind w:left="8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20" w:type="dxa"/>
            <w:vAlign w:val="bottom"/>
            <w:tcBorders>
              <w:top w:val="single" w:sz="8" w:color="CCEEFF"/>
              <w:bottom w:val="single" w:sz="8" w:color="auto"/>
            </w:tcBorders>
            <w:gridSpan w:val="12"/>
          </w:tcPr>
          <w:p>
            <w:pPr>
              <w:jc w:val="center"/>
              <w:ind w:left="3250"/>
              <w:spacing w:after="0"/>
              <w:rPr>
                <w:sz w:val="20"/>
                <w:szCs w:val="20"/>
                <w:color w:val="auto"/>
              </w:rPr>
            </w:pPr>
            <w:r>
              <w:rPr>
                <w:rFonts w:ascii="Arial" w:cs="Arial" w:eastAsia="Arial" w:hAnsi="Arial"/>
                <w:sz w:val="18"/>
                <w:szCs w:val="18"/>
                <w:color w:val="auto"/>
                <w:w w:val="79"/>
              </w:rPr>
              <w:t>2</w:t>
            </w:r>
          </w:p>
        </w:tc>
        <w:tc>
          <w:tcPr>
            <w:tcW w:w="1080" w:type="dxa"/>
            <w:vAlign w:val="bottom"/>
            <w:tcBorders>
              <w:top w:val="single" w:sz="8" w:color="CCEEFF"/>
              <w:bottom w:val="single" w:sz="8" w:color="auto"/>
            </w:tcBorders>
          </w:tcPr>
          <w:p>
            <w:pPr>
              <w:spacing w:after="0"/>
              <w:rPr>
                <w:sz w:val="24"/>
                <w:szCs w:val="24"/>
                <w:color w:val="auto"/>
              </w:rPr>
            </w:pPr>
          </w:p>
        </w:tc>
        <w:tc>
          <w:tcPr>
            <w:tcW w:w="33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ind w:right="190"/>
              <w:spacing w:after="0"/>
              <w:rPr>
                <w:sz w:val="20"/>
                <w:szCs w:val="20"/>
                <w:color w:val="auto"/>
              </w:rPr>
            </w:pPr>
            <w:r>
              <w:rPr>
                <w:rFonts w:ascii="Arial" w:cs="Arial" w:eastAsia="Arial" w:hAnsi="Arial"/>
                <w:sz w:val="18"/>
                <w:szCs w:val="18"/>
                <w:color w:val="auto"/>
                <w:w w:val="92"/>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6,315</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1,731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receivable, current portion</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11,684</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8,806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Surface Pharmaceuticals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Investment in Eton Pharmaceuticals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less current portion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2,227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186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5,931</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1,729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10,368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5,774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12,668</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23,836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21,302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6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$0.001 par value, 90,000,000 shares authorized, 22,656,183 and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w w:val="90"/>
              </w:rPr>
              <w:t>20,623,129 shares issued and outstanding at September 30, 2018 and December 31, 2017,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(92,341)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(88,836)</w:t>
            </w:r>
          </w:p>
        </w:tc>
        <w:tc>
          <w:tcPr>
            <w:tcW w:w="0" w:type="dxa"/>
            <w:vAlign w:val="bottom"/>
          </w:tcPr>
          <w:p>
            <w:pPr>
              <w:spacing w:after="0"/>
              <w:rPr>
                <w:sz w:val="1"/>
                <w:szCs w:val="1"/>
                <w:color w:val="auto"/>
              </w:rPr>
            </w:pPr>
          </w:p>
        </w:tc>
      </w:tr>
      <w:tr>
        <w:trPr>
          <w:trHeight w:val="236"/>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9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10,729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6,473</w:t>
            </w:r>
          </w:p>
        </w:tc>
        <w:tc>
          <w:tcPr>
            <w:tcW w:w="20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29,958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10,739</w:t>
            </w: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6,483</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29,988</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19,437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(4,191)</w:t>
            </w: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6,548</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17,569</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9,389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20,231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19,077</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7,197</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5,844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20,623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19,401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36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Investment losses from Surface Pharmaceuticals</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Gain on deconsolidation of Surface Pharmaceuticals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Investment losses from Eton Pharmaceuticals</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(3,247)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deconsolidation of Eton Pharmaceuticals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Loss on sale of assets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(1,865</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(2,956</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(451</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Income tax benefit, net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3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shares of common stock</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basic and diluted</w:t>
            </w:r>
          </w:p>
        </w:tc>
        <w:tc>
          <w:tcPr>
            <w:tcW w:w="16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21,709,392</w:t>
            </w:r>
          </w:p>
        </w:tc>
        <w:tc>
          <w:tcPr>
            <w:tcW w:w="16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20,273,347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21,283,078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19,806,759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Nine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(3,505)</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Adjustments to reconcile net loss to net cash provided by (used in)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and equipment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Debt extinguishment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deconsolidation of Eton Pharmaceuticals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Investment loss from Eton Pharmaceuticals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3,247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deconsolidation of Surface Pharmaceuticals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Investment loss from Surface Pharmaceuticals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write down of assets and note receivable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Loss on sale and disposal of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note receivable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Proceeds on sale and disposal of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Purchase of Klarity license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(1,347</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public equity offering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SWK debt, net of costs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Principal payments on LSAF note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ATM sales of common stock</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w w:val="92"/>
              </w:rPr>
              <w:t>Net proceeds from exercise of warrants and stock options, net of taxes remitted for RSU’s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2,643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NET CHANGE IN CASH, CASH EQUIVALENTS AND RESTRICTED CASH</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2,096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(4,986)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RECONCILIATION OF CASH, CASH EQUIVALENTS AND RESTRICTED CASH AT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6,115</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interest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Issuance of stock options for consulting services included in accounts payable and accrued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w w:val="97"/>
              </w:rPr>
              <w:t>Final fee on note payable recorded as debt discount and Included in accrued expenses</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Estimated relative fair value of warrants issued in connection with note payable</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160"/>
              <w:spacing w:after="0"/>
              <w:rPr>
                <w:sz w:val="20"/>
                <w:szCs w:val="20"/>
                <w:color w:val="auto"/>
              </w:rPr>
            </w:pPr>
            <w:r>
              <w:rPr>
                <w:rFonts w:ascii="Arial" w:cs="Arial" w:eastAsia="Arial" w:hAnsi="Arial"/>
                <w:sz w:val="18"/>
                <w:szCs w:val="18"/>
                <w:color w:val="auto"/>
              </w:rPr>
              <w:t>Note receivable in connection with sale of assets</w:t>
            </w: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pharmaceutical company specializing in the development, production and sale of innovative medications that offer unique competitive advantages and serve unmet needs in the marketplace. In addition to owning the nation’s leading ophthalmology pharmaceutical compounding business, ImprimisRx, the Company holds large equity positions in Eton Pharmaceuticals, Inc. (“Eton”), Surface Pharmaceuticals, Inc. (“Surface”) and Melt Pharmaceuticals, Inc. (“Melt”), companies originally founded as subsidiaries of Imprimis. The Company also owns royalty rights in certain 505(b)(2) drug candidates being developed by Eton, Surface and Melt.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2018 are not necessarily indicative of the results that may be expected for the year ending December 31, 2018 or for any other period. For further information, refer to the Company’s audited consolidated financial statements and footnotes thereto included in the Company’s Annual Report on Form 10-K for the year ended December 31, 2017.</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nine months ended September 30, 2018 to the significant accounting policies described in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incurred significant operating losses and negative cash flows from operations since its inception. The Company incurred net losses of $3,505 and $9,214 for the nine months ended September 30, 2018 and 2017, respectively, and had an accumulated deficit of $92,341 and $88,836 as of September 30, 2018 and December 31, 2017, respectively. In addition, while during the nine months ended September 30, 2018 the Company generated cash of $723 from operating activities, there is no guarantee that trend will continue. Historically, the Company has used cash in operating activities and during the nine months ended September 30, 2017 the Company used $8,509 in operating activities.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there is no assurance, the Company believes its existing cash resources and restricted cash of $6,315 at September 30, 2018,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may seek to increase liquidity and capital resources by one or more of the following which may include, but are not limited to: the sale of assets and/or businesses, obtaining financing through the issuance of equity, debt, or convertible securities; and working to increase revenue growth through sales. There is no guarantee that the Company will be able to obtain capital when needed on terms it deems as acceptable, or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net loss per common share is computed by dividing loss attributable to common stockholders for the period by the weighted average number of common shares outstanding during the period. Diluted loss per share is computed by dividing the loss attributable to common stockholders for the period by the weighted average number of common and common equivalent shares, such as stock options and warrants, outstanding during the period.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or “if converted” method) from deferred acquisition obligations, stock options, unvested restricted stock units (“RSUs”) and warrants were 8,387,347 and 9,983,548 at September 30, 2018 and 2017, respectively, and are excluded from the calculation of diluted net loss per share for the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vested RSUs at September 30, 2018 and 2017 was 202,603 and 121,344,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loss per share of common stock for the three and nine months ended September 30, 2018 and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9"/>
                <w:szCs w:val="19"/>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19"/>
                <w:szCs w:val="19"/>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September 30, 2018</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 2017</w:t>
            </w:r>
          </w:p>
        </w:tc>
        <w:tc>
          <w:tcPr>
            <w:tcW w:w="14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w w:val="99"/>
              </w:rPr>
              <w:t>September 30, 2018</w:t>
            </w:r>
          </w:p>
        </w:tc>
        <w:tc>
          <w:tcPr>
            <w:tcW w:w="14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30, 2017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(3,505)</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 average number of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36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16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21,709,392</w:t>
            </w:r>
          </w:p>
        </w:tc>
        <w:tc>
          <w:tcPr>
            <w:tcW w:w="18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20,273,347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21,283,078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19,806,759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Pharmaceuticals, Inc.</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2017, the Company formed Surface as a wholly owned subsidiary. In May and July 2018, Surface entered into and closed on definitive stock purchase agreements with an institutional investor for the purchase of Surface’s Series A Preferred Stock (the “Surface Series A Stock”) that resulted in total proceeds to Surface of approximately $21,000. At the time of the first closing in May 2018, the Company lost voting and ownership control of Surface and it ceased consolidating Surface’s financial statements. At September 30, 2018, the Company owned approximately 35% of the issued and outstanding equity interests in Surface.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(“IPO”) of Surface common stock or similar transaction.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At the time of deconsolidation, the Company recorded a gain of $5,320 and adjusted the carrying value in Surface to reflect the increased valuation of Surface and the Company’s new ownership percent in accordance with Accounting Standard Codification (“ASC”) 810-10-40-4(c), </w:t>
      </w:r>
      <w:r>
        <w:rPr>
          <w:rFonts w:ascii="Arial" w:cs="Arial" w:eastAsia="Arial" w:hAnsi="Arial"/>
          <w:sz w:val="17"/>
          <w:szCs w:val="17"/>
          <w:i w:val="1"/>
          <w:iCs w:val="1"/>
          <w:color w:val="auto"/>
        </w:rPr>
        <w:t>Consolidation</w:t>
      </w:r>
      <w:r>
        <w:rPr>
          <w:rFonts w:ascii="Arial" w:cs="Arial" w:eastAsia="Arial" w:hAnsi="Arial"/>
          <w:sz w:val="17"/>
          <w:szCs w:val="17"/>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spacing w:after="0" w:line="291" w:lineRule="auto"/>
        <w:rPr>
          <w:sz w:val="20"/>
          <w:szCs w:val="20"/>
          <w:color w:val="auto"/>
        </w:rPr>
      </w:pPr>
      <w:r>
        <w:rPr>
          <w:rFonts w:ascii="Arial" w:cs="Arial" w:eastAsia="Arial" w:hAnsi="Arial"/>
          <w:sz w:val="16"/>
          <w:szCs w:val="16"/>
          <w:color w:val="auto"/>
        </w:rPr>
        <w:t>The Company owns 3,500,000 common shares (which is approximately 30% of the equity interest as of the date of this Report, and calculated after the second closing of the sale Series A Preferred Stock in July 2018)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of Surface in its financial statements and adjusts the carrying amount of its investment in Surface accordingly. The Company’s share of earnings and losses are based on the shares of common stock and in-substance common stock of Surface held by the Company. Any intra-entity profits and losses are eliminated. During the three and nine months ended September 30, 2018, the Company recorded equity in net loss of Surface of $128 and $230. As of September 30, 2018, the carrying value of the Company’s investment in Surface was $5,090.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amounts in the 2017 condensed consolidated financial statements have been reclassified to conform to the classifications used to prepare the 2018 condensed consolidated financial statements. These reclassifications had no material impact on the Company’s financial position, results of operations, or cash flow as previously reported.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has subsequently issued several amendments to ASU 2014-09</w:t>
      </w:r>
      <w:r>
        <w:rPr>
          <w:rFonts w:ascii="Arial" w:cs="Arial" w:eastAsia="Arial" w:hAnsi="Arial"/>
          <w:sz w:val="16"/>
          <w:szCs w:val="16"/>
          <w:i w:val="1"/>
          <w:iCs w:val="1"/>
          <w:color w:val="auto"/>
        </w:rPr>
        <w:t>.</w:t>
      </w:r>
      <w:r>
        <w:rPr>
          <w:rFonts w:ascii="Arial" w:cs="Arial" w:eastAsia="Arial" w:hAnsi="Arial"/>
          <w:sz w:val="16"/>
          <w:szCs w:val="16"/>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standard’s stated core principle is that an entity should recognize revenue to depict the transfer of promised goods or services to customers in an amount that reflects the consideration to which the entity expects to be entitled in exchange for those goods or services. To achieve this core principle, ASU 2014-09 includes provisions within its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In addition, the standard requires disclosure of the nature, amount, timing, and uncertainty of revenue and cash flows arising from contracts with customers.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new standard became effective for the Company beginning January 1, 2018 and permits two methods of adoption: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Company adopted the standard using the modified retrospective method. There was no effect for any adjustments to retained earnings upon adoption of the standard on January 1, 2018. Adoption of the new standard resulted in additional revenue-related disclosures in the footnotes to the Company’s condensed consolidated financial statements (see Note 3).</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Clarifying the Definition of a Business,</w:t>
      </w:r>
      <w:r>
        <w:rPr>
          <w:rFonts w:ascii="Arial" w:cs="Arial" w:eastAsia="Arial" w:hAnsi="Arial"/>
          <w:sz w:val="17"/>
          <w:szCs w:val="17"/>
          <w:color w:val="auto"/>
        </w:rPr>
        <w:t xml:space="preserve"> which revises the definition of a business and provides new guidance in evaluating when a set of transferred assets and activities is a business. The Company adopted the standard on January 1, 2018. Adoption of the standard did not have an impact on the Company’s financial position, results of operations and cash flows.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2016, the FASB issued ASU 2016-18, </w:t>
      </w:r>
      <w:r>
        <w:rPr>
          <w:rFonts w:ascii="Arial" w:cs="Arial" w:eastAsia="Arial" w:hAnsi="Arial"/>
          <w:sz w:val="18"/>
          <w:szCs w:val="18"/>
          <w:i w:val="1"/>
          <w:iCs w:val="1"/>
          <w:color w:val="auto"/>
        </w:rPr>
        <w:t>Statement of Cash Flows: Classification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Company adopted the standard on January 1, 2018 by using the retrospective transition method. Adoption of the standard effected the presentation of cash equivalents in Company’s condensed consolidated statements of cash flows and related disclosures, restricted cash of $200 has been reclassified within that financial statement for the periods presented as a cash equivalent.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Scope of Modification Accounting</w:t>
      </w:r>
      <w:r>
        <w:rPr>
          <w:rFonts w:ascii="Arial" w:cs="Arial" w:eastAsia="Arial" w:hAnsi="Arial"/>
          <w:sz w:val="18"/>
          <w:szCs w:val="18"/>
          <w:color w:val="auto"/>
        </w:rPr>
        <w:t>.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Company adopted this standard on January 1, 2018. Adoption of the standard did not have an effect on the Company’s financial position,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 – Stock Compensation: Improvements to Nonemployee Share-Based Payment Accounting</w:t>
      </w:r>
      <w:r>
        <w:rPr>
          <w:rFonts w:ascii="Arial" w:cs="Arial" w:eastAsia="Arial" w:hAnsi="Arial"/>
          <w:sz w:val="17"/>
          <w:szCs w:val="17"/>
          <w:color w:val="auto"/>
        </w:rPr>
        <w:t xml:space="preserve"> which simplifies several aspects of the accounting for nonemployee share-based payment transactions resulting from expanding the scope of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to include share-based payment transactions for acquiring goods and services from nonemployees. Some of the areas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simplification apply only to nonpublic entities.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amendments in this Update are effective for public business entities for fiscal years beginning after December 15, 2018, including interim periods within that fiscal year. Early adoption is permitted. The Company adopted this standard on July 1, 2018. Adoption of the standard did not have an effect on the Company’s financial position,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No.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No. 2016-02 would be substantially unchanged from the previous lease requirements under GAAP. ASU No. 2016-02 will take effect for public companies in fiscal years beginning after December 15, 2018, including interim periods within those fiscal years. Early adoption is permitted and for leases existing at, or entered into after, the beginning of the earliest comparative period presented in the financial statements, lessees and lessors must apply a modified retrospective transition approach. During the year ended December 31, 2017, the Company evaluated this new accounting standard and engaged professionals in the new lease accounting implementation to assist in determining the effect of the new standard as of January 1, 2018 with respect to the Company’s real estate leases. The Company currently has three real estate leases and evaluated each of these leases in accordance with the new lease accounting standard under ASC Topic 842. As of September 30, 2018, the Company estimates that the right of use asset to be recorded on its consolidated balance sheet would be approximately $2,300 and that the related lease liability would be approximately $2,800 related to operating leases. The difference between the right of use asset and related lease liability is predominantly deferred rent and other related lease expenses under the new lease accounting standard. The Company will continue this effort with respect to equipment leases and any other leases contemplated under Topic 842 in a manner to be appropriately prepared for its implementation on or before January 1, 2019.</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2018, the Company adopted ASU 2014-09, using the modified retrospective transition method. There was no effect for any adjustments to retained earnings upon adoption of the standard on January 1, 2018. The Company has two primary streams of revenue: (1) revenue recognized from our sale of products within our pharmacy services and (2) revenue recognized from intellectual property license and asset purchase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ASU 2014-09, we have identified the following:</w:t>
      </w:r>
    </w:p>
    <w:p>
      <w:pPr>
        <w:spacing w:after="0" w:line="29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23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promised to grant a license or sale which provides a customer with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for the three and nine months ended September 30, 2018 and 2017,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5"/>
          </w:tcPr>
          <w:p>
            <w:pPr>
              <w:jc w:val="right"/>
              <w:ind w:right="540"/>
              <w:spacing w:after="0"/>
              <w:rPr>
                <w:sz w:val="20"/>
                <w:szCs w:val="20"/>
                <w:color w:val="auto"/>
              </w:rPr>
            </w:pPr>
            <w:r>
              <w:rPr>
                <w:rFonts w:ascii="Arial" w:cs="Arial" w:eastAsia="Arial" w:hAnsi="Arial"/>
                <w:sz w:val="18"/>
                <w:szCs w:val="18"/>
                <w:color w:val="auto"/>
                <w:w w:val="93"/>
              </w:rPr>
              <w:t>For the Three months ended</w:t>
            </w:r>
          </w:p>
        </w:tc>
        <w:tc>
          <w:tcPr>
            <w:tcW w:w="220" w:type="dxa"/>
            <w:vAlign w:val="bottom"/>
          </w:tcPr>
          <w:p>
            <w:pPr>
              <w:spacing w:after="0"/>
              <w:rPr>
                <w:sz w:val="19"/>
                <w:szCs w:val="19"/>
                <w:color w:val="auto"/>
              </w:rPr>
            </w:pPr>
          </w:p>
        </w:tc>
        <w:tc>
          <w:tcPr>
            <w:tcW w:w="2520" w:type="dxa"/>
            <w:vAlign w:val="bottom"/>
            <w:gridSpan w:val="5"/>
          </w:tcPr>
          <w:p>
            <w:pPr>
              <w:ind w:left="140"/>
              <w:spacing w:after="0"/>
              <w:rPr>
                <w:sz w:val="20"/>
                <w:szCs w:val="20"/>
                <w:color w:val="auto"/>
              </w:rPr>
            </w:pPr>
            <w:r>
              <w:rPr>
                <w:rFonts w:ascii="Arial" w:cs="Arial" w:eastAsia="Arial" w:hAnsi="Arial"/>
                <w:sz w:val="18"/>
                <w:szCs w:val="18"/>
                <w:color w:val="auto"/>
              </w:rPr>
              <w:t>For the Nine months ended</w:t>
            </w:r>
          </w:p>
        </w:tc>
      </w:tr>
      <w:tr>
        <w:trPr>
          <w:trHeight w:val="237"/>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9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2017</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2017</w:t>
            </w:r>
          </w:p>
        </w:tc>
        <w:tc>
          <w:tcPr>
            <w:tcW w:w="80" w:type="dxa"/>
            <w:vAlign w:val="bottom"/>
            <w:tcBorders>
              <w:bottom w:val="single" w:sz="8" w:color="CCEEFF"/>
            </w:tcBorders>
          </w:tcPr>
          <w:p>
            <w:pPr>
              <w:spacing w:after="0"/>
              <w:rPr>
                <w:sz w:val="20"/>
                <w:szCs w:val="20"/>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w:t>
            </w:r>
          </w:p>
        </w:tc>
        <w:tc>
          <w:tcPr>
            <w:tcW w:w="80" w:type="dxa"/>
            <w:vAlign w:val="bottom"/>
            <w:shd w:val="clear" w:color="auto" w:fill="CCEEFF"/>
          </w:tcPr>
          <w:p>
            <w:pPr>
              <w:spacing w:after="0"/>
              <w:rPr>
                <w:sz w:val="18"/>
                <w:szCs w:val="18"/>
                <w:color w:val="auto"/>
              </w:rPr>
            </w:pPr>
          </w:p>
        </w:tc>
      </w:tr>
      <w:tr>
        <w:trPr>
          <w:trHeight w:val="237"/>
        </w:trPr>
        <w:tc>
          <w:tcPr>
            <w:tcW w:w="2920" w:type="dxa"/>
            <w:vAlign w:val="bottom"/>
          </w:tcPr>
          <w:p>
            <w:pPr>
              <w:spacing w:after="0"/>
              <w:rPr>
                <w:sz w:val="20"/>
                <w:szCs w:val="20"/>
                <w:color w:val="auto"/>
              </w:rPr>
            </w:pPr>
            <w:r>
              <w:rPr>
                <w:rFonts w:ascii="Arial" w:cs="Arial" w:eastAsia="Arial" w:hAnsi="Arial"/>
                <w:sz w:val="18"/>
                <w:szCs w:val="18"/>
                <w:color w:val="auto"/>
              </w:rPr>
              <w:t>License revenues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r>
      <w:tr>
        <w:trPr>
          <w:trHeight w:val="230"/>
        </w:trPr>
        <w:tc>
          <w:tcPr>
            <w:tcW w:w="2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and customer deposits at September 30, 2018 and December 31, 2017, was $98 and $29, retrospectively.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ETON PHARMACEUTICALS, INC. AND AGREEMENTS -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2017, the Company and its subsidiary, Eton, entered into and closed on definitive stock purchase agreements related to the sale of Eton’s Series A preferred stock (the “Series A Stock”) that resulted in the Company losing voting and ownership control of Eton and it at that time, ceased consolidating Eton’s financial statements. The Series A Stock has mandatory conversion requirements into common stock of Eton upon events, including an underwritten IPO of Eton common stock. Under the terms of its Series A Stock, Eton is required to complete an IPO by December 31, 2018, subject to exceptions and extension upon certain conditions.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3,500,000 common shares (approximately 27% issued and outstanding equity interest as of the date of this Report) of Eton and, uses the equity method of accounting for this investment, as management has determined that the Company has the ability to exercise significant influence over the operating and financial decisions of Eton. Under this method, the Company recognizes earnings and losses of Eton in its consolidated financial statements and adjusts the carrying amount of its investment in Eton accordingly. The Company’s share of earnings and losses are based on the shares of common stock and in-substance common stock of Eton held by the Company. Any intra-entity profits and losses are eliminated. During the three and nine months ended September 30, 2018, the Company recorded equity in net loss of Eton of $1,032 and $3,247, respectively. As of September 30, 2018, the carrying value of the Company’s investment in Eton was $263.</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Chief Executive Officer, Mark L. Baum, is a director of Eton, and several employees of the Company (including Mr. Baum and the Company’s Chief Financial Officer, Andrew R. Boll) entered into consulting agreements and provided consulting services to Eton, these contracts concluded in April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unaudited condensed results of operations information of Eton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r>
      <w:tr>
        <w:trPr>
          <w:trHeight w:val="230"/>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Nine months ended</w:t>
            </w:r>
          </w:p>
        </w:tc>
      </w:tr>
      <w:tr>
        <w:trPr>
          <w:trHeight w:val="237"/>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30, 2018</w:t>
            </w: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11,162</w:t>
            </w:r>
          </w:p>
        </w:tc>
      </w:tr>
      <w:tr>
        <w:trPr>
          <w:trHeight w:val="23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Eton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At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 current assets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PHARMACEUTICALS, INC. AND AGREEMENTS - RELATED PARTY TRANSACTIONS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2017 and amended in April 2018, the Company entered into two asset purchase and license agreements (the “Surface License Agreements”) with its previously wholly owned subsidiary, Surface. Pursuant to the terms of the Surface License Agreements, the Company assigned and licensed to Surface certain intellectual property and related rights to develop, formulate, make, sell, and sub-license formulations of certain topical eye drop formulations that utilize a proprietary delivery vehicle and a proprietary doxycycline capsule (collectively, the “Surface Products”). Surface is required to make royalty payments to the Company of four to six percent (4%-6%) of net sales of the Surface Products while any patent rights remain outstanding. The certain of the Surface License Agreements were conditioned upon Surface receiving net proceeds of the sale of its equity securities of not less than $10,000, which occurred in May 2018. See also Note 2, under the subheading Investment in Surface Pharmaceuticals, Inc.</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the Company and Surface entered into an amended Management Services Agreement (the “MSA”), whereby the Company provided to Surface certain administrative services and support, including bookkeeping, web services and human resources related activities, and Surface paid the Company a monthly amount of $10. The MSA was terminated effective July 31,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2018, the Company was due $50 from Surface for reimbursable expenses and amounts due under the MSA and included in prepaid expenses and other current assets on the accompanying condensed consolidated balance sheets.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2018, the Company owned 3,500,000 shares of Surface common stock (approximately 30% issued and outstanding equity interests). The Company’s director,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Several employees and a director of the Company (including Mr. Baum, Dr. Lindstrom and Mr. Boll) entered into consulting agreements and provided consulting services to Surface. Surface is required to make royalty payments to Dr. Lindstrom of three percent (3%) of net sales of certain Surface products while certain patent rights remain outstanding. Dr. Lindstrom is also a principal of Flying L Partners, an affiliate of the funding investor.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gridSpan w:val="3"/>
          </w:tcPr>
          <w:p>
            <w:pPr>
              <w:jc w:val="center"/>
              <w:ind w:right="5980"/>
              <w:spacing w:after="0"/>
              <w:rPr>
                <w:sz w:val="20"/>
                <w:szCs w:val="20"/>
                <w:color w:val="auto"/>
              </w:rPr>
            </w:pPr>
            <w:r>
              <w:rPr>
                <w:rFonts w:ascii="Arial" w:cs="Arial" w:eastAsia="Arial" w:hAnsi="Arial"/>
                <w:sz w:val="18"/>
                <w:szCs w:val="18"/>
                <w:color w:val="auto"/>
                <w:w w:val="91"/>
              </w:rPr>
              <w:t>For the</w:t>
            </w:r>
          </w:p>
        </w:tc>
      </w:tr>
      <w:tr>
        <w:trPr>
          <w:trHeight w:val="230"/>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20" w:type="dxa"/>
            <w:vAlign w:val="bottom"/>
            <w:gridSpan w:val="3"/>
          </w:tcPr>
          <w:p>
            <w:pPr>
              <w:jc w:val="center"/>
              <w:ind w:right="5980"/>
              <w:spacing w:after="0"/>
              <w:rPr>
                <w:sz w:val="20"/>
                <w:szCs w:val="20"/>
                <w:color w:val="auto"/>
              </w:rPr>
            </w:pPr>
            <w:r>
              <w:rPr>
                <w:rFonts w:ascii="Arial" w:cs="Arial" w:eastAsia="Arial" w:hAnsi="Arial"/>
                <w:sz w:val="18"/>
                <w:szCs w:val="18"/>
                <w:color w:val="auto"/>
                <w:w w:val="91"/>
              </w:rPr>
              <w:t>Nine months</w:t>
            </w:r>
          </w:p>
        </w:tc>
      </w:tr>
      <w:tr>
        <w:trPr>
          <w:trHeight w:val="237"/>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20" w:type="dxa"/>
            <w:vAlign w:val="bottom"/>
            <w:gridSpan w:val="3"/>
          </w:tcPr>
          <w:p>
            <w:pPr>
              <w:jc w:val="center"/>
              <w:ind w:right="5980"/>
              <w:spacing w:after="0"/>
              <w:rPr>
                <w:sz w:val="20"/>
                <w:szCs w:val="20"/>
                <w:color w:val="auto"/>
              </w:rPr>
            </w:pPr>
            <w:r>
              <w:rPr>
                <w:rFonts w:ascii="Arial" w:cs="Arial" w:eastAsia="Arial" w:hAnsi="Arial"/>
                <w:sz w:val="18"/>
                <w:szCs w:val="18"/>
                <w:color w:val="auto"/>
                <w:w w:val="88"/>
              </w:rPr>
              <w:t>September 30, 2018</w:t>
            </w: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5720" w:type="dxa"/>
            <w:vAlign w:val="bottom"/>
          </w:tcPr>
          <w:p>
            <w:pPr>
              <w:spacing w:after="0"/>
              <w:rPr>
                <w:sz w:val="18"/>
                <w:szCs w:val="18"/>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5720" w:type="dxa"/>
            <w:vAlign w:val="bottom"/>
          </w:tcPr>
          <w:p>
            <w:pPr>
              <w:spacing w:after="0"/>
              <w:rPr>
                <w:sz w:val="20"/>
                <w:szCs w:val="20"/>
                <w:color w:val="auto"/>
              </w:rPr>
            </w:pPr>
          </w:p>
        </w:tc>
      </w:tr>
      <w:tr>
        <w:trPr>
          <w:trHeight w:val="23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57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r>
      <w:tr>
        <w:trPr>
          <w:trHeight w:val="420"/>
        </w:trPr>
        <w:tc>
          <w:tcPr>
            <w:tcW w:w="3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3"/>
          </w:tcPr>
          <w:p>
            <w:pPr>
              <w:ind w:left="18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At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 current assets</w:t>
            </w:r>
          </w:p>
        </w:tc>
        <w:tc>
          <w:tcPr>
            <w:tcW w:w="1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cash at September 30, 2018 and December 31, 2017 consisted of funds held in a money market account. At September 30, 2018 and December 31, 2017, the restricted cash was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and December 31, 2017,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September 30, 2018 and December 31, 2017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1,265</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1,293</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w w:val="98"/>
              </w:rPr>
              <w:t>NOTE 8. PREPAID EXPENSES AND OTHER CURRENT ASSETS</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w w:val="95"/>
              </w:rPr>
              <w:t>Prepaid expenses and other current assets consisted of the following:</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Surface Pharmaceuticals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Deposits and other current assets</w:t>
            </w:r>
          </w:p>
        </w:tc>
        <w:tc>
          <w:tcPr>
            <w:tcW w:w="20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0"/>
                <w:szCs w:val="20"/>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9. PROPERTY, PLANT AND EQUIPMENT</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1,588</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2,794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2,545</w:t>
            </w:r>
          </w:p>
        </w:tc>
        <w:tc>
          <w:tcPr>
            <w:tcW w:w="60" w:type="dxa"/>
            <w:vAlign w:val="bottom"/>
          </w:tcPr>
          <w:p>
            <w:pPr>
              <w:spacing w:after="0"/>
              <w:rPr>
                <w:sz w:val="18"/>
                <w:szCs w:val="18"/>
                <w:color w:val="auto"/>
              </w:rPr>
            </w:pPr>
          </w:p>
        </w:tc>
      </w:tr>
      <w:tr>
        <w:trPr>
          <w:trHeight w:val="25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4,810</w:t>
            </w:r>
          </w:p>
        </w:tc>
        <w:tc>
          <w:tcPr>
            <w:tcW w:w="60" w:type="dxa"/>
            <w:vAlign w:val="bottom"/>
            <w:shd w:val="clear" w:color="auto" w:fill="CCEEFF"/>
          </w:tcPr>
          <w:p>
            <w:pPr>
              <w:spacing w:after="0"/>
              <w:rPr>
                <w:sz w:val="21"/>
                <w:szCs w:val="21"/>
                <w:color w:val="auto"/>
              </w:rPr>
            </w:pPr>
          </w:p>
        </w:tc>
      </w:tr>
      <w:tr>
        <w:trPr>
          <w:trHeight w:val="203"/>
        </w:trPr>
        <w:tc>
          <w:tcPr>
            <w:tcW w:w="5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10,039</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8,971</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(2,756)</w:t>
            </w:r>
          </w:p>
        </w:tc>
      </w:tr>
      <w:tr>
        <w:trPr>
          <w:trHeight w:val="217"/>
        </w:trPr>
        <w:tc>
          <w:tcPr>
            <w:tcW w:w="53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2018, depreciation related to the property, plant and equipment was $423 and $1,223,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RECEIVABLE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recorded a loss of $393, which was recorded in other expense, net, during the three and nine months ended September 30, 2018, related to the impairment and write-off of all amounts owed to it under its note receivable. The write-off is due to the Company’s estimate of collectability of the asset.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September 30, 2018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periods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Accumulated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Net</w:t>
            </w:r>
          </w:p>
        </w:tc>
      </w:tr>
      <w:tr>
        <w:trPr>
          <w:trHeight w:val="237"/>
        </w:trPr>
        <w:tc>
          <w:tcPr>
            <w:tcW w:w="27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(in years)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color w:val="auto"/>
                <w:w w:val="86"/>
              </w:rPr>
              <w:t>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Impairment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Carrying value</w:t>
            </w:r>
          </w:p>
        </w:tc>
      </w:tr>
      <w:tr>
        <w:trPr>
          <w:trHeight w:val="216"/>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17-19 years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 years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3-15 years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2,998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Non-competition clause</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3-4 years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years</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7"/>
        </w:trPr>
        <w:tc>
          <w:tcPr>
            <w:tcW w:w="27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4,321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top w:val="single" w:sz="8" w:color="CCEEFF"/>
            </w:tcBorders>
          </w:tcPr>
          <w:p>
            <w:pPr>
              <w:spacing w:after="0"/>
              <w:rPr>
                <w:sz w:val="18"/>
                <w:szCs w:val="18"/>
                <w:color w:val="auto"/>
              </w:rPr>
            </w:pPr>
          </w:p>
        </w:tc>
      </w:tr>
      <w:tr>
        <w:trPr>
          <w:trHeight w:val="20"/>
        </w:trPr>
        <w:tc>
          <w:tcPr>
            <w:tcW w:w="4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840" w:type="dxa"/>
            <w:vAlign w:val="bottom"/>
            <w:gridSpan w:val="17"/>
          </w:tcPr>
          <w:p>
            <w:pPr>
              <w:spacing w:after="0"/>
              <w:rPr>
                <w:sz w:val="20"/>
                <w:szCs w:val="20"/>
                <w:color w:val="auto"/>
              </w:rPr>
            </w:pPr>
            <w:r>
              <w:rPr>
                <w:rFonts w:ascii="Arial" w:cs="Arial" w:eastAsia="Arial" w:hAnsi="Arial"/>
                <w:sz w:val="18"/>
                <w:szCs w:val="18"/>
                <w:color w:val="auto"/>
              </w:rPr>
              <w:t>Amortization expense for intangible assets for the three and nine months ended September 30, 2018 was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r>
      <w:tr>
        <w:trPr>
          <w:trHeight w:val="216"/>
        </w:trPr>
        <w:tc>
          <w:tcPr>
            <w:tcW w:w="2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Three Months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Three Months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1800" w:type="dxa"/>
            <w:vAlign w:val="bottom"/>
            <w:gridSpan w:val="3"/>
          </w:tcPr>
          <w:p>
            <w:pPr>
              <w:ind w:left="20"/>
              <w:spacing w:after="0"/>
              <w:rPr>
                <w:sz w:val="20"/>
                <w:szCs w:val="20"/>
                <w:color w:val="auto"/>
              </w:rPr>
            </w:pPr>
            <w:r>
              <w:rPr>
                <w:rFonts w:ascii="Arial" w:cs="Arial" w:eastAsia="Arial" w:hAnsi="Arial"/>
                <w:sz w:val="18"/>
                <w:szCs w:val="18"/>
                <w:color w:val="auto"/>
              </w:rPr>
              <w:t>Nine months Ended</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Nine months Ended</w:t>
            </w:r>
          </w:p>
        </w:tc>
      </w:tr>
      <w:tr>
        <w:trPr>
          <w:trHeight w:val="230"/>
        </w:trPr>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w:t>
            </w:r>
          </w:p>
        </w:tc>
      </w:tr>
      <w:tr>
        <w:trPr>
          <w:trHeight w:val="237"/>
        </w:trPr>
        <w:tc>
          <w:tcPr>
            <w:tcW w:w="276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Trade name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37"/>
        </w:trPr>
        <w:tc>
          <w:tcPr>
            <w:tcW w:w="276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Estimated future amortization expense for the Company’s intangible assets at September 30, 2018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r>
      <w:tr>
        <w:trPr>
          <w:trHeight w:val="237"/>
        </w:trPr>
        <w:tc>
          <w:tcPr>
            <w:tcW w:w="2620" w:type="dxa"/>
            <w:vAlign w:val="bottom"/>
          </w:tcPr>
          <w:p>
            <w:pPr>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1,961</w:t>
            </w:r>
          </w:p>
        </w:tc>
      </w:tr>
      <w:tr>
        <w:trPr>
          <w:trHeight w:val="230"/>
        </w:trPr>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changes in the carrying value of the Company’s goodwill during the three and nine months ended September 30,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12. ACCOUNTS PAYABLE AND ACCRUED EXPENSES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w w:val="98"/>
              </w:rPr>
              <w:t>Accounts payable and accrued expenses consisted of the following:</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Accrued exit fee for note payable</w:t>
            </w:r>
          </w:p>
        </w:tc>
        <w:tc>
          <w:tcPr>
            <w:tcW w:w="20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0"/>
                <w:szCs w:val="20"/>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3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NOTE 13. DEBT</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7"/>
          </w:tcPr>
          <w:p>
            <w:pPr>
              <w:spacing w:after="0"/>
              <w:rPr>
                <w:sz w:val="20"/>
                <w:szCs w:val="20"/>
                <w:color w:val="auto"/>
              </w:rPr>
            </w:pPr>
            <w:r>
              <w:rPr>
                <w:rFonts w:ascii="Arial" w:cs="Arial" w:eastAsia="Arial" w:hAnsi="Arial"/>
                <w:sz w:val="18"/>
                <w:szCs w:val="18"/>
                <w:color w:val="auto"/>
                <w:w w:val="93"/>
              </w:rPr>
              <w:t>At September 30, 2018, future minimum payments under the Company’s note payable were as follows: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Amount</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7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3" w:lineRule="exact"/>
              <w:rPr>
                <w:sz w:val="20"/>
                <w:szCs w:val="20"/>
                <w:color w:val="auto"/>
              </w:rPr>
            </w:pPr>
            <w:r>
              <w:rPr>
                <w:rFonts w:ascii="Arial" w:cs="Arial" w:eastAsia="Arial" w:hAnsi="Arial"/>
                <w:sz w:val="18"/>
                <w:szCs w:val="18"/>
                <w:color w:val="auto"/>
              </w:rPr>
              <w:t>Total minimum payments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21,358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(5,358)</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2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16,000</w:t>
            </w:r>
          </w:p>
        </w:tc>
        <w:tc>
          <w:tcPr>
            <w:tcW w:w="80" w:type="dxa"/>
            <w:vAlign w:val="bottom"/>
            <w:tcBorders>
              <w:top w:val="single" w:sz="8" w:color="CCEEFF"/>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(1,729)</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Note payable, net of current portion and unamortized debt discount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ind w:right="7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2018, debt discount amortization related to note payable was $131 and $389, respectively.</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40"/>
          </w:cols>
          <w:pgMar w:left="240" w:top="665" w:right="14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NOTE 14. CAPITAL LEASE OBLIGATION</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80" w:type="dxa"/>
            <w:vAlign w:val="bottom"/>
            <w:gridSpan w:val="3"/>
          </w:tcPr>
          <w:p>
            <w:pPr>
              <w:spacing w:after="0"/>
              <w:rPr>
                <w:sz w:val="20"/>
                <w:szCs w:val="20"/>
                <w:color w:val="auto"/>
              </w:rPr>
            </w:pPr>
            <w:r>
              <w:rPr>
                <w:rFonts w:ascii="Arial" w:cs="Arial" w:eastAsia="Arial" w:hAnsi="Arial"/>
                <w:sz w:val="18"/>
                <w:szCs w:val="18"/>
                <w:color w:val="auto"/>
                <w:w w:val="91"/>
              </w:rPr>
              <w:t>At September 30, 2018, future payments under the Company’s capital leases were as follows:</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r>
      <w:tr>
        <w:trPr>
          <w:trHeight w:val="216"/>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(883)</w:t>
            </w:r>
          </w:p>
        </w:tc>
      </w:tr>
      <w:tr>
        <w:trPr>
          <w:trHeight w:val="230"/>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Capital lease obligation net of current portion and unamortized discount</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2018, debt discount amortization related to the capital lease obligation was $21 and $77,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issued 25,273 shares of its restricted common stock, with a fair value of $44, in lieu of a cash payment for accrued royalty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RSUs granted in February 2015 to Andrew R. Boll, the Company’s Chief Financial Officer, vested, and in February 2018, 30,000 shares the Company’s common stock were issued to Mr. Boll.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RSUs granted in February 2015 to John P. Saharek, the Company’s Chief Commercial Officer, vested, and in February 2018, 30,000 shares the Company’s common stock were issued to Mr. Saharek.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the Company issued 35,427 shares of its restricted common stock, with a fair value of $64, in lieu of a cash payment for accrued royalty expenses.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November 2015,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The Company sold 305,619 shares of common stock and received net proceeds of $642, after deducting $20 for sales commission and offering expenses, under the Sales Agreement during the nine months ended September 30, 2018, leaving an aggregate of $7,378 available for future sales of shares thereunder as of September 30, 2018. In November 2018, the Company terminated the Sales Agreement.</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2018, the Company issued 1,476,613 shares of its common stock related to the exercise of common stock warrants with an exercise price of $1.79, and received net proceeds of $2,643.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2018, the Company issued 130,122 shares of its common stock related to the cashless exercise of 321,945 common stock warrants with an exercise price of $1.79.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During the nine months ended September 30, 2018, 65,536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September 30, 2018,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nine months ended September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Number of 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2018</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2,259,979</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295,000</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1.79</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(29,974)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3.36</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2018</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2,525,005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48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5.12</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6.22</w:t>
            </w:r>
          </w:p>
        </w:tc>
        <w:tc>
          <w:tcPr>
            <w:tcW w:w="4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1,277,557</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48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2,396,105</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5.10</w:t>
            </w:r>
          </w:p>
        </w:tc>
        <w:tc>
          <w:tcPr>
            <w:tcW w:w="16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5.80</w:t>
            </w:r>
          </w:p>
        </w:tc>
        <w:tc>
          <w:tcPr>
            <w:tcW w:w="480" w:type="dxa"/>
            <w:vAlign w:val="bottom"/>
            <w:tcBorders>
              <w:bottom w:val="single" w:sz="8" w:color="CCEEFF"/>
            </w:tcBorders>
            <w:gridSpan w:val="2"/>
            <w:shd w:val="clear" w:color="auto" w:fill="CCEEFF"/>
          </w:tcPr>
          <w:p>
            <w:pPr>
              <w:jc w:val="right"/>
              <w:ind w:right="150"/>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2018, based on the closing price of the Company’s common stock of $2.78 on that date.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2018,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nine months ended September 30, 2018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 and in the event of certain modifications to the option award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Beginning on April 1, 2018, the Company began calculating expected volatility based solely on the historical volatilities of the common stock of the Company. In the past,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5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5.8 - 6.1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- 126%</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2.05 - 3.00%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Options Outstanding</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6"/>
          </w:tcPr>
          <w:p>
            <w:pPr>
              <w:ind w:left="1020"/>
              <w:spacing w:after="0"/>
              <w:rPr>
                <w:sz w:val="20"/>
                <w:szCs w:val="20"/>
                <w:color w:val="auto"/>
              </w:rPr>
            </w:pPr>
            <w:r>
              <w:rPr>
                <w:rFonts w:ascii="Arial" w:cs="Arial" w:eastAsia="Arial" w:hAnsi="Arial"/>
                <w:sz w:val="18"/>
                <w:szCs w:val="18"/>
                <w:color w:val="auto"/>
              </w:rPr>
              <w:t>Options Exercisable</w:t>
            </w:r>
          </w:p>
        </w:tc>
      </w:tr>
      <w:tr>
        <w:trPr>
          <w:trHeight w:val="202"/>
        </w:trPr>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center"/>
              <w:ind w:right="160"/>
              <w:spacing w:after="0" w:line="201" w:lineRule="exact"/>
              <w:rPr>
                <w:sz w:val="20"/>
                <w:szCs w:val="20"/>
                <w:color w:val="auto"/>
              </w:rPr>
            </w:pPr>
            <w:r>
              <w:rPr>
                <w:rFonts w:ascii="Arial" w:cs="Arial" w:eastAsia="Arial" w:hAnsi="Arial"/>
                <w:sz w:val="18"/>
                <w:szCs w:val="18"/>
                <w:color w:val="auto"/>
                <w:w w:val="92"/>
              </w:rPr>
              <w:t>Weighted</w:t>
            </w: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Weighted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Average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r>
      <w:tr>
        <w:trPr>
          <w:trHeight w:val="230"/>
        </w:trPr>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Range of</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9"/>
                <w:szCs w:val="19"/>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Exercise</w:t>
            </w: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Prices</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Life in Years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Price</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Exercisable</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r>
      <w:tr>
        <w:trPr>
          <w:trHeight w:val="216"/>
        </w:trPr>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 $2.60</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851,000</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$3.04 - $4.50</w:t>
            </w:r>
          </w:p>
        </w:tc>
        <w:tc>
          <w:tcPr>
            <w:tcW w:w="1620" w:type="dxa"/>
            <w:vAlign w:val="bottom"/>
          </w:tcPr>
          <w:p>
            <w:pPr>
              <w:jc w:val="right"/>
              <w:spacing w:after="0"/>
              <w:rPr>
                <w:sz w:val="20"/>
                <w:szCs w:val="20"/>
                <w:color w:val="auto"/>
              </w:rPr>
            </w:pPr>
            <w:r>
              <w:rPr>
                <w:rFonts w:ascii="Arial" w:cs="Arial" w:eastAsia="Arial" w:hAnsi="Arial"/>
                <w:sz w:val="18"/>
                <w:szCs w:val="18"/>
                <w:color w:val="auto"/>
              </w:rPr>
              <w:t>547,031</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7.23</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3.96</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392,138</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$5.49 - $6.36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101,536</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5.98</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99,658</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$6.64 - $8.99</w:t>
            </w:r>
          </w:p>
        </w:tc>
        <w:tc>
          <w:tcPr>
            <w:tcW w:w="1620" w:type="dxa"/>
            <w:vAlign w:val="bottom"/>
          </w:tcPr>
          <w:p>
            <w:pPr>
              <w:jc w:val="right"/>
              <w:spacing w:after="0"/>
              <w:rPr>
                <w:sz w:val="20"/>
                <w:szCs w:val="20"/>
                <w:color w:val="auto"/>
              </w:rPr>
            </w:pPr>
            <w:r>
              <w:rPr>
                <w:rFonts w:ascii="Arial" w:cs="Arial" w:eastAsia="Arial" w:hAnsi="Arial"/>
                <w:sz w:val="18"/>
                <w:szCs w:val="18"/>
                <w:color w:val="auto"/>
              </w:rPr>
              <w:t>1,020,408</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3.29</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7.98</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412,810</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50"/>
        </w:trPr>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7"/>
        </w:trPr>
        <w:tc>
          <w:tcPr>
            <w:tcW w:w="196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$1.47 - $42.80</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2,525,005</w:t>
            </w:r>
          </w:p>
        </w:tc>
        <w:tc>
          <w:tcPr>
            <w:tcW w:w="212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5.79</w:t>
            </w:r>
          </w:p>
        </w:tc>
        <w:tc>
          <w:tcPr>
            <w:tcW w:w="46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5.10</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1,277,557</w:t>
            </w: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5.12</w:t>
            </w: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2018, there was approximately $2,139 of total unrecognized compensation expense related to unvested stock options granted under the Plans. That expense is expected to be recognized over the weighted-average remaining vesting period of 2.2 years. The stock-based compensation expense for all stock options was $291 and $1,063 during the three and nine months ended September 30,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2018, the Company’s board of directors were granted 136,360 RSUs with a fair market value $300 which vests on a quarterly basis, over one year in equal installments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nine months ended September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 Grant</w:t>
            </w:r>
          </w:p>
        </w:tc>
      </w:tr>
      <w:tr>
        <w:trPr>
          <w:trHeight w:val="237"/>
        </w:trPr>
        <w:tc>
          <w:tcPr>
            <w:tcW w:w="5980" w:type="dxa"/>
            <w:vAlign w:val="bottom"/>
          </w:tcPr>
          <w:p>
            <w:pPr>
              <w:spacing w:after="0"/>
              <w:rPr>
                <w:sz w:val="20"/>
                <w:szCs w:val="20"/>
                <w:color w:val="auto"/>
              </w:rPr>
            </w:pPr>
          </w:p>
        </w:tc>
        <w:tc>
          <w:tcPr>
            <w:tcW w:w="2140" w:type="dxa"/>
            <w:vAlign w:val="bottom"/>
            <w:gridSpan w:val="2"/>
          </w:tcPr>
          <w:p>
            <w:pPr>
              <w:jc w:val="right"/>
              <w:ind w:right="54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Date Fair 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2018</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RSUs 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136,360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37"/>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September 30, 2018</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1,309,770</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0"/>
        </w:trPr>
        <w:tc>
          <w:tcPr>
            <w:tcW w:w="59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the total unrecognized compensation expense related to unvested RSUs was approximately $756, which is expected to be recognized over a weighted-average period of 0.5 years, based on estimated and actual vesting schedules of the applicable RSUs. The stock-based compensation for RSUs during the three and nine months ended September 30, 2018 was $293 and $870.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settlement agreements and other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nine months ended September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5"/>
          </w:tcPr>
          <w:p>
            <w:pPr>
              <w:jc w:val="right"/>
              <w:ind w:right="30"/>
              <w:spacing w:after="0"/>
              <w:rPr>
                <w:sz w:val="20"/>
                <w:szCs w:val="20"/>
                <w:color w:val="auto"/>
              </w:rPr>
            </w:pPr>
            <w:r>
              <w:rPr>
                <w:rFonts w:ascii="Arial" w:cs="Arial" w:eastAsia="Arial" w:hAnsi="Arial"/>
                <w:sz w:val="18"/>
                <w:szCs w:val="18"/>
                <w:color w:val="auto"/>
                <w:w w:val="89"/>
              </w:rPr>
              <w:t>Number of Shares Subject</w:t>
            </w:r>
          </w:p>
        </w:tc>
        <w:tc>
          <w:tcPr>
            <w:tcW w:w="240" w:type="dxa"/>
            <w:vAlign w:val="bottom"/>
          </w:tcPr>
          <w:p>
            <w:pPr>
              <w:spacing w:after="0"/>
              <w:rPr>
                <w:sz w:val="18"/>
                <w:szCs w:val="18"/>
                <w:color w:val="auto"/>
              </w:rPr>
            </w:pPr>
          </w:p>
        </w:tc>
        <w:tc>
          <w:tcPr>
            <w:tcW w:w="20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Weighted Avg. 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5"/>
          </w:tcPr>
          <w:p>
            <w:pPr>
              <w:jc w:val="right"/>
              <w:ind w:right="90"/>
              <w:spacing w:after="0"/>
              <w:rPr>
                <w:sz w:val="20"/>
                <w:szCs w:val="20"/>
                <w:color w:val="auto"/>
              </w:rPr>
            </w:pPr>
            <w:r>
              <w:rPr>
                <w:rFonts w:ascii="Arial" w:cs="Arial" w:eastAsia="Arial" w:hAnsi="Arial"/>
                <w:sz w:val="18"/>
                <w:szCs w:val="18"/>
                <w:color w:val="auto"/>
                <w:w w:val="94"/>
              </w:rPr>
              <w:t>to Warrants Outstanding</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Warrants outstanding - January 1, 2018</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6,264,215</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(1,798,558)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(115,688)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Warrants outstanding and exercisable - September 30, 2018</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4,349,969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gridSpan w:val="7"/>
            <w:vMerge w:val="restart"/>
          </w:tcPr>
          <w:p>
            <w:pPr>
              <w:spacing w:after="0" w:line="195" w:lineRule="exact"/>
              <w:rPr>
                <w:sz w:val="20"/>
                <w:szCs w:val="20"/>
                <w:color w:val="auto"/>
              </w:rPr>
            </w:pPr>
            <w:r>
              <w:rPr>
                <w:rFonts w:ascii="Arial" w:cs="Arial" w:eastAsia="Arial" w:hAnsi="Arial"/>
                <w:sz w:val="18"/>
                <w:szCs w:val="18"/>
                <w:color w:val="auto"/>
                <w:w w:val="90"/>
              </w:rPr>
              <w:t>Weighted average remaining contractual life of the outstanding warrants in years - September</w:t>
            </w: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00" w:type="dxa"/>
            <w:vAlign w:val="bottom"/>
            <w:gridSpan w:val="7"/>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40" w:type="dxa"/>
            <w:vAlign w:val="bottom"/>
            <w:gridSpan w:val="2"/>
          </w:tcPr>
          <w:p>
            <w:pPr>
              <w:spacing w:after="0"/>
              <w:rPr>
                <w:sz w:val="20"/>
                <w:szCs w:val="20"/>
                <w:color w:val="auto"/>
              </w:rPr>
            </w:pPr>
            <w:r>
              <w:rPr>
                <w:rFonts w:ascii="Arial" w:cs="Arial" w:eastAsia="Arial" w:hAnsi="Arial"/>
                <w:sz w:val="18"/>
                <w:szCs w:val="18"/>
                <w:color w:val="auto"/>
              </w:rPr>
              <w:t>30, 2018</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20" w:type="dxa"/>
            <w:vAlign w:val="bottom"/>
            <w:gridSpan w:val="8"/>
            <w:vMerge w:val="restart"/>
          </w:tcPr>
          <w:p>
            <w:pPr>
              <w:spacing w:after="0"/>
              <w:rPr>
                <w:sz w:val="20"/>
                <w:szCs w:val="20"/>
                <w:color w:val="auto"/>
              </w:rPr>
            </w:pPr>
            <w:r>
              <w:rPr>
                <w:rFonts w:ascii="Arial" w:cs="Arial" w:eastAsia="Arial" w:hAnsi="Arial"/>
                <w:sz w:val="18"/>
                <w:szCs w:val="18"/>
                <w:color w:val="auto"/>
                <w:w w:val="92"/>
              </w:rPr>
              <w:t>A list of the warrants outstanding as of September 30, 2018 is included in the following table:</w:t>
            </w: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7"/>
              </w:rPr>
              <w:t>Warrants Outstanding</w:t>
            </w: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Warrants Exercisable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Exercise</w:t>
            </w:r>
          </w:p>
        </w:tc>
        <w:tc>
          <w:tcPr>
            <w:tcW w:w="220" w:type="dxa"/>
            <w:vAlign w:val="bottom"/>
          </w:tcPr>
          <w:p>
            <w:pPr>
              <w:spacing w:after="0"/>
              <w:rPr>
                <w:sz w:val="18"/>
                <w:szCs w:val="18"/>
                <w:color w:val="auto"/>
              </w:rPr>
            </w:pPr>
          </w:p>
        </w:tc>
        <w:tc>
          <w:tcPr>
            <w:tcW w:w="1800" w:type="dxa"/>
            <w:vAlign w:val="bottom"/>
            <w:gridSpan w:val="5"/>
          </w:tcPr>
          <w:p>
            <w:pPr>
              <w:ind w:left="420"/>
              <w:spacing w:after="0"/>
              <w:rPr>
                <w:sz w:val="20"/>
                <w:szCs w:val="20"/>
                <w:color w:val="auto"/>
              </w:rPr>
            </w:pPr>
            <w:r>
              <w:rPr>
                <w:rFonts w:ascii="Arial" w:cs="Arial" w:eastAsia="Arial" w:hAnsi="Arial"/>
                <w:sz w:val="18"/>
                <w:szCs w:val="18"/>
                <w:color w:val="auto"/>
              </w:rPr>
              <w:t>Warrants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Series</w:t>
            </w:r>
          </w:p>
        </w:tc>
        <w:tc>
          <w:tcPr>
            <w:tcW w:w="1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Issue Date</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Outstanding</w:t>
            </w:r>
          </w:p>
        </w:tc>
        <w:tc>
          <w:tcPr>
            <w:tcW w:w="380" w:type="dxa"/>
            <w:vAlign w:val="bottom"/>
            <w:shd w:val="clear" w:color="auto" w:fill="CCEEFF"/>
          </w:tcPr>
          <w:p>
            <w:pPr>
              <w:spacing w:after="0"/>
              <w:rPr>
                <w:sz w:val="21"/>
                <w:szCs w:val="21"/>
                <w:color w:val="auto"/>
              </w:rPr>
            </w:pPr>
          </w:p>
        </w:tc>
        <w:tc>
          <w:tcPr>
            <w:tcW w:w="14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Price</w:t>
            </w:r>
          </w:p>
        </w:tc>
        <w:tc>
          <w:tcPr>
            <w:tcW w:w="180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Exercisable</w:t>
            </w:r>
          </w:p>
        </w:tc>
        <w:tc>
          <w:tcPr>
            <w:tcW w:w="13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Lender warrants</w:t>
            </w:r>
          </w:p>
        </w:tc>
        <w:tc>
          <w:tcPr>
            <w:tcW w:w="24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color w:val="auto"/>
                <w:w w:val="89"/>
              </w:rPr>
              <w:t>5/11/2015</w:t>
            </w: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125,000</w:t>
            </w:r>
          </w:p>
        </w:tc>
        <w:tc>
          <w:tcPr>
            <w:tcW w:w="3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1.79</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89"/>
              </w:rPr>
              <w:t>125,000</w:t>
            </w:r>
          </w:p>
        </w:tc>
        <w:tc>
          <w:tcPr>
            <w:tcW w:w="3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jc w:val="center"/>
              <w:ind w:left="10"/>
              <w:spacing w:after="0" w:line="203" w:lineRule="exact"/>
              <w:rPr>
                <w:sz w:val="20"/>
                <w:szCs w:val="20"/>
                <w:color w:val="auto"/>
              </w:rPr>
            </w:pPr>
            <w:r>
              <w:rPr>
                <w:rFonts w:ascii="Arial" w:cs="Arial" w:eastAsia="Arial" w:hAnsi="Arial"/>
                <w:sz w:val="18"/>
                <w:szCs w:val="18"/>
                <w:color w:val="auto"/>
                <w:w w:val="89"/>
              </w:rPr>
              <w:t>5/11/2025</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warrants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8/16/2016</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40,000</w:t>
            </w:r>
          </w:p>
        </w:tc>
        <w:tc>
          <w:tcPr>
            <w:tcW w:w="1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8/16/2021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Placement Agent Warrants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12/27/2016</w:t>
            </w:r>
          </w:p>
        </w:tc>
        <w:tc>
          <w:tcPr>
            <w:tcW w:w="22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210,313</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210,313</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12/27/2019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 Warrants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12/27/2016</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3,359,270</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3,359,270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Lender warrants</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7/19/2017</w:t>
            </w:r>
          </w:p>
        </w:tc>
        <w:tc>
          <w:tcPr>
            <w:tcW w:w="22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615,386</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615,386</w:t>
            </w:r>
          </w:p>
        </w:tc>
        <w:tc>
          <w:tcPr>
            <w:tcW w:w="320" w:type="dxa"/>
            <w:vAlign w:val="bottom"/>
          </w:tcPr>
          <w:p>
            <w:pPr>
              <w:spacing w:after="0"/>
              <w:rPr>
                <w:sz w:val="20"/>
                <w:szCs w:val="20"/>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7/19/2024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4,349,969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4,349,969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2018 the Company recognized $17 in stock-based compensation related to equity instruments granted by Surface and Melt to consultants, Imprimis employees and directors, including Mark Baum, CEO of the Company, Andrew Boll, CFO of the Company, and Richard Lindstrom, a director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For the</w:t>
            </w:r>
          </w:p>
        </w:tc>
        <w:tc>
          <w:tcPr>
            <w:tcW w:w="28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For the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ind w:left="200"/>
              <w:spacing w:after="0"/>
              <w:rPr>
                <w:sz w:val="20"/>
                <w:szCs w:val="20"/>
                <w:color w:val="auto"/>
              </w:rPr>
            </w:pPr>
            <w:r>
              <w:rPr>
                <w:rFonts w:ascii="Arial" w:cs="Arial" w:eastAsia="Arial" w:hAnsi="Arial"/>
                <w:sz w:val="18"/>
                <w:szCs w:val="18"/>
                <w:color w:val="auto"/>
              </w:rPr>
              <w:t>For the</w:t>
            </w: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Three Months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9"/>
                <w:szCs w:val="19"/>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Ended</w:t>
            </w:r>
          </w:p>
        </w:tc>
        <w:tc>
          <w:tcPr>
            <w:tcW w:w="1800" w:type="dxa"/>
            <w:vAlign w:val="bottom"/>
            <w:gridSpan w:val="3"/>
          </w:tcPr>
          <w:p>
            <w:pPr>
              <w:ind w:left="2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9"/>
                <w:szCs w:val="19"/>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w w:val="97"/>
              </w:rPr>
              <w:t>Nine months Ended</w:t>
            </w:r>
          </w:p>
        </w:tc>
      </w:tr>
      <w:tr>
        <w:trPr>
          <w:trHeight w:val="237"/>
        </w:trPr>
        <w:tc>
          <w:tcPr>
            <w:tcW w:w="4360" w:type="dxa"/>
            <w:vAlign w:val="bottom"/>
          </w:tcPr>
          <w:p>
            <w:pPr>
              <w:spacing w:after="0"/>
              <w:rPr>
                <w:sz w:val="20"/>
                <w:szCs w:val="20"/>
                <w:color w:val="auto"/>
              </w:rPr>
            </w:pPr>
          </w:p>
        </w:tc>
        <w:tc>
          <w:tcPr>
            <w:tcW w:w="184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September 30, 2018</w:t>
            </w: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September 30, 2017</w:t>
            </w:r>
          </w:p>
        </w:tc>
        <w:tc>
          <w:tcPr>
            <w:tcW w:w="1800" w:type="dxa"/>
            <w:vAlign w:val="bottom"/>
            <w:gridSpan w:val="3"/>
          </w:tcPr>
          <w:p>
            <w:pPr>
              <w:ind w:left="20"/>
              <w:spacing w:after="0"/>
              <w:rPr>
                <w:sz w:val="20"/>
                <w:szCs w:val="20"/>
                <w:color w:val="auto"/>
              </w:rPr>
            </w:pPr>
            <w:r>
              <w:rPr>
                <w:rFonts w:ascii="Arial" w:cs="Arial" w:eastAsia="Arial" w:hAnsi="Arial"/>
                <w:sz w:val="18"/>
                <w:szCs w:val="18"/>
                <w:color w:val="auto"/>
              </w:rPr>
              <w:t>September 30, 2018</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auto"/>
                <w:w w:val="94"/>
              </w:rPr>
              <w:t>September 30, 2017</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1"/>
                <w:szCs w:val="21"/>
                <w:color w:val="auto"/>
              </w:rPr>
            </w:pPr>
          </w:p>
        </w:tc>
      </w:tr>
      <w:tr>
        <w:trPr>
          <w:trHeight w:val="217"/>
        </w:trPr>
        <w:tc>
          <w:tcPr>
            <w:tcW w:w="4360" w:type="dxa"/>
            <w:vAlign w:val="bottom"/>
            <w:tcBorders>
              <w:top w:val="single" w:sz="8" w:color="CCEEFF"/>
            </w:tcBorders>
          </w:tcPr>
          <w:p>
            <w:pPr>
              <w:ind w:left="37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our alleged transmittal of advertisements to our clients via facsimile. In June 2018, Sobol filed a motion for class certification and in July 2018 the Company filed a response in opposition to the motion for class certification. A hearing on class certification was heard on October 24, 2018, however, as of the date of this Report no decision has been made. The Company believes the claims are frivolous and has previously and will continue to dispute all claims asserted against it and intends to vigorously defend these allegations. Nonetheless, the Company cannot predict the eventual outcome of this this litigation, it could result in substantial costs and a diversion of management’s resources and attention, which could harm the Company’s business and the value of its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against the Company, primarily claiming violations under the federal Lanham Act and other state laws. The case is currently in discovery, with a trial date set for April 2019. The Company believes the claims are frivolous and has previously and will continue to dispute all asserted claims against it and intends to vigorously defend these allegations. Nonetheless, the Company cannot predict the eventual outcome of this this litigation, it could result in substantial costs and a diversion of management’s resources and attention, which could harm the Company’s business and the value of its common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Spectrum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Company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the Company and Spectrum and allege false representation by Spectrum regarding their products, fraudulent labeling and misrepresentations of approved product usages. The complaint has been filed with the Court and in May 2018, Spectrum filed an answer with the Court. The matter is currently in the beginning stages of discovery.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2018, NDS filed a first amended complaint which added a claim for fraudulent inducement. In July 2018, the Company filed a motion to dismiss certain causes of action found in the complaint, and its motion to dismiss was denied. In October 2018, the Company filed counterclaims alleging breach of contract and breach of covenant of good faith and fair dealing and named certain individual defendants. The Company believes the claims against it are frivolous and has previously and will continue to dispute all claims asserted against it and intend to vigorously defend these allegations. Nonetheless, the Company cannot predict the eventual outcome of this this litigation, it could result in substantial costs and a diversion of management’s resources and attention, which could harm the Company’s business and the value of its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2018, the California Board of Pharmacy filed an accusation against our wholly owned subsidiary, Park Compounding, Inc. (“Park”) related to a compounded formulation the Company believes was legally dispensed and was, without the Company’s knowledge, inappropriately administered to a patient unknown to the Company, by the prescribing healthcare professional. The Company has filed its response to the accusation and has requested a formal hearing. The Company disputes all claims against it and intends to vigorously defend against the allegations. Nonetheless, the Company cannot predict the outcome of this matter, it could result in substantial costs, suspension or revocation of Park’s pharmacy license and a diversion of management’s resources and attention, which could harm the Company’s business and the value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The Company utilizes traditional third-party insurance policies with regard to its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the Company as a co-defendant. In September 2018, co-defendant Dr. Kelly filed a cross-complaint against the Company and various Spectrum entities. The cross-complaint seeks indemnity and contribution from the Company and Spectrum. The Company answered the claims filed by Dr. Kelly in October 2018. The Company believes the claims are frivolous and has previously and will continue to dispute all asserted claims against it and intends to vigorously defend these allegations. Nonetheless, the Company cannot predict the eventual outcome of this this litigation, it could result in substantial costs and a diversion of management’s resources and attention, which could harm the Company’s business and the value of its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and as amended in April 2018,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$110 were made during the three and nine months ended September 30, 2018, and $12 was due to Dr. Lindstrom at September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entered various sales and marketing agreements with certain organizations, to provide exclusive sales and marketing representation services to Imprimis in select geographies in the U.S., in connection with our ophthalmic compounded formulations.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to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No stock-based payments were made and $507 and $1,065 were incurred under these agreements for commission expenses during the three and nine months ended September 30,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2018 and 2017 are attributed to the U.S. All long-lived assets at September 30, 2018 and December 31, 2017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nine months ended September 30, 2018 and 2017.</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58% and 51% of active pharmaceutical ingredient purchases during the three and nine months ended September 30, 2018, respectively, and 72% and 70% during the three and nine months ended September 30,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2018 through the filing date of this Quarterly Report. Based on its evaluation, nothing other than the events described below need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and November 2018, the Company issued 553,619 shares of its common stock related to the exercise of common stock warrants with an exercise price of $1.79, and received net proceeds of $991.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and November 2018, the Company issued 68,173 shares of its common stock related to the cashless exercise of 131,592 common stock warrants with an exercise price of $1.79.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2017 and subsequent reports on Form 8-K, which discuss our business in greater detail. As used in this discussion and analysis, unless the context indicates otherwise, the terms the “Company”, “Imprimis” “we”, “us” and “our” refer to Imprimis Pharmaceuticals, Inc. and its consolidated subsidiaries, consisting of Park Compounding, Inc., Imprimis Rx NJ, LLC dba ImprimisRx, Imprimis NJOF, LLC, and Melt Pharmaceuticals, Inc. In this discussion and analysis, we refer to our consolidated subsidiaries collectively as our “ImprimisRx compounding pharmacies.”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pharmaceutical company specializing in the development, production and sale of innovative medications that offer unique competitive advantages and serve unmet needs in the marketplace. In addition to owning the nation’s leading ophthalmology pharmaceutical compounding business, ImprimisRx, the Company holds large equity positions in Eton Pharmaceuticals, Inc. (“Eton”), Surface Pharmaceuticals, Inc. (“Surface”) and Melt Pharmaceuticals, Inc. (“Melt”) companies originally founded as subsidiaries of Imprimis. The Company also owns royalty rights in certain 505(b)(2) drug candidates being developed by Eton, Surface and Melt.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nine months ended September 30, 2018, we produced cash from operating activities of $723,000, and we expect this trend to continue. However, for years prior to 2018 and historically we have incurred recurring operating losses and have had negative operating cash flows since July 24, 1998 (inception). In addition, we have an accumulated deficit of approximately $92,341,000 at September 30, 2018. Beginning on April 1, 2014, when we acquired our first compounding pharmacy, we began generating revenue from sales of certain of our proprietary drug formulations and other non-proprietary formulations; however, we may incur further losses as we develop our pharmacy operations, evaluate other programs, pursue certain regualatory and market approvals for our drug candidates and continue the development of our formulations and drug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U.S. Food and Drug Administration (“FDA”) (either as a finished form product or as a bulk drug ingredient) and excipients, to create specialized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three compounding facilities. Our New Jersey operations comprises two separate entities and facilities, with one facility registered with the FDA as an outsourcing facility (“NJOF”) under Section 503B of the Federal Food Drug and Cosmetic Act (the “FDCA”). The other New Jersey facility (“RxNJ”), and Park Compounding, Inc. (“Park”) our California based pharmacy, are both licensed pharmacies operating under Section 503A of the FDCA. All products that we sell, produce and dispense are made in the United States of America.</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our current compounding facilities provide us with the infrastructure to scale our business appropriately under the current regulatory landscape and meet the growth in demand we are targeting. We plan to maintain and invest our facilities to further their capacity and efficiencies. Also, we may seek to access greater redundancy and markets through acquisitions, partnerships or other strategic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ImprimisRx is our ophthalmology focused pharmaceutical compounding business. We offer our over 3,000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pharmacies, or for in-office use made according to current good manufacturing practices (or cGMPs), in our FDA-registered NJOF outsourcing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Compounding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Park, our wholly owned subsidiary pharmacy based in Irvine, California, is focused on general customizable pharmaceutical compounding. Park dispenses sterile and non-sterile compounded medications prescribed by licensed practitioners when commercially available choices do not meet a patient’s needs. Park also produces and dispenses certain of our ophthalmic formulations.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large shareholders of Eton, Surface, and Melt, and hold royalty interests in certain of their drug candidates. These companies are pursuing market approval for their drug candidates under the FDCA, including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we formed and created subsidiaries named Radley Pharmaceuticals, Inc. and Mayfield Pharmaceuticals, Inc., which we intend to operate similar to Eton, Surface and Melt. In addition, we intend to create additional subsidiaries that will be focused on the development and FDA approval for certain proprietary drug formulations.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Eton Pharmaceuticals,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Eton is a biopharmaceutical company focused on developing and commercializing innovative products utilizing the FDA’s 505(b)(2) regulatory pathway. Its pipeline includes seven products in various stages of development across a variety of dosage forms. Eton’s pipeline is focused on innovative 505(b)(2) products and obtaining FDA marketing approval for currently marketed but unapproved drugs.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we entered into two asset purchase and license agreements (the “Eton License Agreements”) with our previously wholly owned subsidiary, Eton. Pursuant to the terms of the Eton License Agreements, we assigned and licensed to Eton certain intellectual property and related rights to develop, formulate, make, sell, and sub-license our proprietary formulations of synthetic corticotropin (Eton drug candidate CT-100) and a patented injectable pentoxifylline (collectively, the “Imprimis Products”). Eton, by itself or through a development partner, intends to seek FDA approval for the commercialization of CT-100 through the Section 505(b)(2) regulatory pathway. If approved by the FDA, Eton is required to make royalty payments to us on CT-100. In addition to CT-100, Eton has acquired several additional drug candidates and ones that qualify under the Drug Efficacy Study Implementation (DESI) program which it plans to develop and commercialize. Imprimis is only eligible to receive royalties on CT-100 (corticotropin) and will not receive royalties on any other drug candidates currently being developed by Eton.</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June 2018, Eton informed Imprimis that it did not intend to pursue development of its injectable pentoxifylline drug candidate. As a result, we exercised our rights under the related asset purchase agreement and re-acquired the intellectual property and related rights for the injectable pentoxifylline formulation and mutually terminated the pentoxifylline asset purchase agreement between us and Eton in August 2018 in exchange for $50,000.</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2017, Eton closed an offering of its Series A Preferred Stock at $3.00 a share for gross proceeds of approximately $20 million (the “Series A Round”). At the time of closing we lost our controlling interest, and deconsolidated Eton from our consolidated financial statements. In November 2018, Eton announced an initial public offering of 3,600,000 shares of its common stock at $6.00 a share for gross proceeds of approximately $21.6 million (the “Eton IPO”), and the underwriters are allowed to purchase an additional 540,000 shares of Eton common stock to cover any over-allotments related to the Eton IPO. Following the close of the Eton IPO, all shares of the Eton Series A Preferred Stock converted to Eton common stock. We are currently the largest shareholder of Eton and own 3.5 million shares of Eton common stock, which we estimate is approximately 19.99% of the equity and voting interests issued and outstanding of Eton following the close of the Eton IPO, and assuming the underwriter fully exercises its over-allotments option. Eton’s common stock currently trades on the NASDAQ Global Market exchange under the ticker symbol “ETON”.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Pharmaceuticals, Inc.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Surface is a biopharmaceutical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Imprimis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Imprimis board member and Surface’s chairman of the board and renowned ophthalmologist Dr. Richard Lindstrom. Klarity is designed to protect and rehabilitate the ocular surface pathology for patients with DED. Surface’s drug candidate SURF-300 is a patent-pending oral capsule that will target patients also suffering from DED signs and symptoms.</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May 2018, Surface closed on its first tranche of an offering of its Series A Preferred Stock at $3.30 a share for proceeds of approximately $15 million (the “Surface Series A Round”), and in July Surface closed a second tranche of the Surface Series A Round for proceeds of approximately $6 million ($21 million in aggregate). At the time of the first closing we lost our controlling interest, and deconsolidated Surface from our consolidated financial statements. We own 3.5 million shares of Surface common stock, which is approximately 30% of the equity and voting interests issued and outstanding of Surface. Pursuant to the terms of the Surface License Agreements, Imprimis is eligible to receive royalties on sales of contributed drug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Melt Pharmaceuticals, Inc.</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Melt is a pharmaceutical company focused on the development and commercialization of proprietary non-intravenous, or non-IV, sedation and anesthesia therapeutics for human medical procedures in hospital, outpatient, and in-office settings. Melt intends to seek regulatory approval through the FDA’s, 505(b)(2) regulatory pathway for these proprietary technologies, where possible. The core intellectual property, or IP, Melt owns is a patented series of combination non-opioid sedation drug formulations that we estimate to have multitudinous applications. In addition to assembling an excellent clinical advisory team, we have contracted with the nation’s leading 505(b)(2) drug development company to help steward our lead drug through an approval process. As we did with Eton and Surface, we intend to build out the Melt management team and work towards a deconsolidating transaction over the next 12 months.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Melt’s lead 505(b)(2) drug candidate is similar to Imprimis’s MKO Melt compounded formulation that has been dispensed nearly 100,000 times. Based on our experience, we believe there is a strong patient preference for sedation medications delivered sublingually as opposed to the traditional route, which is IV. Recently, a prospective controlled IRB-approved multi-arm clinical study of the MKO Melt was completed. We believe parts of this study is similar to what FDA may require for approval of Melt’s lead drug candidate. In this study, more than 600 cataract surgery patients were randomly assigned to receive either (i) diazepam, (ii) diazepam/tramadol/ondansetron, or (iii) the MKO Melt. An analysis of the study groups showed the MKO Melt had a safe and effective conscious sedation profile, and provided the lowest incidence/need for additional IV medications out of the three arms. When reviewing the statistical significance between study arms, MKO Melt group compared to the diazepam group generated a positive p-value of 0.01 for patients needing additional IV medications. We believe data and information generated from this study will help better inform us as we build and plan Melt’s clinical development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formal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our formulations may provide collective savings to Medicare, Medicaid and patients of up to $13 billion, with a most likely savings estimate of $8.7 billion, over a 10-year period. Based on this research, we believe optimized pricing for certain of our compounded formulations could be greater than $100 per dose. Any efforts to attain optimized pricing for these or any of our other proprietary formulations could fail, which could make our products less attractive or unavailable to some patients or could reduce our margins.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describes certain developments in 2018 to date that are important to understand our financial condition and results of operations. See the notes to our condensed consolidated financial statements included in this report for additional information about each of these developments.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Pharmaceuticals License Agreements and Series A Round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described more fully above under the sub-heading “Surface Pharmaceuticals, Inc.”, in 2017 and amended in April 2018, we entered the Surface License Agreements with our previously wholly owned subsidiary, Surface. The Surface License Agreements were made effective in May 2018, following the close of the Surface Series A Round. Pursuant to the terms of the Surface License Agreements, we assigned and licensed to Surface certain intellectual property and related rights to develop, formulate, make, sell, and sub-license the its current drug candidate pipeline.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nine months ended September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5"/>
              </w:rPr>
              <w:t>For the Three months ended</w:t>
            </w:r>
          </w:p>
        </w:tc>
        <w:tc>
          <w:tcPr>
            <w:tcW w:w="200" w:type="dxa"/>
            <w:vAlign w:val="bottom"/>
          </w:tcPr>
          <w:p>
            <w:pPr>
              <w:spacing w:after="0"/>
              <w:rPr>
                <w:sz w:val="19"/>
                <w:szCs w:val="19"/>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For the Nine months ended</w:t>
            </w: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Variance</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10,729,000</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6,473,000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29,958,000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19,411,000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b w:val="1"/>
                <w:bCs w:val="1"/>
                <w:color w:val="auto"/>
              </w:rPr>
              <w:t>License revenues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26,000</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increase in revenue between periods was largely attributable to increased sales of our proprietary formulations and furtherance of our ophthalmology related compounded formulations. Our gross ophthalmology related sales were approximately $8,860,000 and $24,102,000 for the three and nine months ended September 30, 2018, compared to $4,897,000 and $13,315,000 during the same period last year. Net revenues generated from NJOF (which include certain ophthalmology related sales) totaled $6,378,000 and $16,876,000 during the three and nine months ended September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nine months ended September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For the Three months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For the Nine months ended</w:t>
            </w: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Variance</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3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12,419,000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10,048,000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units sold of our formulations and products and our associated costs of such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6"/>
          </w:tcPr>
          <w:p>
            <w:pPr>
              <w:jc w:val="center"/>
              <w:ind w:right="430"/>
              <w:spacing w:after="0"/>
              <w:rPr>
                <w:sz w:val="20"/>
                <w:szCs w:val="20"/>
                <w:color w:val="auto"/>
              </w:rPr>
            </w:pPr>
            <w:r>
              <w:rPr>
                <w:rFonts w:ascii="Arial" w:cs="Arial" w:eastAsia="Arial" w:hAnsi="Arial"/>
                <w:sz w:val="18"/>
                <w:szCs w:val="18"/>
                <w:b w:val="1"/>
                <w:bCs w:val="1"/>
                <w:color w:val="auto"/>
                <w:w w:val="89"/>
              </w:rPr>
              <w:t>For the Three months ended</w:t>
            </w:r>
          </w:p>
        </w:tc>
        <w:tc>
          <w:tcPr>
            <w:tcW w:w="180" w:type="dxa"/>
            <w:vAlign w:val="bottom"/>
          </w:tcPr>
          <w:p>
            <w:pPr>
              <w:spacing w:after="0"/>
              <w:rPr>
                <w:sz w:val="24"/>
                <w:szCs w:val="24"/>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90"/>
              </w:rPr>
              <w:t>For the Nine months ended</w:t>
            </w:r>
          </w:p>
        </w:tc>
        <w:tc>
          <w:tcPr>
            <w:tcW w:w="200" w:type="dxa"/>
            <w:vAlign w:val="bottom"/>
          </w:tcPr>
          <w:p>
            <w:pPr>
              <w:spacing w:after="0"/>
              <w:rPr>
                <w:sz w:val="24"/>
                <w:szCs w:val="24"/>
                <w:color w:val="auto"/>
              </w:rPr>
            </w:pPr>
          </w:p>
        </w:tc>
        <w:tc>
          <w:tcPr>
            <w:tcW w:w="10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8"/>
              </w:rPr>
              <w:t>Variance</w:t>
            </w:r>
          </w:p>
        </w:tc>
        <w:tc>
          <w:tcPr>
            <w:tcW w:w="0" w:type="dxa"/>
            <w:vAlign w:val="bottom"/>
          </w:tcPr>
          <w:p>
            <w:pPr>
              <w:spacing w:after="0"/>
              <w:rPr>
                <w:sz w:val="1"/>
                <w:szCs w:val="1"/>
                <w:color w:val="auto"/>
              </w:rPr>
            </w:pPr>
          </w:p>
        </w:tc>
      </w:tr>
      <w:tr>
        <w:trPr>
          <w:trHeight w:val="230"/>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17,569,000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9,389,000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2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gross profit and gross margin between periods is largely attributable to increased efficiencies in our production process and utilization of capacities as a result of increased output.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presents our selling, general and administrative expenses for the three and nine months ended September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For the Nine months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Variance</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184"/>
        </w:trPr>
        <w:tc>
          <w:tcPr>
            <w:tcW w:w="1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Selling, general and</w:t>
            </w:r>
          </w:p>
        </w:tc>
        <w:tc>
          <w:tcPr>
            <w:tcW w:w="4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administrative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6,964,000</w:t>
            </w: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5,781,000</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1,183,000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20,231,000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19,077,000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1,154,000</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selling, general and administrative expenses between for the three and nine months ended September 30, 2018 was largely attributable to increased sales commission amounts, legal expenses incurred associated with ongoing litigation and costs related to the operations of Melt.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nine months ended September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For the Three months ended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For the Nine months ended</w:t>
            </w: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Variance</w:t>
            </w: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3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9" w:name="page30"/>
    <w:bookmarkEnd w:id="29"/>
    <w:p>
      <w:pPr>
        <w:jc w:val="both"/>
        <w:ind w:firstLine="648"/>
        <w:spacing w:after="0" w:line="308" w:lineRule="auto"/>
        <w:rPr>
          <w:sz w:val="20"/>
          <w:szCs w:val="20"/>
          <w:color w:val="auto"/>
        </w:rPr>
      </w:pPr>
      <w:r>
        <w:rPr>
          <w:rFonts w:ascii="Arial" w:cs="Arial" w:eastAsia="Arial" w:hAnsi="Arial"/>
          <w:sz w:val="17"/>
          <w:szCs w:val="17"/>
          <w:color w:val="auto"/>
        </w:rPr>
        <w:t>The increase in research and development expenses between periods was primarily attributable to the increase in formulation development studies and the clinical development program for our subsidiary Melt that occurred during the three and nine months ended September 30,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$1,000 and $2,000, respectively, for three and nine months ended September 30, 2018, compared to $2,000 and $7,000 during the same periods, respectively,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$706,000 and $2,040,000 for three and nine months ended September 30, 2018, respectively, compared to $795,000 and $2,355,000 during the same period last year, respectively. The decrease was primarily due to interest expense recognition related to the deferred acquisition obligations of our acquisition of Park being fulfilled and amortization of our capital lease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Loss from Surface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 and nine months ended September 30, 2018, we recorded a loss of $128,000 and $230,000, respectively, for our share of losses based on our ownership of Surface. We began using equity method accounting for our investment in Surface beginning on June 11, 2018, the date we no longer had a controlling interest, prior to that date, their losses were consolidated within our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Surface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2018, we recorded a gain of $5,320,000 on the deconsolidation of Surface, see Note 2 and Note 5 in the notes to the condensed consolidated financial statements for a more detailed explanation of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Loss from Eton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nine months ended September 30, 2018, we recorded a loss of $1,032,000 and $3,247,000, respectively, for our share of losses based on our ownership of Eton. We began using equity method accounting for our investment in Eton beginning on June 16, 2017, the date we no longer had a controlling interest, prior to that date, their losses were consolidated within our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Eton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nine months ended September 30, 2017, we recorded a gain of $5,725,000 on the deconsolidation of Eton, see Note 4 in the notes to the condensed consolidated financial statements for a more detailed explanation of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Sale of Assets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and nine months ended September 30, 2017, we recorded a loss of $42,000 and $326,000, respectively, related to assets associated with the sale of Imprimis TX and our sinus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September 30, 2018, we recorded other expense, net of $255,000. This was due to a loss of $393,000 related to the impairment and write-off of a note receivable, and income of $138,000 related to expenses that were paid by us and reimbursed by Surface following its deconsolidation.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Net Loss</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360" w:type="dxa"/>
            <w:vAlign w:val="bottom"/>
            <w:gridSpan w:val="10"/>
          </w:tcPr>
          <w:p>
            <w:pPr>
              <w:jc w:val="right"/>
              <w:ind w:right="920"/>
              <w:spacing w:after="0"/>
              <w:rPr>
                <w:sz w:val="20"/>
                <w:szCs w:val="20"/>
                <w:color w:val="auto"/>
              </w:rPr>
            </w:pPr>
            <w:r>
              <w:rPr>
                <w:rFonts w:ascii="Arial" w:cs="Arial" w:eastAsia="Arial" w:hAnsi="Arial"/>
                <w:sz w:val="18"/>
                <w:szCs w:val="18"/>
                <w:color w:val="auto"/>
                <w:w w:val="96"/>
              </w:rPr>
              <w:t>The following table presents our net loss for the three and nine months ended September 30, 2018 and 2017:</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24"/>
                <w:szCs w:val="24"/>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24"/>
                <w:szCs w:val="2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24"/>
                <w:szCs w:val="2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Nine months</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9"/>
                <w:szCs w:val="19"/>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September 30, 2018</w:t>
            </w:r>
          </w:p>
        </w:tc>
        <w:tc>
          <w:tcPr>
            <w:tcW w:w="140" w:type="dxa"/>
            <w:vAlign w:val="bottom"/>
          </w:tcPr>
          <w:p>
            <w:pPr>
              <w:spacing w:after="0"/>
              <w:rPr>
                <w:sz w:val="20"/>
                <w:szCs w:val="20"/>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30, 2017</w:t>
            </w:r>
          </w:p>
        </w:tc>
        <w:tc>
          <w:tcPr>
            <w:tcW w:w="16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30, 2018</w:t>
            </w: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(2,514,000)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(5,692,000)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(9,214,000)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w w:val="93"/>
              </w:rPr>
              <w:t>Basic and diluted net loss per share of</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September 30, 2018 was $6,315,000 compared to $4,219,000 at December 31, 2017. Since inception through September 30, 2018 we have incurred aggregate losses to common stockholders of $(92,341,000).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the date of this Quarterly Report, we believe that cash and cash equivalents of $6,115,000 and restricted cash of $200,000 totaling $6,315,000 at September 30, 2018,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nine months ended September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For the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5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Nine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Nine months Ended</w:t>
            </w:r>
          </w:p>
        </w:tc>
      </w:tr>
      <w:tr>
        <w:trPr>
          <w:trHeight w:val="230"/>
        </w:trPr>
        <w:tc>
          <w:tcPr>
            <w:tcW w:w="5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534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(8,509,000)</w:t>
            </w:r>
          </w:p>
        </w:tc>
        <w:tc>
          <w:tcPr>
            <w:tcW w:w="100" w:type="dxa"/>
            <w:vAlign w:val="bottom"/>
            <w:gridSpan w:val="2"/>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right"/>
              <w:ind w:right="280"/>
              <w:spacing w:after="0"/>
              <w:rPr>
                <w:sz w:val="20"/>
                <w:szCs w:val="20"/>
                <w:color w:val="auto"/>
              </w:rPr>
            </w:pPr>
            <w:r>
              <w:rPr>
                <w:rFonts w:ascii="Arial" w:cs="Arial" w:eastAsia="Arial" w:hAnsi="Arial"/>
                <w:sz w:val="18"/>
                <w:szCs w:val="18"/>
                <w:color w:val="auto"/>
              </w:rPr>
              <w:t>(1,347,000)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(712,000)</w:t>
            </w: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2,720,000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4,235,000</w:t>
            </w:r>
          </w:p>
        </w:tc>
        <w:tc>
          <w:tcPr>
            <w:tcW w:w="80" w:type="dxa"/>
            <w:vAlign w:val="bottom"/>
            <w:shd w:val="clear" w:color="auto" w:fill="CCEEFF"/>
          </w:tcPr>
          <w:p>
            <w:pPr>
              <w:spacing w:after="0"/>
              <w:rPr>
                <w:sz w:val="21"/>
                <w:szCs w:val="21"/>
                <w:color w:val="auto"/>
              </w:rPr>
            </w:pPr>
          </w:p>
        </w:tc>
      </w:tr>
      <w:tr>
        <w:trPr>
          <w:trHeight w:val="203"/>
        </w:trPr>
        <w:tc>
          <w:tcPr>
            <w:tcW w:w="5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5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2,096,000</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(4,986,000)</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4,219,000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9,053,000</w:t>
            </w:r>
          </w:p>
        </w:tc>
        <w:tc>
          <w:tcPr>
            <w:tcW w:w="80" w:type="dxa"/>
            <w:vAlign w:val="bottom"/>
            <w:shd w:val="clear" w:color="auto" w:fill="CCEEFF"/>
          </w:tcPr>
          <w:p>
            <w:pPr>
              <w:spacing w:after="0"/>
              <w:rPr>
                <w:sz w:val="21"/>
                <w:szCs w:val="21"/>
                <w:color w:val="auto"/>
              </w:rPr>
            </w:pPr>
          </w:p>
        </w:tc>
      </w:tr>
      <w:tr>
        <w:trPr>
          <w:trHeight w:val="217"/>
        </w:trPr>
        <w:tc>
          <w:tcPr>
            <w:tcW w:w="5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6,315,000</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(used in) operating activities was $723,000 in 2018, as compared to $(8,509,000) used in operating activities during the same period in the prior year. The decrease in net cash used in and increase in cash provided by operating activities during the periods was mainly attributed to increased unit volumes and sales, production efficiencies and management of operating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in 2018 and 2017 was $(1,347,000) and $(712,000), respectively. Cash used in investing activities in 2018 and 2017, were primarily associated with equipment purchases and upgrades and investments in our intellectual property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financing activities in 2018 and 2017 was $2,720,000 and $4,235,000, respectively. Cash provided by financing activities during 2018 was primarily attributable to proceeds from the exercise of stock purchase warrants with an exercise price of $1.79. In 2017, cash provided by financing activities was primarily attributable to proceeds from the registered direct offering and sale of shares of common stock in March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principal sources of cash consist of cash provided by operating activities from our pharmaceutical compounding business. We may also sell some or all of our ownership interests in Eton, Surface, Melt or our other subsidiaries. We just recently began producing cash from our operations in the second quarter of 2018, however historically, we haven’t received sufficient revenues to support our operations and may not be able to continue to do so.</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2018. Based on this evaluation, our principal executive officer and principal financial officer have concluded that our disclosure controls and procedures were effective to achieve their stated purpose as of September 30, 2018, the end of the period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September 30, 2018,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2016, Louis L. Sobol, M.D. (“Sobol”) filed a lawsuit in the U.S. District Court for the Eastern District of Michigan, Southern Division against us, asserting claims on behalf of himself and an as-yet-uncertified class of consumers. The claims allege violations under the Telephone Consumer Protection Act, 47 U.S.C. § 227 via our alleged transmittal of advertisements to our clients via facsimile. In June 2018, Sobol filed a motion for class certification and in July 2018 we filed a response in opposition to the motion for class certification. A hearing on class certification was heard on October 24, 2018, however, as of the date of this Report no decision has been made. We believe the claims are frivolous and have previously and will continue to dispute all claims asserted against us and intend to vigorously defend these allegations. Nonetheless, we cannot predict the eventual outcome of this litigation, it could result in substantial costs, losses and a diversion of management’s resources and attention, which could harm our business and the value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2017, Allergan USA, Inc. (“Allergan”) filed a lawsuit in the U.S. District Court for the Central District of California against us, primarily claiming violations under the federal Lanham Act and other state laws. The case is currently in discovery, with a trial date set for April 2019. We believe the claims are frivolous and have previously and will continue to dispute all claims asserted against us and intend to vigorously defend these allegations. Nonetheless, we cannot predict the eventual outcome of this litigation, it could result in substantial costs, losses and a diversion of management’s resources and attention, which could harm our business and the value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we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us and Spectrum and allege false representation by Spectrum regarding their products, fraudulent labeling and misrepresentations of approved product usages. The complaint has been filed with the Court and in May 2018, Spectrum filed an answer with the Court. The matter is currently in the beginning stages of discovery.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Novel Drug Solutions, LLC and Eyecare Northwest, PA, (collectively “NDS”) filed a lawsuit against us in the U.S. District Court of Delaware asserting claims for breach of contract. The claims stem from an asset purchase agreement between us and NDS entered into in 2013. In July 2018, NDS filed a first amended complaint which added a claim for fraudulent inducement. In July 2018, we filed a motion to dismiss certain causes of action found in the complaint, and our motion to dismiss was denied. In October 2018, we filed counterclaims alleging breach of contract and breach of covenant of good faith and fair dealing and named certain individual defendants. We believe the claims are frivolous and have previously and will continue to dispute all claims asserted against us and intend to vigorously defend these allegations. Nonetheless, we cannot predict the eventual outcome of this litigation, it could result in substantial costs, losses and a diversion of management’s resources and attention, which could harm the Company’s business and the value of its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2018, the California Board of Pharmacy filed an accusation against our wholly owned subsidiary, Park Compounding, Inc. (“Park”) related to a compounded formulation we believe was legally dispensed and was, without our knowledge, inappropriately administered to a patient unknown to us, by the prescribing healthcare professional. We filed our response to the accusation and have requested a formal hearing. We dispute all claims against us and intend to vigorously defend against the allegations. Nonetheless, we cannot predict the outcome of this matter, it could result in substantial costs, losses, suspension or revocation of Park’s pharmacy license and a diversion of management’s resources and attention, which could harm our business and the value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us and various Spectrum entities. The cross-complaint seeks indemnity and contribution from us and Spectrum. We answered the claims filed by Dr. Kelly in October 2018. We believe the claims are frivolous and have previously and will continue to dispute all claims asserted against us and intend to vigorously defend these allegations. Nonetheless, we cannot predict the eventual outcome of this litigation,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 Management believes the outcomes of currently pending claims are not likely to have a material effect on our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incurred losses in every year of our operations, including net losses of $(11,985,000) and $(19,087,000) for the years ended December 31, 2017 and 2016, respectively, and net losses of $(2,514,000) and $(3,505,000) for the three and nine months ended September 30, 2018 and $(5,692,000) and $(9,214,000) for the three and nine months ended September 30, 2017, respectively. As of September 30, 2018, our accumulated deficit was $(92,341,000). We expect to decrease our operating losses during 2018 and 2019, however, our projections may not be correct and our plans could change, and we could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three pharmaceutical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establishing a small compounding pharmacy group, whether through acquisitions, establishing new pharmacies or entering into licensing arrangements with third-party pharmacies and outsourcing facilities, to market and sell our proprietary formulations and other non-proprietary products in all 50 states and in certain geographies outside of the U.S.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compounding facilities in New Jersey and California We may plan to expand our pharmacy operations and personnel and developing our facilities into a unified group compounding pharmacy facilities. We have been developing “ImprimisRx” as a uniform brand for certain compounding facilities and ophthalmology focused pharmaceutical compounding business. We have limited experience acquiring, building or operating compounding pharmacies or other prescription dispensing facilities or commercializing our formulations through ownership of or licensing arrangements with pharmacies.. In addition, as we have in the past, we have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7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sell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August 2017,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taking steps to address the items outlined in the letter and will continue to work with the FDA to assure that all allegations in the warning letter have been addressed. We believe we have addressed all of the material items of concern in the FDA’s warning letter and those related to the MedWatch notification (and any other requirements observed by FDA and noted to us), and do not believe there will be any further action taken by FDA in this regard. Nonetheless, these two items increased further scrutiny and negative publicity on us as a company. At times, we have become aware of negative views of regulators related to certain formulations, and as a result discontinued compounding certain drug formulations in an attempt help mitigate potential regulatory risk. As a result of the MedWatch notice and other regulatory notifications,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our one of our pharmacies, or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subsidiary, Park Compounding, Inc. related to a compounded formulation we believe was legally dispensed and was, without our knowledge, inappropriately administered to a patient unknown to us, by the prescribing healthcare professionals. While we dispute all claims against us and intend to vigorously defend against the accusations, if Park Compounding is found to be in non-compliance pursuant to this accusation, it may be required to permanently or temporarily cease or limit its operations including its sterile compounding operations. If Park Compounding is required to permanently or temporarily cease or limit its sterile compounding operations, we would be unable to realize the expected benefits of this pharmacy’s operations, including its sales of our proprietary formulations. Although we distribute our proprietary formulations through other compounding pharmacies, and not solely through Park Compounding, the loss of Park Compounding’s ability to compound sterile formulations would have an immediate adverse impact on our ability to implement our business plan in a timely manner.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a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our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development opportunities in 2014 and 2015,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19, 2017, we incurred $16,000,000 of indebtedness under a loan agreement with SWK Funding, LLC and its partners (SWK) and concurrent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$12,120,000 at the time of final payment.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$59,000,000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such as with drug candidates being developed by Surface and Eton, we may be unable to demonstrate the necessary safety and efficacy to obtain such FDA approval.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2017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 approved drug products. We expect to submit an Investigational New Drug Application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 or government pricing approvals.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ind w:firstLine="648"/>
        <w:spacing w:after="0" w:line="286" w:lineRule="auto"/>
        <w:rPr>
          <w:sz w:val="20"/>
          <w:szCs w:val="20"/>
          <w:color w:val="auto"/>
        </w:rPr>
      </w:pPr>
      <w:r>
        <w:rPr>
          <w:rFonts w:ascii="Arial" w:cs="Arial" w:eastAsia="Arial" w:hAnsi="Arial"/>
          <w:sz w:val="16"/>
          <w:szCs w:val="16"/>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1"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of 2010 or, collectively, 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 Care Reform Law remains subject to legislative efforts to repeal, modify or delay the implementation of the law. Efforts to date have generally been unsuccessful as a result of the balance of power in Congress and the President’s veto power. However, the recent Presidential and Congressional elections, which resulted in the election of the Republican presidential nominee and Republican majorities in both houses of Congress, may result in additional efforts to repeal, modify or delay implementation of the Health Reform Law.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modification or delay in the implementation of the Health Care Reform Law on us at this time. Due to the substantial regulatory changes that will need to be implemented by Centers for Medicare &amp; Medicaid Services (“CMS”) and others, and the numerous processes required to implement these reforms, we cannot predict which healthcare initiatives will be implemented at the federal or state level, the timing of any such reforms, or the effect such reforms or any other future legislation or regulation will have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Even if our drug candidates are considered to be reference products eligible for 3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As of July 26, 2018, we own and/or license 34 U.S. patents or patent applications and we own 11 international patent applications filed under the Patent Cooperation Treaty and 38 foreign patent or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our Chief Executive Officer, Mark L. Baum, and other key persons for the continued growth and development of our Company.</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our Chief Commercial Officer, John P. Saharek.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their significant stock ownership, some of our existing stockholders are able to exert control over us and our significant corporate decisions.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August 3, 2018, approximately 14%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2017 Annual Report, our management concluded that our internal controls over financial reporting were effective as of December 31, 2017.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SWK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9, 2018, we amended our asset purchase agreement with Buderer Drug Company, Inc. related to our pentoxifylline and tranexamic acid plus an antibiotic drug formulations to clarify certain milestone payment terms that allow for three separate $25,000 milestone payments to Buderer Drug Company, Inc. ($75,000, in aggregate) upon two patent issuances and an investigational new drug applications being filed.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70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Consulting Agreement dated May 1, 2018 between Melt Pharmaceuticals, Inc. and Mark L. Baum</w:t>
              </w:r>
            </w:hyperlink>
          </w:p>
        </w:tc>
        <w:tc>
          <w:tcPr>
            <w:tcW w:w="3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71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Consulting Agreement dated May 1, 2018 between Melt Pharmaceuticals, Inc. and Andrew R. Boll</w:t>
              </w:r>
            </w:hyperlink>
          </w:p>
        </w:tc>
        <w:tc>
          <w:tcPr>
            <w:tcW w:w="3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10260" w:type="dxa"/>
            <w:vAlign w:val="bottom"/>
            <w:gridSpan w:val="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Consulting Agreement dated May 1, 2018 between Melt Pharmaceuticals, Inc. and John P. Saharek</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31.1*</w:t>
            </w:r>
          </w:p>
        </w:tc>
        <w:tc>
          <w:tcPr>
            <w:tcW w:w="56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vMerge w:val="continue"/>
          </w:tcPr>
          <w:p>
            <w:pPr>
              <w:spacing w:after="0"/>
              <w:rPr>
                <w:sz w:val="24"/>
                <w:szCs w:val="24"/>
                <w:color w:val="auto"/>
              </w:rPr>
            </w:pPr>
          </w:p>
        </w:tc>
        <w:tc>
          <w:tcPr>
            <w:tcW w:w="102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85">
              <w:r>
                <w:rPr>
                  <w:rFonts w:ascii="Arial" w:cs="Arial" w:eastAsia="Arial" w:hAnsi="Arial"/>
                  <w:sz w:val="18"/>
                  <w:szCs w:val="18"/>
                  <w:color w:val="0000EE"/>
                  <w:w w:val="94"/>
                </w:rPr>
                <w:t>Certification of Mark L. Baum, principal executive officer, pursuant to Rule 13a-14(a) or 15d-14(a) of the Securities and Exchange Act of</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1934, as adopted pursuant to Section 302 of the Sarbanes- Oxley Act of 2002.</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31.2*</w:t>
            </w:r>
          </w:p>
        </w:tc>
        <w:tc>
          <w:tcPr>
            <w:tcW w:w="56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vMerge w:val="continue"/>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6"/>
              </w:rPr>
            </w:pPr>
            <w:hyperlink w:anchor="page87">
              <w:r>
                <w:rPr>
                  <w:rFonts w:ascii="Arial" w:cs="Arial" w:eastAsia="Arial" w:hAnsi="Arial"/>
                  <w:sz w:val="18"/>
                  <w:szCs w:val="18"/>
                  <w:color w:val="0000EE"/>
                  <w:w w:val="96"/>
                </w:rPr>
                <w:t>Certification of Andrew R. Boll, principal financial and accounting officer, pursuant to Rule 13a-14(a) or 15d-14(a) of the Securities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Exchange Act of 1934, as adopted pursuant to Section 302 of the Sarbanes- Oxley Act of 2002.</w:t>
              </w:r>
            </w:hyperlink>
          </w:p>
        </w:tc>
        <w:tc>
          <w:tcPr>
            <w:tcW w:w="33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02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Certification pursuant to 18 U.S.C. Section 1350, as adopted pursuant to Section 906 of the Sarbanes-Oxley Act of 2002, executed by Mark</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2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L. Baum, principal executive officer, and Andrew R. Boll, principal financial and accounting officer.</w:t>
              </w:r>
            </w:hyperlink>
          </w:p>
        </w:tc>
        <w:tc>
          <w:tcPr>
            <w:tcW w:w="3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b w:val="1"/>
                <w:bCs w:val="1"/>
                <w:color w:val="auto"/>
              </w:rPr>
              <w:t>101.INS*</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101.SCH*</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101.CAL*</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101.DEF*</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101.LAB*</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101.PRE*</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13,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Mark L. Baum, an individual (“Consultant”) and Melt Pharmaceuticals, Inc., a Nevada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312"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1100" w:right="20" w:hanging="770"/>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both"/>
        <w:ind w:left="340" w:hanging="332"/>
        <w:spacing w:after="0" w:line="297"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1100" w:hanging="770"/>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1100" w:hanging="770"/>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1100" w:hanging="770"/>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760" w:hanging="658"/>
        <w:spacing w:after="0" w:line="308" w:lineRule="auto"/>
        <w:tabs>
          <w:tab w:leader="none" w:pos="17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760" w:hanging="658"/>
        <w:spacing w:after="0" w:line="277" w:lineRule="auto"/>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760" w:hanging="658"/>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760" w:hanging="658"/>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760" w:right="20" w:hanging="658"/>
        <w:spacing w:after="0" w:line="286" w:lineRule="auto"/>
        <w:tabs>
          <w:tab w:leader="none" w:pos="17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jc w:val="both"/>
        <w:ind w:left="1100" w:hanging="769"/>
        <w:spacing w:after="0" w:line="264" w:lineRule="auto"/>
        <w:tabs>
          <w:tab w:leader="none" w:pos="10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1100" w:hanging="769"/>
        <w:spacing w:after="0" w:line="277" w:lineRule="auto"/>
        <w:tabs>
          <w:tab w:leader="none" w:pos="10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1100" w:hanging="769"/>
        <w:spacing w:after="0" w:line="277" w:lineRule="auto"/>
        <w:tabs>
          <w:tab w:leader="none" w:pos="10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1100" w:hanging="769"/>
        <w:spacing w:after="0" w:line="302" w:lineRule="auto"/>
        <w:tabs>
          <w:tab w:leader="none" w:pos="10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54" w:lineRule="exact"/>
        <w:rPr>
          <w:sz w:val="20"/>
          <w:szCs w:val="20"/>
          <w:color w:val="auto"/>
        </w:rPr>
      </w:pPr>
    </w:p>
    <w:p>
      <w:pPr>
        <w:jc w:val="both"/>
        <w:ind w:left="340" w:hanging="332"/>
        <w:spacing w:after="0" w:line="26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CONSULTANT:</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MELT PHARMACEUTICALS,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MARK L. BAUM</w:t>
            </w: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Andrew R. Boll</w:t>
            </w:r>
          </w:p>
        </w:tc>
        <w:tc>
          <w:tcPr>
            <w:tcW w:w="7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Andrew R. Boll</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By:</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Mark L. 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 individual</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5/1/2018</w:t>
            </w:r>
          </w:p>
        </w:tc>
        <w:tc>
          <w:tcPr>
            <w:tcW w:w="3540" w:type="dxa"/>
            <w:vAlign w:val="bottom"/>
            <w:tcBorders>
              <w:bottom w:val="single" w:sz="8" w:color="auto"/>
            </w:tcBorders>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5/1/2018</w:t>
            </w:r>
          </w:p>
        </w:tc>
      </w:tr>
      <w:tr>
        <w:trPr>
          <w:trHeight w:val="39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Reviewed and approved by:</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53"/>
        </w:trPr>
        <w:tc>
          <w:tcPr>
            <w:tcW w:w="5620" w:type="dxa"/>
            <w:vAlign w:val="bottom"/>
            <w:gridSpan w:val="3"/>
          </w:tcPr>
          <w:p>
            <w:pPr>
              <w:spacing w:after="0"/>
              <w:rPr>
                <w:sz w:val="20"/>
                <w:szCs w:val="20"/>
                <w:color w:val="auto"/>
              </w:rPr>
            </w:pPr>
            <w:r>
              <w:rPr>
                <w:rFonts w:ascii="Arial" w:cs="Arial" w:eastAsia="Arial" w:hAnsi="Arial"/>
                <w:sz w:val="18"/>
                <w:szCs w:val="18"/>
                <w:color w:val="auto"/>
              </w:rPr>
              <w:t>IMPRIMIS PHARMACEUTICALS, INC.</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Robert J. Kammer</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Robert J. Kammer</w:t>
            </w:r>
          </w:p>
        </w:tc>
        <w:tc>
          <w:tcPr>
            <w:tcW w:w="78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Chairman of the Board of</w:t>
            </w:r>
          </w:p>
        </w:tc>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Imprimis Pharmaceutical, Inc.,</w:t>
            </w:r>
          </w:p>
        </w:tc>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p>
        </w:tc>
      </w:tr>
    </w:tbl>
    <w:p>
      <w:pPr>
        <w:ind w:left="580"/>
        <w:spacing w:after="0"/>
        <w:rPr>
          <w:sz w:val="20"/>
          <w:szCs w:val="20"/>
          <w:color w:val="auto"/>
        </w:rPr>
      </w:pPr>
      <w:r>
        <w:rPr>
          <w:rFonts w:ascii="Arial" w:cs="Arial" w:eastAsia="Arial" w:hAnsi="Arial"/>
          <w:sz w:val="18"/>
          <w:szCs w:val="18"/>
          <w:color w:val="auto"/>
        </w:rPr>
        <w:t>Parent Corporation to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Melt Pharmaceuticals,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L. Baum and Melt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Consultant shall provide management advisory services to the Company relating to its establishment, formulation development and optimization, invention support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either (a) 725,000 shares (the “Shares”) of the Company’s restricted common stock, par value $0.001 (“Common Stock”) under the terms of the Company’s 2018 Equity Incentive Plan (the “Plan”) and a Restricted Stock Award Grant Notice and Agreement thereunder to be provided to Consultant by the Company (collectively with the Plan, the “Restricted Stock Documents”) or (b) an option to purchase up to 725,000 shares of Common Stock (the “Options”) under the terms of the Plan and a Stock Option Grant Notice and Agreement thereunder to be provided to Consultant by the Company (collectively with the Plan, the “Stock Option Documents”). The issuance of equity by the Company to Consultant in the form of Shares or Options shall be determined and agreed upon in writing at a later time by the Company and Consultant.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Shares and/or Options shall vest upon the earliest of:</w:t>
      </w:r>
    </w:p>
    <w:p>
      <w:pPr>
        <w:spacing w:after="0" w:line="225"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3" w:lineRule="exact"/>
        <w:rPr>
          <w:rFonts w:ascii="Arial" w:cs="Arial" w:eastAsia="Arial" w:hAnsi="Arial"/>
          <w:sz w:val="18"/>
          <w:szCs w:val="18"/>
          <w:color w:val="auto"/>
        </w:rPr>
      </w:pPr>
    </w:p>
    <w:p>
      <w:pPr>
        <w:ind w:left="980" w:right="20" w:hanging="648"/>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ind w:left="980" w:hanging="648"/>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of closing of any bona-fide equity financing with third party investors resulting in cash gross proceeds to the Company of at least $10,000,000 (“Subsequent Financing”); or</w:t>
      </w:r>
    </w:p>
    <w:p>
      <w:pPr>
        <w:ind w:left="980" w:hanging="648"/>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Shares (as indicated in the Restricted Stock Documents) (the “Date of Grant”).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(3) and (4),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and/or Options shall vest immediately upon such termination.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Consultant understands that that the receipt of the Shares and/or Options hereunder may trigger tax consequences to Consultant for which Consultant will be solely responsible and that the Shares and/or Options have not been registered under the Securities Act of 1933, as amended, or any applicable state securities law. Consultant must execute the Restricted Stock Documents and/or Stock Option Documents as a condition to receipt of the Shares and/or Options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or about May 1, 2018 and shall provide the Services through the earlier of (i) one year from the Date of Grant,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ind w:left="1028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Andrew R. Boll, an individual (“Consultant”) and Melt Pharmaceuticals, Inc., a Nevada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312"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1100" w:right="20" w:hanging="770"/>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both"/>
        <w:ind w:left="332" w:hanging="332"/>
        <w:spacing w:after="0" w:line="297" w:lineRule="auto"/>
        <w:tabs>
          <w:tab w:leader="none" w:pos="33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1092" w:hanging="770"/>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752" w:hanging="658"/>
        <w:spacing w:after="0" w:line="308" w:lineRule="auto"/>
        <w:tabs>
          <w:tab w:leader="none" w:pos="17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752" w:hanging="658"/>
        <w:spacing w:after="0" w:line="277" w:lineRule="auto"/>
        <w:tabs>
          <w:tab w:leader="none" w:pos="17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752" w:hanging="658"/>
        <w:spacing w:after="0"/>
        <w:tabs>
          <w:tab w:leader="none" w:pos="17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752" w:hanging="658"/>
        <w:spacing w:after="0"/>
        <w:tabs>
          <w:tab w:leader="none" w:pos="17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752" w:right="20" w:hanging="658"/>
        <w:spacing w:after="0" w:line="286" w:lineRule="auto"/>
        <w:tabs>
          <w:tab w:leader="none" w:pos="17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72" w:name="page73"/>
    <w:bookmarkEnd w:id="72"/>
    <w:p>
      <w:pPr>
        <w:jc w:val="both"/>
        <w:ind w:left="1092" w:hanging="769"/>
        <w:spacing w:after="0" w:line="264" w:lineRule="auto"/>
        <w:tabs>
          <w:tab w:leader="none" w:pos="107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1092" w:hanging="769"/>
        <w:spacing w:after="0" w:line="302" w:lineRule="auto"/>
        <w:tabs>
          <w:tab w:leader="none" w:pos="107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54" w:lineRule="exact"/>
        <w:rPr>
          <w:sz w:val="20"/>
          <w:szCs w:val="20"/>
          <w:color w:val="auto"/>
        </w:rPr>
      </w:pPr>
    </w:p>
    <w:p>
      <w:pPr>
        <w:jc w:val="both"/>
        <w:ind w:left="332" w:hanging="332"/>
        <w:spacing w:after="0" w:line="268" w:lineRule="auto"/>
        <w:tabs>
          <w:tab w:leader="none" w:pos="33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73" w:name="page74"/>
    <w:bookmarkEnd w:id="73"/>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CONSULTANT:</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MELT PHARMACEUTICALS,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ANDREW R. BOLL</w:t>
            </w: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L. Baum</w:t>
            </w:r>
          </w:p>
        </w:tc>
        <w:tc>
          <w:tcPr>
            <w:tcW w:w="7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Mark L. Baum</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By:</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 individual</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5/1/2018</w:t>
            </w:r>
          </w:p>
        </w:tc>
        <w:tc>
          <w:tcPr>
            <w:tcW w:w="3520" w:type="dxa"/>
            <w:vAlign w:val="bottom"/>
            <w:tcBorders>
              <w:bottom w:val="single" w:sz="8" w:color="auto"/>
            </w:tcBorders>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5/1/2018</w:t>
            </w:r>
          </w:p>
        </w:tc>
      </w:tr>
      <w:tr>
        <w:trPr>
          <w:trHeight w:val="39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Reviewed and approved by:</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2100" w:type="dxa"/>
            <w:vAlign w:val="bottom"/>
            <w:gridSpan w:val="2"/>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53"/>
        </w:trPr>
        <w:tc>
          <w:tcPr>
            <w:tcW w:w="5620" w:type="dxa"/>
            <w:vAlign w:val="bottom"/>
            <w:gridSpan w:val="3"/>
          </w:tcPr>
          <w:p>
            <w:pPr>
              <w:spacing w:after="0"/>
              <w:rPr>
                <w:sz w:val="20"/>
                <w:szCs w:val="20"/>
                <w:color w:val="auto"/>
              </w:rPr>
            </w:pPr>
            <w:r>
              <w:rPr>
                <w:rFonts w:ascii="Arial" w:cs="Arial" w:eastAsia="Arial" w:hAnsi="Arial"/>
                <w:sz w:val="18"/>
                <w:szCs w:val="18"/>
                <w:color w:val="auto"/>
              </w:rPr>
              <w:t>IMPRIMIS PHARMACEUTICALS, INC.</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Robert J. Kammer</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Robert J. Kammer</w:t>
            </w:r>
          </w:p>
        </w:tc>
        <w:tc>
          <w:tcPr>
            <w:tcW w:w="78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Chairman of the Board of</w:t>
            </w:r>
          </w:p>
        </w:tc>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Imprimis Pharmaceutical, Inc.,</w:t>
            </w:r>
          </w:p>
        </w:tc>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p>
        </w:tc>
      </w:tr>
    </w:tbl>
    <w:p>
      <w:pPr>
        <w:ind w:left="580"/>
        <w:spacing w:after="0"/>
        <w:rPr>
          <w:sz w:val="20"/>
          <w:szCs w:val="20"/>
          <w:color w:val="auto"/>
        </w:rPr>
      </w:pPr>
      <w:r>
        <w:rPr>
          <w:rFonts w:ascii="Arial" w:cs="Arial" w:eastAsia="Arial" w:hAnsi="Arial"/>
          <w:sz w:val="18"/>
          <w:szCs w:val="18"/>
          <w:color w:val="auto"/>
        </w:rPr>
        <w:t>Parent Corporation to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Melt Pharmaceuticals,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R. Boll and Melt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Consultant shall provide advisory services to the Company relating to its establishment, financing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either (a) 362,500 shares (the “Shares”) of the Company’s restricted common stock, par value $0.001 (“Common Stock”) under the terms of the Company’s 2018 Equity Incentive Plan (the “Plan”) and a Restricted Stock Award Grant Notice and Agreement thereunder to be provided to Consultant by the Company (collectively with the Plan, the “Restricted Stock Documents”) or (b) an option to purchase up to 362,500 shares of Common Stock (the “Options”) under the terms of the Plan and a Stock Option Grant Notice and Agreement thereunder to be provided to Consultant by the Company (collectively with the Plan, the “Stock Option Documents”). The issuance of equity by the Company to Consultant in the form of Shares or Options shall be determined and agreed upon in writing at a later time by the Company and Consultant.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Shares and/or Options shall vest upon the earliest of:</w:t>
      </w:r>
    </w:p>
    <w:p>
      <w:pPr>
        <w:spacing w:after="0" w:line="225" w:lineRule="exact"/>
        <w:rPr>
          <w:sz w:val="20"/>
          <w:szCs w:val="20"/>
          <w:color w:val="auto"/>
        </w:rPr>
      </w:pPr>
    </w:p>
    <w:p>
      <w:pPr>
        <w:ind w:left="1100" w:hanging="768"/>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3" w:lineRule="exact"/>
        <w:rPr>
          <w:rFonts w:ascii="Arial" w:cs="Arial" w:eastAsia="Arial" w:hAnsi="Arial"/>
          <w:sz w:val="18"/>
          <w:szCs w:val="18"/>
          <w:color w:val="auto"/>
        </w:rPr>
      </w:pPr>
    </w:p>
    <w:p>
      <w:pPr>
        <w:ind w:left="1100" w:right="20" w:hanging="768"/>
        <w:spacing w:after="0" w:line="250"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ind w:left="1100" w:hanging="768"/>
        <w:spacing w:after="0" w:line="250"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closing of any bona-fide equity financing with third party investors resulting in cash gross proceeds to the Company of at least $10,000,000 (“Subsequent Financing”); or</w:t>
      </w:r>
    </w:p>
    <w:p>
      <w:pPr>
        <w:ind w:left="1100" w:hanging="768"/>
        <w:spacing w:after="0" w:line="261"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Shares (as indicated in the Restricted Stock Documents) (the “Date of Grant”).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(3) and (4),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and/or Options shall vest immediately upon such termination.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Consultant understands that that the receipt of the Shares and/or Options hereunder may trigger tax consequences to Consultant for which Consultant will be solely responsible and that the Shares and/or Options have not been registered under the Securities Act of 1933, as amended, or any applicable state securities law. Consultant must execute the Restricted Stock Documents and/or Stock Option Documents as a condition to receipt of the Shares and/or Options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or about May 1, 2018 and shall provide the Services through the earlier of (i) one year from the Date of Grant,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ind w:left="1028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John Saharek, an individual (“Consultant”) and Melt Pharmaceuticals, Inc., a Nevada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312"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1100" w:right="20" w:hanging="770"/>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both"/>
        <w:ind w:left="332" w:hanging="332"/>
        <w:spacing w:after="0" w:line="297"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1092" w:hanging="770"/>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752" w:hanging="658"/>
        <w:spacing w:after="0" w:line="308" w:lineRule="auto"/>
        <w:tabs>
          <w:tab w:leader="none" w:pos="1752" w:val="left"/>
        </w:tabs>
        <w:numPr>
          <w:ilvl w:val="1"/>
          <w:numId w:val="23"/>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752" w:hanging="658"/>
        <w:spacing w:after="0" w:line="277" w:lineRule="auto"/>
        <w:tabs>
          <w:tab w:leader="none" w:pos="17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752" w:hanging="658"/>
        <w:spacing w:after="0"/>
        <w:tabs>
          <w:tab w:leader="none" w:pos="17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752" w:hanging="658"/>
        <w:spacing w:after="0"/>
        <w:tabs>
          <w:tab w:leader="none" w:pos="17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752" w:right="20" w:hanging="658"/>
        <w:spacing w:after="0" w:line="286" w:lineRule="auto"/>
        <w:tabs>
          <w:tab w:leader="none" w:pos="1752" w:val="left"/>
        </w:tabs>
        <w:numPr>
          <w:ilvl w:val="1"/>
          <w:numId w:val="23"/>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79" w:name="page80"/>
    <w:bookmarkEnd w:id="79"/>
    <w:p>
      <w:pPr>
        <w:jc w:val="both"/>
        <w:ind w:left="1092" w:hanging="769"/>
        <w:spacing w:after="0" w:line="264" w:lineRule="auto"/>
        <w:tabs>
          <w:tab w:leader="none" w:pos="107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1092" w:hanging="769"/>
        <w:spacing w:after="0" w:line="302" w:lineRule="auto"/>
        <w:tabs>
          <w:tab w:leader="none" w:pos="107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54" w:lineRule="exact"/>
        <w:rPr>
          <w:sz w:val="20"/>
          <w:szCs w:val="20"/>
          <w:color w:val="auto"/>
        </w:rPr>
      </w:pPr>
    </w:p>
    <w:p>
      <w:pPr>
        <w:jc w:val="both"/>
        <w:ind w:left="332" w:hanging="332"/>
        <w:spacing w:after="0" w:line="268" w:lineRule="auto"/>
        <w:tabs>
          <w:tab w:leader="none" w:pos="33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80" w:name="page81"/>
    <w:bookmarkEnd w:id="80"/>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CONSULTANT:</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MELT PHARMACEUTICALS,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JOHN SAHAREK</w:t>
            </w: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L. Baum</w:t>
            </w:r>
          </w:p>
        </w:tc>
        <w:tc>
          <w:tcPr>
            <w:tcW w:w="7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Saharek</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Mark L. Baum</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By:</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John Saharek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 individual</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5/1/2018</w:t>
            </w:r>
          </w:p>
        </w:tc>
        <w:tc>
          <w:tcPr>
            <w:tcW w:w="3520" w:type="dxa"/>
            <w:vAlign w:val="bottom"/>
            <w:tcBorders>
              <w:bottom w:val="single" w:sz="8" w:color="auto"/>
            </w:tcBorders>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5/1/2018</w:t>
            </w:r>
          </w:p>
        </w:tc>
      </w:tr>
      <w:tr>
        <w:trPr>
          <w:trHeight w:val="37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Reviewed and approved by:</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2100" w:type="dxa"/>
            <w:vAlign w:val="bottom"/>
            <w:gridSpan w:val="2"/>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53"/>
        </w:trPr>
        <w:tc>
          <w:tcPr>
            <w:tcW w:w="5620" w:type="dxa"/>
            <w:vAlign w:val="bottom"/>
            <w:gridSpan w:val="3"/>
          </w:tcPr>
          <w:p>
            <w:pPr>
              <w:spacing w:after="0"/>
              <w:rPr>
                <w:sz w:val="20"/>
                <w:szCs w:val="20"/>
                <w:color w:val="auto"/>
              </w:rPr>
            </w:pPr>
            <w:r>
              <w:rPr>
                <w:rFonts w:ascii="Arial" w:cs="Arial" w:eastAsia="Arial" w:hAnsi="Arial"/>
                <w:sz w:val="18"/>
                <w:szCs w:val="18"/>
                <w:color w:val="auto"/>
              </w:rPr>
              <w:t>IMPRIMIS PHARMACEUTICALS, INC.</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Robert J. Kammer</w:t>
            </w:r>
          </w:p>
        </w:tc>
        <w:tc>
          <w:tcPr>
            <w:tcW w:w="7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Robert J. Kammer</w:t>
            </w:r>
          </w:p>
        </w:tc>
        <w:tc>
          <w:tcPr>
            <w:tcW w:w="78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Chairman of the Board of</w:t>
            </w:r>
          </w:p>
        </w:tc>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Imprimis Pharmaceutical, Inc.,</w:t>
            </w:r>
          </w:p>
        </w:tc>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Parent Corporation to</w:t>
            </w:r>
          </w:p>
        </w:tc>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Melt Pharmaceuticals, Inc.</w:t>
            </w:r>
          </w:p>
        </w:tc>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Saharek and Melt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shall provide advisory services to the Company relating to its sales and marketing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an option to purchase up to 20,000 shares of the Company’s restricted common stock, par value $0.001 (“Common Stock”) under the terms of the Company’s 2018 Equity Incentive Plan (the “Plan”) and a Stock Option Grant Notice and Agreement thereunder to be provided to Consultant by the Company (collectively with the Plan, the “Stock Option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shares subject to the option shall vest upon the earliest of:</w:t>
      </w:r>
    </w:p>
    <w:p>
      <w:pPr>
        <w:spacing w:after="0" w:line="225" w:lineRule="exact"/>
        <w:rPr>
          <w:sz w:val="20"/>
          <w:szCs w:val="20"/>
          <w:color w:val="auto"/>
        </w:rPr>
      </w:pPr>
    </w:p>
    <w:p>
      <w:pPr>
        <w:ind w:left="1100" w:hanging="768"/>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3" w:lineRule="exact"/>
        <w:rPr>
          <w:rFonts w:ascii="Arial" w:cs="Arial" w:eastAsia="Arial" w:hAnsi="Arial"/>
          <w:sz w:val="18"/>
          <w:szCs w:val="18"/>
          <w:color w:val="auto"/>
        </w:rPr>
      </w:pPr>
    </w:p>
    <w:p>
      <w:pPr>
        <w:ind w:left="1100" w:right="20" w:hanging="768"/>
        <w:spacing w:after="0" w:line="250"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ind w:left="1100" w:hanging="768"/>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option (as indicated in the Stock Option Documents).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and (3),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subject to the option shall vest immediately upon such termination.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Consultant understands that that the receipt of the option and/or shares subject to the option hereunder will trigger tax consequences to Consultant for which Consultant will be solely responsible and that the option and/or shares subject to the option have not been registered under the Securities Act of 1933, as amended, or any applicable state securities law. Consultant must execute the Restricted Stock Documents as a condition to receipt of the option and/or shares subject to the option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or about May 1, 2018 and shall provide the Services through the earliest of (i) one year from the date of grant of the option, (ii) a Change in Control, (iii) the IPO, or (iv) such earlier date as the Services are terminated by the Company or Consultant in accordance with this Agreement (the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53"/>
        <w:spacing w:after="0" w:line="264"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60" w:hanging="442"/>
        <w:spacing w:after="0" w:line="26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60" w:hanging="442"/>
        <w:spacing w:after="0" w:line="26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260" w:hanging="442"/>
        <w:spacing w:after="0" w:line="342" w:lineRule="auto"/>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42"/>
        <w:spacing w:after="0" w:line="26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60" w:hanging="442"/>
        <w:spacing w:after="0" w:line="308" w:lineRule="auto"/>
        <w:tabs>
          <w:tab w:leader="none" w:pos="12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42"/>
        <w:spacing w:after="0" w:line="277"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23495</wp:posOffset>
            </wp:positionV>
            <wp:extent cx="37649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920" w:hanging="453"/>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53"/>
        <w:spacing w:after="0" w:line="264"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60" w:hanging="442"/>
        <w:spacing w:after="0" w:line="264"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60" w:hanging="442"/>
        <w:spacing w:after="0" w:line="264"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260" w:hanging="442"/>
        <w:spacing w:after="0" w:line="342" w:lineRule="auto"/>
        <w:tabs>
          <w:tab w:leader="none" w:pos="12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42"/>
        <w:spacing w:after="0" w:line="264"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60" w:hanging="442"/>
        <w:spacing w:after="0" w:line="308" w:lineRule="auto"/>
        <w:tabs>
          <w:tab w:leader="none" w:pos="12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42"/>
        <w:spacing w:after="0" w:line="277"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September 30, 2018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Mark L. Baum </w:t>
      </w: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Andrew R. Boll </w:t>
      </w: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4"/>
    </w:lvl>
    <w:lvl w:ilvl="1">
      <w:lvlJc w:val="left"/>
      <w:lvlText w:val="(%2)"/>
      <w:numFmt w:val="lowerLetter"/>
      <w:start w:val="1"/>
    </w:lvl>
  </w:abstractNum>
  <w:abstractNum w:abstractNumId="13">
    <w:nsid w:val="628C895D"/>
    <w:multiLevelType w:val="hybridMultilevel"/>
    <w:lvl w:ilvl="0">
      <w:lvlJc w:val="left"/>
      <w:lvlText w:val="%1."/>
      <w:numFmt w:val="decimal"/>
      <w:start w:val="5"/>
    </w:lvl>
  </w:abstractNum>
  <w:abstractNum w:abstractNumId="14">
    <w:nsid w:val="333AB105"/>
    <w:multiLevelType w:val="hybridMultilevel"/>
    <w:lvl w:ilvl="0">
      <w:lvlJc w:val="left"/>
      <w:lvlText w:val="%1."/>
      <w:numFmt w:val="decimal"/>
      <w:start w:val="6"/>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4"/>
    </w:lvl>
    <w:lvl w:ilvl="1">
      <w:lvlJc w:val="left"/>
      <w:lvlText w:val="(%2)"/>
      <w:numFmt w:val="lowerLetter"/>
      <w:start w:val="1"/>
    </w:lvl>
  </w:abstractNum>
  <w:abstractNum w:abstractNumId="18">
    <w:nsid w:val="6763845E"/>
    <w:multiLevelType w:val="hybridMultilevel"/>
    <w:lvl w:ilvl="0">
      <w:lvlJc w:val="left"/>
      <w:lvlText w:val="%1."/>
      <w:numFmt w:val="decimal"/>
      <w:start w:val="5"/>
    </w:lvl>
  </w:abstractNum>
  <w:abstractNum w:abstractNumId="19">
    <w:nsid w:val="75A2A8D4"/>
    <w:multiLevelType w:val="hybridMultilevel"/>
    <w:lvl w:ilvl="0">
      <w:lvlJc w:val="left"/>
      <w:lvlText w:val="%1."/>
      <w:numFmt w:val="decimal"/>
      <w:start w:val="6"/>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4"/>
    </w:lvl>
    <w:lvl w:ilvl="1">
      <w:lvlJc w:val="left"/>
      <w:lvlText w:val="(%2)"/>
      <w:numFmt w:val="lowerLetter"/>
      <w:start w:val="1"/>
    </w:lvl>
  </w:abstractNum>
  <w:abstractNum w:abstractNumId="23">
    <w:nsid w:val="B03E0C6"/>
    <w:multiLevelType w:val="hybridMultilevel"/>
    <w:lvl w:ilvl="0">
      <w:lvlJc w:val="left"/>
      <w:lvlText w:val="%1."/>
      <w:numFmt w:val="decimal"/>
      <w:start w:val="5"/>
    </w:lvl>
  </w:abstractNum>
  <w:abstractNum w:abstractNumId="24">
    <w:nsid w:val="189A769B"/>
    <w:multiLevelType w:val="hybridMultilevel"/>
    <w:lvl w:ilvl="0">
      <w:lvlJc w:val="left"/>
      <w:lvlText w:val="%1."/>
      <w:numFmt w:val="decimal"/>
      <w:start w:val="6"/>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2020-01-10T23:41:16Z</dcterms:created>
  <dcterms:modified xsi:type="dcterms:W3CDTF">2020-01-10T23:41:16Z</dcterms:modified>
</cp:coreProperties>
</file>