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373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373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Opaleye Management Inc.</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ONE BOSTON PLACE, 26TH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HARROW,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HROW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02/27/2026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BOSTON</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02108</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40" w:type="dxa"/>
            <w:vAlign w:val="bottom"/>
            <w:gridSpan w:val="2"/>
          </w:tcPr>
          <w:p>
            <w:pPr>
              <w:ind w:left="340"/>
              <w:spacing w:after="0"/>
              <w:rPr>
                <w:sz w:val="20"/>
                <w:szCs w:val="20"/>
                <w:color w:val="auto"/>
              </w:rPr>
            </w:pPr>
            <w:r>
              <w:rPr>
                <w:rFonts w:ascii="Arial" w:cs="Arial" w:eastAsia="Arial" w:hAnsi="Arial"/>
                <w:sz w:val="12"/>
                <w:szCs w:val="12"/>
                <w:b w:val="1"/>
                <w:bCs w:val="1"/>
                <w:color w:val="auto"/>
                <w:w w:val="95"/>
              </w:rPr>
              <w:t>2. Transaction</w:t>
            </w:r>
          </w:p>
        </w:tc>
        <w:tc>
          <w:tcPr>
            <w:tcW w:w="300" w:type="dxa"/>
            <w:vAlign w:val="bottom"/>
          </w:tcPr>
          <w:p>
            <w:pPr>
              <w:spacing w:after="0"/>
              <w:rPr>
                <w:sz w:val="13"/>
                <w:szCs w:val="13"/>
                <w:color w:val="auto"/>
              </w:rPr>
            </w:pPr>
          </w:p>
        </w:tc>
        <w:tc>
          <w:tcPr>
            <w:tcW w:w="114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4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8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4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Date</w:t>
            </w:r>
          </w:p>
        </w:tc>
        <w:tc>
          <w:tcPr>
            <w:tcW w:w="30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46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8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4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46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08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08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vMerge w:val="restart"/>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460" w:type="dxa"/>
            <w:vAlign w:val="bottom"/>
          </w:tcPr>
          <w:p>
            <w:pPr>
              <w:spacing w:after="0"/>
              <w:rPr>
                <w:sz w:val="6"/>
                <w:szCs w:val="6"/>
                <w:color w:val="auto"/>
              </w:rPr>
            </w:pPr>
          </w:p>
        </w:tc>
        <w:tc>
          <w:tcPr>
            <w:tcW w:w="3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80" w:type="dxa"/>
            <w:vAlign w:val="bottom"/>
            <w:gridSpan w:val="4"/>
            <w:vMerge w:val="restart"/>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460" w:type="dxa"/>
            <w:vAlign w:val="bottom"/>
          </w:tcPr>
          <w:p>
            <w:pPr>
              <w:spacing w:after="0"/>
              <w:rPr>
                <w:sz w:val="3"/>
                <w:szCs w:val="3"/>
                <w:color w:val="auto"/>
              </w:rPr>
            </w:pPr>
          </w:p>
        </w:tc>
        <w:tc>
          <w:tcPr>
            <w:tcW w:w="3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3"/>
            <w:vMerge w:val="continue"/>
          </w:tcPr>
          <w:p>
            <w:pPr>
              <w:spacing w:after="0"/>
              <w:rPr>
                <w:sz w:val="8"/>
                <w:szCs w:val="8"/>
                <w:color w:val="auto"/>
              </w:rPr>
            </w:pPr>
          </w:p>
        </w:tc>
        <w:tc>
          <w:tcPr>
            <w:tcW w:w="11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w:t>
            </w:r>
          </w:p>
        </w:tc>
        <w:tc>
          <w:tcPr>
            <w:tcW w:w="10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By</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680" w:type="dxa"/>
            <w:vAlign w:val="bottom"/>
            <w:gridSpan w:val="3"/>
            <w:vMerge w:val="continue"/>
          </w:tcPr>
          <w:p>
            <w:pPr>
              <w:spacing w:after="0"/>
              <w:rPr>
                <w:sz w:val="9"/>
                <w:szCs w:val="9"/>
                <w:color w:val="auto"/>
              </w:rPr>
            </w:pPr>
          </w:p>
        </w:tc>
        <w:tc>
          <w:tcPr>
            <w:tcW w:w="1440" w:type="dxa"/>
            <w:vAlign w:val="bottom"/>
            <w:gridSpan w:val="3"/>
            <w:vMerge w:val="restart"/>
          </w:tcPr>
          <w:p>
            <w:pPr>
              <w:ind w:left="440"/>
              <w:spacing w:after="0"/>
              <w:rPr>
                <w:sz w:val="20"/>
                <w:szCs w:val="20"/>
                <w:color w:val="auto"/>
              </w:rPr>
            </w:pPr>
            <w:r>
              <w:rPr>
                <w:rFonts w:ascii="Times New Roman" w:cs="Times New Roman" w:eastAsia="Times New Roman" w:hAnsi="Times New Roman"/>
                <w:sz w:val="17"/>
                <w:szCs w:val="17"/>
                <w:color w:val="0000FF"/>
              </w:rPr>
              <w:t>02/27/2026</w:t>
            </w:r>
          </w:p>
        </w:tc>
        <w:tc>
          <w:tcPr>
            <w:tcW w:w="46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5,000</w:t>
            </w:r>
          </w:p>
        </w:tc>
        <w:tc>
          <w:tcPr>
            <w:tcW w:w="4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600" w:type="dxa"/>
            <w:vAlign w:val="bottom"/>
            <w:vMerge w:val="restart"/>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54.18</w:t>
            </w: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18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7"/>
                <w:szCs w:val="17"/>
                <w:color w:val="0000FF"/>
              </w:rPr>
              <w:t>65,000</w:t>
            </w:r>
          </w:p>
        </w:tc>
        <w:tc>
          <w:tcPr>
            <w:tcW w:w="360" w:type="dxa"/>
            <w:vAlign w:val="bottom"/>
          </w:tcPr>
          <w:p>
            <w:pPr>
              <w:spacing w:after="0"/>
              <w:rPr>
                <w:sz w:val="9"/>
                <w:szCs w:val="9"/>
                <w:color w:val="auto"/>
              </w:rPr>
            </w:pP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w:t>
            </w:r>
          </w:p>
        </w:tc>
        <w:tc>
          <w:tcPr>
            <w:tcW w:w="1080" w:type="dxa"/>
            <w:vAlign w:val="bottom"/>
            <w:gridSpan w:val="4"/>
            <w:vMerge w:val="restart"/>
          </w:tcPr>
          <w:p>
            <w:pPr>
              <w:ind w:left="40"/>
              <w:spacing w:after="0"/>
              <w:rPr>
                <w:sz w:val="20"/>
                <w:szCs w:val="20"/>
                <w:color w:val="auto"/>
              </w:rPr>
            </w:pPr>
            <w:r>
              <w:rPr>
                <w:rFonts w:ascii="Times New Roman" w:cs="Times New Roman" w:eastAsia="Times New Roman" w:hAnsi="Times New Roman"/>
                <w:sz w:val="17"/>
                <w:szCs w:val="17"/>
                <w:color w:val="0000FF"/>
              </w:rPr>
              <w:t>Managed</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440" w:type="dxa"/>
            <w:vAlign w:val="bottom"/>
            <w:gridSpan w:val="3"/>
            <w:vMerge w:val="continue"/>
          </w:tcPr>
          <w:p>
            <w:pPr>
              <w:spacing w:after="0"/>
              <w:rPr>
                <w:sz w:val="9"/>
                <w:szCs w:val="9"/>
                <w:color w:val="auto"/>
              </w:rPr>
            </w:pPr>
          </w:p>
        </w:tc>
        <w:tc>
          <w:tcPr>
            <w:tcW w:w="46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10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8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80" w:type="dxa"/>
            <w:vAlign w:val="bottom"/>
            <w:gridSpan w:val="4"/>
            <w:vMerge w:val="restart"/>
          </w:tcPr>
          <w:p>
            <w:pPr>
              <w:ind w:left="40"/>
              <w:spacing w:after="0"/>
              <w:rPr>
                <w:sz w:val="20"/>
                <w:szCs w:val="20"/>
                <w:color w:val="auto"/>
              </w:rPr>
            </w:pPr>
            <w:r>
              <w:rPr>
                <w:rFonts w:ascii="Times New Roman" w:cs="Times New Roman" w:eastAsia="Times New Roman" w:hAnsi="Times New Roman"/>
                <w:sz w:val="17"/>
                <w:szCs w:val="17"/>
                <w:color w:val="0000FF"/>
              </w:rPr>
              <w:t>Account</w:t>
            </w:r>
            <w:r>
              <w:rPr>
                <w:rFonts w:ascii="Times New Roman" w:cs="Times New Roman" w:eastAsia="Times New Roman" w:hAnsi="Times New Roman"/>
                <w:sz w:val="22"/>
                <w:szCs w:val="22"/>
                <w:color w:val="008000"/>
                <w:vertAlign w:val="superscript"/>
              </w:rPr>
              <w:t>(1)(3)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8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w:t>
            </w:r>
          </w:p>
        </w:tc>
        <w:tc>
          <w:tcPr>
            <w:tcW w:w="108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46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46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By</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680" w:type="dxa"/>
            <w:vAlign w:val="bottom"/>
            <w:gridSpan w:val="3"/>
            <w:vMerge w:val="continue"/>
          </w:tcPr>
          <w:p>
            <w:pPr>
              <w:spacing w:after="0"/>
              <w:rPr>
                <w:sz w:val="9"/>
                <w:szCs w:val="9"/>
                <w:color w:val="auto"/>
              </w:rPr>
            </w:pPr>
          </w:p>
        </w:tc>
        <w:tc>
          <w:tcPr>
            <w:tcW w:w="108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1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7"/>
                <w:szCs w:val="17"/>
                <w:color w:val="0000FF"/>
              </w:rPr>
              <w:t>3,815,000</w:t>
            </w:r>
          </w:p>
        </w:tc>
        <w:tc>
          <w:tcPr>
            <w:tcW w:w="360" w:type="dxa"/>
            <w:vAlign w:val="bottom"/>
          </w:tcPr>
          <w:p>
            <w:pPr>
              <w:spacing w:after="0"/>
              <w:rPr>
                <w:sz w:val="9"/>
                <w:szCs w:val="9"/>
                <w:color w:val="auto"/>
              </w:rPr>
            </w:pP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w:t>
            </w:r>
          </w:p>
        </w:tc>
        <w:tc>
          <w:tcPr>
            <w:tcW w:w="1080" w:type="dxa"/>
            <w:vAlign w:val="bottom"/>
            <w:gridSpan w:val="4"/>
            <w:vMerge w:val="restart"/>
          </w:tcPr>
          <w:p>
            <w:pPr>
              <w:ind w:left="40"/>
              <w:spacing w:after="0"/>
              <w:rPr>
                <w:sz w:val="20"/>
                <w:szCs w:val="20"/>
                <w:color w:val="auto"/>
              </w:rPr>
            </w:pPr>
            <w:r>
              <w:rPr>
                <w:rFonts w:ascii="Times New Roman" w:cs="Times New Roman" w:eastAsia="Times New Roman" w:hAnsi="Times New Roman"/>
                <w:sz w:val="17"/>
                <w:szCs w:val="17"/>
                <w:color w:val="0000FF"/>
              </w:rPr>
              <w:t>Opaleye,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10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8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80" w:type="dxa"/>
            <w:vAlign w:val="bottom"/>
            <w:gridSpan w:val="4"/>
            <w:vMerge w:val="restart"/>
          </w:tcPr>
          <w:p>
            <w:pPr>
              <w:ind w:left="40"/>
              <w:spacing w:after="0" w:line="281" w:lineRule="exact"/>
              <w:rPr>
                <w:sz w:val="20"/>
                <w:szCs w:val="20"/>
                <w:color w:val="auto"/>
              </w:rPr>
            </w:pPr>
            <w:r>
              <w:rPr>
                <w:rFonts w:ascii="Times New Roman" w:cs="Times New Roman" w:eastAsia="Times New Roman" w:hAnsi="Times New Roman"/>
                <w:sz w:val="32"/>
                <w:szCs w:val="32"/>
                <w:color w:val="0000FF"/>
                <w:vertAlign w:val="subscript"/>
              </w:rPr>
              <w:t>L.P.</w:t>
            </w:r>
            <w:r>
              <w:rPr>
                <w:rFonts w:ascii="Times New Roman" w:cs="Times New Roman" w:eastAsia="Times New Roman" w:hAnsi="Times New Roman"/>
                <w:sz w:val="11"/>
                <w:szCs w:val="11"/>
                <w:color w:val="008000"/>
              </w:rPr>
              <w:t>(2)(3)</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60" w:type="dxa"/>
            <w:vAlign w:val="bottom"/>
            <w:tcBorders>
              <w:bottom w:val="single" w:sz="8" w:color="2C2C2C"/>
            </w:tcBorders>
          </w:tcPr>
          <w:p>
            <w:pPr>
              <w:spacing w:after="0"/>
              <w:rPr>
                <w:sz w:val="18"/>
                <w:szCs w:val="18"/>
                <w:color w:val="auto"/>
              </w:rPr>
            </w:pPr>
          </w:p>
        </w:tc>
        <w:tc>
          <w:tcPr>
            <w:tcW w:w="108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108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580" w:type="dxa"/>
            <w:vAlign w:val="bottom"/>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240" w:type="dxa"/>
            <w:vAlign w:val="bottom"/>
            <w:gridSpan w:val="12"/>
          </w:tcPr>
          <w:p>
            <w:pPr>
              <w:ind w:left="4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20"/>
              <w:spacing w:after="0"/>
              <w:rPr>
                <w:sz w:val="20"/>
                <w:szCs w:val="20"/>
                <w:color w:val="auto"/>
              </w:rPr>
            </w:pPr>
            <w:r>
              <w:rPr>
                <w:rFonts w:ascii="Arial" w:cs="Arial" w:eastAsia="Arial" w:hAnsi="Arial"/>
                <w:sz w:val="12"/>
                <w:szCs w:val="12"/>
                <w:b w:val="1"/>
                <w:bCs w:val="1"/>
                <w:color w:val="auto"/>
              </w:rPr>
              <w:t>3A. Deemed</w:t>
            </w:r>
          </w:p>
        </w:tc>
        <w:tc>
          <w:tcPr>
            <w:tcW w:w="300" w:type="dxa"/>
            <w:vAlign w:val="bottom"/>
          </w:tcPr>
          <w:p>
            <w:pPr>
              <w:spacing w:after="0"/>
              <w:rPr>
                <w:sz w:val="20"/>
                <w:szCs w:val="20"/>
                <w:color w:val="auto"/>
              </w:rPr>
            </w:pPr>
            <w:r>
              <w:rPr>
                <w:rFonts w:ascii="Arial" w:cs="Arial" w:eastAsia="Arial" w:hAnsi="Arial"/>
                <w:sz w:val="12"/>
                <w:szCs w:val="12"/>
                <w:b w:val="1"/>
                <w:bCs w:val="1"/>
                <w:color w:val="auto"/>
              </w:rPr>
              <w:t>4.</w:t>
            </w:r>
          </w:p>
        </w:tc>
        <w:tc>
          <w:tcPr>
            <w:tcW w:w="46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4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4"/>
          </w:tcPr>
          <w:p>
            <w:pPr>
              <w:ind w:left="12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2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30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w:t>
            </w:r>
          </w:p>
        </w:tc>
        <w:tc>
          <w:tcPr>
            <w:tcW w:w="30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60" w:type="dxa"/>
            <w:vAlign w:val="bottom"/>
          </w:tcPr>
          <w:p>
            <w:pPr>
              <w:spacing w:after="0"/>
              <w:rPr>
                <w:sz w:val="11"/>
                <w:szCs w:val="11"/>
                <w:color w:val="auto"/>
              </w:rPr>
            </w:pPr>
          </w:p>
        </w:tc>
        <w:tc>
          <w:tcPr>
            <w:tcW w:w="11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3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46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6"/>
              </w:rPr>
              <w:t>Transaction(s)</w:t>
            </w: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Pr>
          <w:p>
            <w:pPr>
              <w:spacing w:after="0" w:line="133" w:lineRule="exact"/>
              <w:rPr>
                <w:sz w:val="20"/>
                <w:szCs w:val="20"/>
                <w:color w:val="auto"/>
              </w:rPr>
            </w:pPr>
            <w:r>
              <w:rPr>
                <w:rFonts w:ascii="Arial" w:cs="Arial" w:eastAsia="Arial" w:hAnsi="Arial"/>
                <w:sz w:val="12"/>
                <w:szCs w:val="12"/>
                <w:b w:val="1"/>
                <w:bCs w:val="1"/>
                <w:color w:val="auto"/>
                <w:w w:val="92"/>
              </w:rPr>
              <w:t>(Instr. 4)</w:t>
            </w: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gridSpan w:val="2"/>
          </w:tcPr>
          <w:p>
            <w:pPr>
              <w:spacing w:after="0"/>
              <w:rPr>
                <w:sz w:val="3"/>
                <w:szCs w:val="3"/>
                <w:color w:val="auto"/>
              </w:rPr>
            </w:pPr>
          </w:p>
        </w:tc>
        <w:tc>
          <w:tcPr>
            <w:tcW w:w="720" w:type="dxa"/>
            <w:vAlign w:val="bottom"/>
          </w:tcPr>
          <w:p>
            <w:pPr>
              <w:spacing w:after="0"/>
              <w:rPr>
                <w:sz w:val="3"/>
                <w:szCs w:val="3"/>
                <w:color w:val="auto"/>
              </w:rPr>
            </w:pPr>
          </w:p>
        </w:tc>
        <w:tc>
          <w:tcPr>
            <w:tcW w:w="460" w:type="dxa"/>
            <w:vAlign w:val="bottom"/>
          </w:tcPr>
          <w:p>
            <w:pPr>
              <w:spacing w:after="0"/>
              <w:rPr>
                <w:sz w:val="3"/>
                <w:szCs w:val="3"/>
                <w:color w:val="auto"/>
              </w:rPr>
            </w:pPr>
          </w:p>
        </w:tc>
        <w:tc>
          <w:tcPr>
            <w:tcW w:w="36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w w:val="98"/>
              </w:rPr>
              <w:t>Expiration</w:t>
            </w:r>
          </w:p>
        </w:tc>
        <w:tc>
          <w:tcPr>
            <w:tcW w:w="44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20"/>
                <w:szCs w:val="20"/>
                <w:color w:val="auto"/>
              </w:rPr>
            </w:pPr>
            <w:r>
              <w:rPr>
                <w:rFonts w:ascii="Arial" w:cs="Arial" w:eastAsia="Arial" w:hAnsi="Arial"/>
                <w:sz w:val="12"/>
                <w:szCs w:val="12"/>
                <w:b w:val="1"/>
                <w:bCs w:val="1"/>
                <w:color w:val="auto"/>
                <w:w w:val="93"/>
              </w:rPr>
              <w:t>Code</w:t>
            </w:r>
          </w:p>
        </w:tc>
        <w:tc>
          <w:tcPr>
            <w:tcW w:w="460" w:type="dxa"/>
            <w:vAlign w:val="bottom"/>
          </w:tcPr>
          <w:p>
            <w:pPr>
              <w:ind w:left="14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60" w:type="dxa"/>
            <w:vAlign w:val="bottom"/>
          </w:tcPr>
          <w:p>
            <w:pPr>
              <w:ind w:left="1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Securities owned by a separately managed account (the "Managed Account"). As the portfolio manager of the Managed Account, Opaleye may be deemed to beneficially own the securities owned directly by the Managed Account.</w:t>
      </w:r>
    </w:p>
    <w:p>
      <w:pPr>
        <w:spacing w:after="0" w:line="7" w:lineRule="exact"/>
        <w:rPr>
          <w:rFonts w:ascii="Times New Roman" w:cs="Times New Roman" w:eastAsia="Times New Roman" w:hAnsi="Times New Roman"/>
          <w:sz w:val="13"/>
          <w:szCs w:val="13"/>
          <w:color w:val="008000"/>
        </w:rPr>
      </w:pPr>
    </w:p>
    <w:p>
      <w:pPr>
        <w:ind w:left="40" w:right="2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securities owned directly by Opaleye, L.P. (the "Fund"). As the investment manager of the Fund, Opaleye Management Inc. may be deemed to beneficially own the securities owned directly by the Fund.</w:t>
      </w:r>
    </w:p>
    <w:p>
      <w:pPr>
        <w:spacing w:after="0" w:line="7" w:lineRule="exact"/>
        <w:rPr>
          <w:rFonts w:ascii="Times New Roman" w:cs="Times New Roman" w:eastAsia="Times New Roman" w:hAnsi="Times New Roman"/>
          <w:sz w:val="13"/>
          <w:szCs w:val="13"/>
          <w:color w:val="008000"/>
        </w:rPr>
      </w:pPr>
    </w:p>
    <w:p>
      <w:pPr>
        <w:ind w:left="40" w:right="4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Opaleye Management Inc. disclaims beneficial ownership of the shares reported herein except to the extent of its pecuniary interest therein, and the filing of this Form 4 shall not be construed as an admission that Opaleye Management Inc. is the beneficial owner of any such shares for purposes of Section 16(a) of the Securities Exchange Act of 1934, as amended, or for any other purpose.</w:t>
      </w:r>
    </w:p>
    <w:p>
      <w:pPr>
        <w:spacing w:after="0" w:line="33"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Opaleye Management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1912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By: /s/ James Silverman,</w:t>
      </w:r>
      <w:r>
        <w:rPr>
          <w:sz w:val="20"/>
          <w:szCs w:val="20"/>
          <w:color w:val="auto"/>
        </w:rPr>
        <w:tab/>
      </w:r>
      <w:r>
        <w:rPr>
          <w:rFonts w:ascii="Times New Roman" w:cs="Times New Roman" w:eastAsia="Times New Roman" w:hAnsi="Times New Roman"/>
          <w:sz w:val="17"/>
          <w:szCs w:val="17"/>
          <w:color w:val="0000FF"/>
        </w:rPr>
        <w:t>03/03/2026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President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40957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40957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595855" TargetMode="External"/><Relationship Id="rId14" Type="http://schemas.openxmlformats.org/officeDocument/2006/relationships/hyperlink" Target="http://www.sec.gov/cgi-bin/browse-edgar?action=getcompany&amp;CIK=00013602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2026-03-03T15:08:29Z</dcterms:created>
  <dcterms:modified xsi:type="dcterms:W3CDTF">2026-03-03T15:08:29Z</dcterms:modified>
</cp:coreProperties>
</file>