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137795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ELIGIBILITY 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 INDENTURE ACT OF 1939 OF 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DESIGNATED TO ACT AS TRUSTEE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if an Application to Determine Eligibility of</w:t>
      </w:r>
    </w:p>
    <w:p>
      <w:pPr>
        <w:spacing w:after="0" w:line="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a Trustee Pursuant to Section 305(b)(2)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146050</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91-1821036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color w:val="auto"/>
                <w:w w:val="99"/>
              </w:rPr>
              <w:t>800 Nicollet Mall</w:t>
            </w:r>
          </w:p>
        </w:tc>
        <w:tc>
          <w:tcPr>
            <w:tcW w:w="3460" w:type="dxa"/>
            <w:vAlign w:val="bottom"/>
          </w:tcPr>
          <w:p>
            <w:pPr>
              <w:spacing w:after="0"/>
              <w:rPr>
                <w:sz w:val="18"/>
                <w:szCs w:val="18"/>
                <w:color w:val="auto"/>
              </w:rPr>
            </w:pPr>
          </w:p>
        </w:tc>
      </w:tr>
      <w:tr>
        <w:trPr>
          <w:trHeight w:val="241"/>
        </w:trPr>
        <w:tc>
          <w:tcPr>
            <w:tcW w:w="778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color w:val="auto"/>
              </w:rPr>
              <w:t>Minneapolis, Minnesota</w:t>
            </w:r>
          </w:p>
        </w:tc>
        <w:tc>
          <w:tcPr>
            <w:tcW w:w="34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rPr>
              <w:t>55402</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tcPr>
          <w:p>
            <w:pPr>
              <w:jc w:val="center"/>
              <w:ind w:right="19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5"/>
        </w:trPr>
        <w:tc>
          <w:tcPr>
            <w:tcW w:w="7780" w:type="dxa"/>
            <w:vAlign w:val="bottom"/>
            <w:gridSpan w:val="3"/>
          </w:tcPr>
          <w:p>
            <w:pPr>
              <w:jc w:val="center"/>
              <w:ind w:left="3366"/>
              <w:spacing w:after="0"/>
              <w:rPr>
                <w:sz w:val="20"/>
                <w:szCs w:val="20"/>
                <w:color w:val="auto"/>
              </w:rPr>
            </w:pPr>
            <w:r>
              <w:rPr>
                <w:rFonts w:ascii="Times New Roman" w:cs="Times New Roman" w:eastAsia="Times New Roman" w:hAnsi="Times New Roman"/>
                <w:sz w:val="18"/>
                <w:szCs w:val="18"/>
                <w:color w:val="auto"/>
                <w:w w:val="99"/>
              </w:rPr>
              <w:t>Wally Jones</w:t>
            </w:r>
          </w:p>
        </w:tc>
        <w:tc>
          <w:tcPr>
            <w:tcW w:w="3460" w:type="dxa"/>
            <w:vAlign w:val="bottom"/>
          </w:tcPr>
          <w:p>
            <w:pPr>
              <w:spacing w:after="0"/>
              <w:rPr>
                <w:sz w:val="24"/>
                <w:szCs w:val="24"/>
                <w:color w:val="auto"/>
              </w:rPr>
            </w:pPr>
          </w:p>
        </w:tc>
      </w:tr>
      <w:tr>
        <w:trPr>
          <w:trHeight w:val="216"/>
        </w:trPr>
        <w:tc>
          <w:tcPr>
            <w:tcW w:w="7780" w:type="dxa"/>
            <w:vAlign w:val="bottom"/>
            <w:gridSpan w:val="3"/>
          </w:tcPr>
          <w:p>
            <w:pPr>
              <w:jc w:val="center"/>
              <w:ind w:left="3386"/>
              <w:spacing w:after="0"/>
              <w:rPr>
                <w:sz w:val="20"/>
                <w:szCs w:val="20"/>
                <w:color w:val="auto"/>
              </w:rPr>
            </w:pPr>
            <w:r>
              <w:rPr>
                <w:rFonts w:ascii="Times New Roman" w:cs="Times New Roman" w:eastAsia="Times New Roman" w:hAnsi="Times New Roman"/>
                <w:sz w:val="18"/>
                <w:szCs w:val="18"/>
                <w:color w:val="auto"/>
                <w:w w:val="99"/>
              </w:rPr>
              <w:t>U.S. Bank Trust Company, National Association</w:t>
            </w:r>
          </w:p>
        </w:tc>
        <w:tc>
          <w:tcPr>
            <w:tcW w:w="3460" w:type="dxa"/>
            <w:vAlign w:val="bottom"/>
          </w:tcPr>
          <w:p>
            <w:pPr>
              <w:spacing w:after="0"/>
              <w:rPr>
                <w:sz w:val="18"/>
                <w:szCs w:val="18"/>
                <w:color w:val="auto"/>
              </w:rPr>
            </w:pPr>
          </w:p>
        </w:tc>
      </w:tr>
      <w:tr>
        <w:trPr>
          <w:trHeight w:val="216"/>
        </w:trPr>
        <w:tc>
          <w:tcPr>
            <w:tcW w:w="7780" w:type="dxa"/>
            <w:vAlign w:val="bottom"/>
            <w:gridSpan w:val="3"/>
          </w:tcPr>
          <w:p>
            <w:pPr>
              <w:jc w:val="center"/>
              <w:ind w:left="3386"/>
              <w:spacing w:after="0"/>
              <w:rPr>
                <w:sz w:val="20"/>
                <w:szCs w:val="20"/>
                <w:color w:val="auto"/>
              </w:rPr>
            </w:pPr>
            <w:r>
              <w:rPr>
                <w:rFonts w:ascii="Times New Roman" w:cs="Times New Roman" w:eastAsia="Times New Roman" w:hAnsi="Times New Roman"/>
                <w:sz w:val="18"/>
                <w:szCs w:val="18"/>
                <w:color w:val="auto"/>
                <w:w w:val="99"/>
              </w:rPr>
              <w:t>333 Commerce Street, Suite 800</w:t>
            </w:r>
          </w:p>
        </w:tc>
        <w:tc>
          <w:tcPr>
            <w:tcW w:w="3460" w:type="dxa"/>
            <w:vAlign w:val="bottom"/>
          </w:tcPr>
          <w:p>
            <w:pPr>
              <w:spacing w:after="0"/>
              <w:rPr>
                <w:sz w:val="18"/>
                <w:szCs w:val="18"/>
                <w:color w:val="auto"/>
              </w:rPr>
            </w:pPr>
          </w:p>
        </w:tc>
      </w:tr>
      <w:tr>
        <w:trPr>
          <w:trHeight w:val="216"/>
        </w:trPr>
        <w:tc>
          <w:tcPr>
            <w:tcW w:w="7780" w:type="dxa"/>
            <w:vAlign w:val="bottom"/>
            <w:gridSpan w:val="3"/>
          </w:tcPr>
          <w:p>
            <w:pPr>
              <w:jc w:val="center"/>
              <w:ind w:left="3366"/>
              <w:spacing w:after="0"/>
              <w:rPr>
                <w:sz w:val="20"/>
                <w:szCs w:val="20"/>
                <w:color w:val="auto"/>
              </w:rPr>
            </w:pPr>
            <w:r>
              <w:rPr>
                <w:rFonts w:ascii="Times New Roman" w:cs="Times New Roman" w:eastAsia="Times New Roman" w:hAnsi="Times New Roman"/>
                <w:sz w:val="18"/>
                <w:szCs w:val="18"/>
                <w:color w:val="auto"/>
              </w:rPr>
              <w:t>Nashville, TN 37201</w:t>
            </w:r>
          </w:p>
        </w:tc>
        <w:tc>
          <w:tcPr>
            <w:tcW w:w="3460" w:type="dxa"/>
            <w:vAlign w:val="bottom"/>
          </w:tcPr>
          <w:p>
            <w:pPr>
              <w:spacing w:after="0"/>
              <w:rPr>
                <w:sz w:val="18"/>
                <w:szCs w:val="18"/>
                <w:color w:val="auto"/>
              </w:rPr>
            </w:pPr>
          </w:p>
        </w:tc>
      </w:tr>
      <w:tr>
        <w:trPr>
          <w:trHeight w:val="216"/>
        </w:trPr>
        <w:tc>
          <w:tcPr>
            <w:tcW w:w="7780" w:type="dxa"/>
            <w:vAlign w:val="bottom"/>
            <w:gridSpan w:val="3"/>
          </w:tcPr>
          <w:p>
            <w:pPr>
              <w:jc w:val="center"/>
              <w:ind w:left="3366"/>
              <w:spacing w:after="0"/>
              <w:rPr>
                <w:sz w:val="20"/>
                <w:szCs w:val="20"/>
                <w:color w:val="auto"/>
              </w:rPr>
            </w:pPr>
            <w:r>
              <w:rPr>
                <w:rFonts w:ascii="Times New Roman" w:cs="Times New Roman" w:eastAsia="Times New Roman" w:hAnsi="Times New Roman"/>
                <w:sz w:val="18"/>
                <w:szCs w:val="18"/>
                <w:color w:val="auto"/>
                <w:w w:val="99"/>
              </w:rPr>
              <w:t>(615) 251-0733</w:t>
            </w:r>
          </w:p>
        </w:tc>
        <w:tc>
          <w:tcPr>
            <w:tcW w:w="3460" w:type="dxa"/>
            <w:vAlign w:val="bottom"/>
          </w:tcPr>
          <w:p>
            <w:pPr>
              <w:spacing w:after="0"/>
              <w:rPr>
                <w:sz w:val="18"/>
                <w:szCs w:val="18"/>
                <w:color w:val="auto"/>
              </w:rPr>
            </w:pPr>
          </w:p>
        </w:tc>
      </w:tr>
      <w:tr>
        <w:trPr>
          <w:trHeight w:val="234"/>
        </w:trPr>
        <w:tc>
          <w:tcPr>
            <w:tcW w:w="7780" w:type="dxa"/>
            <w:vAlign w:val="bottom"/>
            <w:gridSpan w:val="3"/>
          </w:tcPr>
          <w:p>
            <w:pPr>
              <w:jc w:val="center"/>
              <w:ind w:left="3386"/>
              <w:spacing w:after="0"/>
              <w:rPr>
                <w:sz w:val="20"/>
                <w:szCs w:val="20"/>
                <w:color w:val="auto"/>
              </w:rPr>
            </w:pPr>
            <w:r>
              <w:rPr>
                <w:rFonts w:ascii="Times New Roman" w:cs="Times New Roman" w:eastAsia="Times New Roman" w:hAnsi="Times New Roman"/>
                <w:sz w:val="18"/>
                <w:szCs w:val="18"/>
                <w:color w:val="auto"/>
                <w:w w:val="99"/>
              </w:rPr>
              <w:t>(Name, address and telephone number of agent for service)</w:t>
            </w:r>
          </w:p>
        </w:tc>
        <w:tc>
          <w:tcPr>
            <w:tcW w:w="3460" w:type="dxa"/>
            <w:vAlign w:val="bottom"/>
          </w:tcPr>
          <w:p>
            <w:pPr>
              <w:spacing w:after="0"/>
              <w:rPr>
                <w:sz w:val="20"/>
                <w:szCs w:val="20"/>
                <w:color w:val="auto"/>
              </w:rPr>
            </w:pPr>
          </w:p>
        </w:tc>
      </w:tr>
      <w:tr>
        <w:trPr>
          <w:trHeight w:val="562"/>
        </w:trPr>
        <w:tc>
          <w:tcPr>
            <w:tcW w:w="7780" w:type="dxa"/>
            <w:vAlign w:val="bottom"/>
            <w:gridSpan w:val="3"/>
          </w:tcPr>
          <w:p>
            <w:pPr>
              <w:jc w:val="center"/>
              <w:ind w:left="3366"/>
              <w:spacing w:after="0"/>
              <w:rPr>
                <w:sz w:val="20"/>
                <w:szCs w:val="20"/>
                <w:color w:val="auto"/>
              </w:rPr>
            </w:pPr>
            <w:r>
              <w:rPr>
                <w:rFonts w:ascii="Times New Roman" w:cs="Times New Roman" w:eastAsia="Times New Roman" w:hAnsi="Times New Roman"/>
                <w:sz w:val="32"/>
                <w:szCs w:val="32"/>
                <w:b w:val="1"/>
                <w:bCs w:val="1"/>
                <w:color w:val="auto"/>
              </w:rPr>
              <w:t>Harrow Health, Inc.</w:t>
            </w:r>
          </w:p>
        </w:tc>
        <w:tc>
          <w:tcPr>
            <w:tcW w:w="3460" w:type="dxa"/>
            <w:vAlign w:val="bottom"/>
          </w:tcPr>
          <w:p>
            <w:pPr>
              <w:spacing w:after="0"/>
              <w:rPr>
                <w:sz w:val="24"/>
                <w:szCs w:val="24"/>
                <w:color w:val="auto"/>
              </w:rPr>
            </w:pPr>
          </w:p>
        </w:tc>
      </w:tr>
      <w:tr>
        <w:trPr>
          <w:trHeight w:val="234"/>
        </w:trPr>
        <w:tc>
          <w:tcPr>
            <w:tcW w:w="7780" w:type="dxa"/>
            <w:vAlign w:val="bottom"/>
            <w:gridSpan w:val="3"/>
          </w:tcPr>
          <w:p>
            <w:pPr>
              <w:jc w:val="center"/>
              <w:ind w:left="3366"/>
              <w:spacing w:after="0"/>
              <w:rPr>
                <w:sz w:val="20"/>
                <w:szCs w:val="20"/>
                <w:color w:val="auto"/>
              </w:rPr>
            </w:pPr>
            <w:r>
              <w:rPr>
                <w:rFonts w:ascii="Times New Roman" w:cs="Times New Roman" w:eastAsia="Times New Roman" w:hAnsi="Times New Roman"/>
                <w:sz w:val="18"/>
                <w:szCs w:val="18"/>
                <w:color w:val="auto"/>
              </w:rPr>
              <w:t>(Issuer with respect to the Securities)</w:t>
            </w:r>
          </w:p>
        </w:tc>
        <w:tc>
          <w:tcPr>
            <w:tcW w:w="3460" w:type="dxa"/>
            <w:vAlign w:val="bottom"/>
          </w:tcPr>
          <w:p>
            <w:pPr>
              <w:spacing w:after="0"/>
              <w:rPr>
                <w:sz w:val="20"/>
                <w:szCs w:val="20"/>
                <w:color w:val="auto"/>
              </w:rPr>
            </w:pPr>
          </w:p>
        </w:tc>
      </w:tr>
      <w:tr>
        <w:trPr>
          <w:trHeight w:val="453"/>
        </w:trPr>
        <w:tc>
          <w:tcPr>
            <w:tcW w:w="778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color w:val="auto"/>
                <w:w w:val="98"/>
              </w:rPr>
              <w:t>Delaware</w:t>
            </w:r>
          </w:p>
        </w:tc>
        <w:tc>
          <w:tcPr>
            <w:tcW w:w="34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8"/>
              </w:rPr>
              <w:t>45-0567010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jc w:val="center"/>
              <w:ind w:right="19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8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778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color w:val="auto"/>
                <w:w w:val="99"/>
              </w:rPr>
              <w:t>102 Woodmont Blvd., Suite 610</w:t>
            </w:r>
          </w:p>
        </w:tc>
        <w:tc>
          <w:tcPr>
            <w:tcW w:w="3460" w:type="dxa"/>
            <w:vAlign w:val="bottom"/>
          </w:tcPr>
          <w:p>
            <w:pPr>
              <w:spacing w:after="0"/>
              <w:rPr>
                <w:sz w:val="24"/>
                <w:szCs w:val="24"/>
                <w:color w:val="auto"/>
              </w:rPr>
            </w:pPr>
          </w:p>
        </w:tc>
      </w:tr>
      <w:tr>
        <w:trPr>
          <w:trHeight w:val="241"/>
        </w:trPr>
        <w:tc>
          <w:tcPr>
            <w:tcW w:w="778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color w:val="auto"/>
                <w:w w:val="99"/>
              </w:rPr>
              <w:t>Nashville, Tennessee</w:t>
            </w:r>
          </w:p>
        </w:tc>
        <w:tc>
          <w:tcPr>
            <w:tcW w:w="34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rPr>
              <w:t>37215</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tcPr>
          <w:p>
            <w:pPr>
              <w:jc w:val="center"/>
              <w:ind w:right="19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11.875% Senior Notes due 2027</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(Title of the Indenture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GENERAL INFORMATION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Furnish the following information as to the Trustee.</w:t>
      </w:r>
    </w:p>
    <w:p>
      <w:pPr>
        <w:spacing w:after="0" w:line="227" w:lineRule="exact"/>
        <w:rPr>
          <w:sz w:val="20"/>
          <w:szCs w:val="20"/>
          <w:color w:val="auto"/>
        </w:rPr>
      </w:pPr>
    </w:p>
    <w:p>
      <w:pPr>
        <w:ind w:left="1960" w:right="3760" w:hanging="980"/>
        <w:spacing w:after="0" w:line="262" w:lineRule="auto"/>
        <w:tabs>
          <w:tab w:leader="none" w:pos="14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of each examining or supervising authority to which it is subject. </w:t>
      </w:r>
      <w:r>
        <w:rPr>
          <w:rFonts w:ascii="Times New Roman" w:cs="Times New Roman" w:eastAsia="Times New Roman" w:hAnsi="Times New Roman"/>
          <w:sz w:val="18"/>
          <w:szCs w:val="18"/>
          <w:color w:val="auto"/>
        </w:rPr>
        <w:t>Comptroller of the Currency</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Washington, D.C.</w:t>
      </w:r>
    </w:p>
    <w:p>
      <w:pPr>
        <w:spacing w:after="0" w:line="204"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Whether it is authorized to exercise corporate trust powers.</w:t>
      </w:r>
    </w:p>
    <w:p>
      <w:pPr>
        <w:spacing w:after="0" w:line="200" w:lineRule="exact"/>
        <w:rPr>
          <w:sz w:val="20"/>
          <w:szCs w:val="20"/>
          <w:color w:val="auto"/>
        </w:rPr>
      </w:pPr>
    </w:p>
    <w:p>
      <w:pPr>
        <w:spacing w:after="0" w:line="239" w:lineRule="exact"/>
        <w:rPr>
          <w:sz w:val="20"/>
          <w:szCs w:val="20"/>
          <w:color w:val="auto"/>
        </w:rPr>
      </w:pPr>
    </w:p>
    <w:p>
      <w:pPr>
        <w:ind w:left="980" w:right="1780" w:hanging="1295"/>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 xml:space="preserve">Item </w:t>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b w:val="1"/>
          <w:bCs w:val="1"/>
          <w:color w:val="auto"/>
        </w:rPr>
        <w:t xml:space="preserve">AFFILIATIONS WITH THE OBLIGOR. </w:t>
      </w:r>
      <w:r>
        <w:rPr>
          <w:rFonts w:ascii="Times New Roman" w:cs="Times New Roman" w:eastAsia="Times New Roman" w:hAnsi="Times New Roman"/>
          <w:sz w:val="18"/>
          <w:szCs w:val="18"/>
          <w:i w:val="1"/>
          <w:iCs w:val="1"/>
          <w:color w:val="auto"/>
        </w:rPr>
        <w:t>If the obligor is an affiliate of the Trustee, describe each such affiliation.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5" w:lineRule="exact"/>
        <w:rPr>
          <w:sz w:val="20"/>
          <w:szCs w:val="20"/>
          <w:color w:val="auto"/>
        </w:rPr>
      </w:pPr>
    </w:p>
    <w:p>
      <w:pPr>
        <w:ind w:left="980" w:right="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color w:val="auto"/>
        </w:rPr>
        <w:t>Items 3-15 are not applicable because to the best of the Trustee’s knowledge, the obligor is not in default under any Indenture for which the Trustee acts as Trustee.</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 xml:space="preserve">LIST OF EXHIBITS: </w:t>
      </w:r>
      <w:r>
        <w:rPr>
          <w:rFonts w:ascii="Times New Roman" w:cs="Times New Roman" w:eastAsia="Times New Roman" w:hAnsi="Times New Roman"/>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Articles of Association of the Trustee, attached as </w:t>
      </w:r>
      <w:r>
        <w:rPr>
          <w:rFonts w:ascii="Times New Roman" w:cs="Times New Roman" w:eastAsia="Times New Roman" w:hAnsi="Times New Roman"/>
          <w:sz w:val="18"/>
          <w:szCs w:val="18"/>
          <w:u w:val="single" w:color="auto"/>
          <w:color w:val="0000EE"/>
        </w:rPr>
        <w:t>Exhibit 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certificate of authority of the Trustee to commence business and exercise corporate trust powers, attached as </w:t>
      </w:r>
      <w:r>
        <w:rPr>
          <w:rFonts w:ascii="Times New Roman" w:cs="Times New Roman" w:eastAsia="Times New Roman" w:hAnsi="Times New Roman"/>
          <w:sz w:val="18"/>
          <w:szCs w:val="18"/>
          <w:u w:val="single" w:color="auto"/>
          <w:color w:val="0000EE"/>
        </w:rPr>
        <w:t>Exhibit 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existing bylaws of the Trustee, attached as </w:t>
      </w:r>
      <w:r>
        <w:rPr>
          <w:rFonts w:ascii="Times New Roman" w:cs="Times New Roman" w:eastAsia="Times New Roman" w:hAnsi="Times New Roman"/>
          <w:sz w:val="18"/>
          <w:szCs w:val="18"/>
          <w:u w:val="single" w:color="auto"/>
          <w:color w:val="0000EE"/>
        </w:rPr>
        <w:t>Exhibit 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Trustee required by Section 321(b) of the Trust Indenture Act of 1939, attached as </w:t>
      </w:r>
      <w:r>
        <w:rPr>
          <w:rFonts w:ascii="Times New Roman" w:cs="Times New Roman" w:eastAsia="Times New Roman" w:hAnsi="Times New Roman"/>
          <w:sz w:val="18"/>
          <w:szCs w:val="18"/>
          <w:u w:val="single" w:color="auto"/>
          <w:color w:val="0000EE"/>
        </w:rPr>
        <w:t>Exhibit 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Report of Condition of the Trustee as of September 30, 2022, published pursuant to law or the requirements of its supervising or examining authority, attached as </w:t>
      </w:r>
      <w:r>
        <w:rPr>
          <w:rFonts w:ascii="Times New Roman" w:cs="Times New Roman" w:eastAsia="Times New Roman" w:hAnsi="Times New Roman"/>
          <w:sz w:val="18"/>
          <w:szCs w:val="18"/>
          <w:u w:val="single" w:color="auto"/>
          <w:color w:val="0000EE"/>
        </w:rPr>
        <w:t>Exhibit 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Nashville, State of Tennessee on the 16th of December, 2022.</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Wally Jones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5" w:lineRule="exact"/>
        <w:rPr>
          <w:sz w:val="20"/>
          <w:szCs w:val="20"/>
          <w:color w:val="auto"/>
        </w:rPr>
      </w:pPr>
    </w:p>
    <w:p>
      <w:pPr>
        <w:jc w:val="both"/>
        <w:ind w:firstLine="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1" w:lineRule="exact"/>
        <w:rPr>
          <w:sz w:val="20"/>
          <w:szCs w:val="20"/>
          <w:color w:val="auto"/>
        </w:rPr>
      </w:pPr>
    </w:p>
    <w:p>
      <w:pPr>
        <w:jc w:val="both"/>
        <w:ind w:firstLine="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86" w:lineRule="exact"/>
        <w:rPr>
          <w:sz w:val="20"/>
          <w:szCs w:val="20"/>
          <w:color w:val="auto"/>
        </w:rPr>
      </w:pPr>
    </w:p>
    <w:p>
      <w:pPr>
        <w:jc w:val="both"/>
        <w:ind w:firstLine="4"/>
        <w:spacing w:after="0" w:line="258"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3" w:lineRule="exact"/>
        <w:rPr>
          <w:sz w:val="20"/>
          <w:szCs w:val="20"/>
          <w:color w:val="auto"/>
        </w:rPr>
      </w:pPr>
    </w:p>
    <w:p>
      <w:pPr>
        <w:jc w:val="both"/>
        <w:ind w:firstLine="4"/>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ind w:firstLine="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6" w:lineRule="exact"/>
        <w:rPr>
          <w:sz w:val="20"/>
          <w:szCs w:val="20"/>
          <w:color w:val="auto"/>
        </w:rPr>
      </w:pPr>
    </w:p>
    <w:p>
      <w:pPr>
        <w:jc w:val="both"/>
        <w:ind w:firstLine="4"/>
        <w:spacing w:after="0" w:line="261"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0" w:lineRule="exact"/>
        <w:rPr>
          <w:sz w:val="20"/>
          <w:szCs w:val="20"/>
          <w:color w:val="auto"/>
        </w:rPr>
      </w:pPr>
    </w:p>
    <w:p>
      <w:pPr>
        <w:jc w:val="both"/>
        <w:ind w:right="20" w:firstLine="4"/>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jc w:val="both"/>
        <w:ind w:firstLine="4"/>
        <w:spacing w:after="0" w:line="261" w:lineRule="auto"/>
        <w:rPr>
          <w:sz w:val="20"/>
          <w:szCs w:val="20"/>
          <w:color w:val="auto"/>
        </w:rPr>
      </w:pPr>
      <w:r>
        <w:rPr>
          <w:rFonts w:ascii="Times New Roman" w:cs="Times New Roman" w:eastAsia="Times New Roman" w:hAnsi="Times New Roman"/>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76" w:lineRule="exact"/>
        <w:rPr>
          <w:sz w:val="20"/>
          <w:szCs w:val="20"/>
          <w:color w:val="auto"/>
        </w:rPr>
      </w:pPr>
    </w:p>
    <w:p>
      <w:pPr>
        <w:jc w:val="both"/>
        <w:ind w:firstLine="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jc w:val="both"/>
        <w:ind w:firstLine="4"/>
        <w:spacing w:after="0" w:line="261"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0" w:lineRule="exact"/>
        <w:rPr>
          <w:sz w:val="20"/>
          <w:szCs w:val="20"/>
          <w:color w:val="auto"/>
        </w:rPr>
      </w:pPr>
    </w:p>
    <w:p>
      <w:pPr>
        <w:jc w:val="both"/>
        <w:ind w:firstLine="4"/>
        <w:spacing w:after="0" w:line="282"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62" w:lineRule="exact"/>
        <w:rPr>
          <w:sz w:val="20"/>
          <w:szCs w:val="20"/>
          <w:color w:val="auto"/>
        </w:rPr>
      </w:pPr>
    </w:p>
    <w:p>
      <w:pPr>
        <w:jc w:val="both"/>
        <w:ind w:firstLine="4"/>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4"/>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all shares of voting stock shall be voted together as a class, on any matters requiring shareholder approval.</w:t>
      </w:r>
    </w:p>
    <w:p>
      <w:pPr>
        <w:spacing w:after="0" w:line="162" w:lineRule="exact"/>
        <w:rPr>
          <w:sz w:val="20"/>
          <w:szCs w:val="20"/>
          <w:color w:val="auto"/>
        </w:rPr>
      </w:pPr>
    </w:p>
    <w:p>
      <w:pPr>
        <w:jc w:val="both"/>
        <w:ind w:firstLine="4"/>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jc w:val="both"/>
        <w:ind w:firstLine="4"/>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6" w:lineRule="exact"/>
        <w:rPr>
          <w:sz w:val="20"/>
          <w:szCs w:val="20"/>
          <w:color w:val="auto"/>
        </w:rPr>
      </w:pPr>
    </w:p>
    <w:p>
      <w:pPr>
        <w:jc w:val="both"/>
        <w:ind w:firstLine="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administer the business and affairs of the Association.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1" w:lineRule="exact"/>
        <w:rPr>
          <w:sz w:val="20"/>
          <w:szCs w:val="20"/>
          <w:color w:val="auto"/>
        </w:rPr>
      </w:pPr>
    </w:p>
    <w:p>
      <w:pPr>
        <w:jc w:val="both"/>
        <w:ind w:firstLine="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jc w:val="both"/>
        <w:ind w:firstLine="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2" w:lineRule="exact"/>
        <w:rPr>
          <w:sz w:val="20"/>
          <w:szCs w:val="20"/>
          <w:color w:val="auto"/>
        </w:rPr>
      </w:pPr>
    </w:p>
    <w:p>
      <w:pPr>
        <w:jc w:val="both"/>
        <w:ind w:firstLine="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 xml:space="preserve">In witness whereof, we have hereunto set our hands this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17"/>
          <w:szCs w:val="17"/>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2745105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104775</wp:posOffset>
            </wp:positionV>
            <wp:extent cx="1877060" cy="2366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7060" cy="2366010"/>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6926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Every such special meeting, unless otherwise provided by law, shall be called upon not less than ten (10) days nor more than sixty (60) days prior notice stating the purpose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meetings of the Board shall be held, without notice, as the Chairman or President may designate and deem suitable.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Trust Audit Committee</w:t>
      </w:r>
      <w:r>
        <w:rPr>
          <w:rFonts w:ascii="Times New Roman" w:cs="Times New Roman" w:eastAsia="Times New Roman" w:hAnsi="Times New Roman"/>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Audit Committee of the financial holding company that is the ultimate parent of this Association, fulfilling the function of the trust audit committee:</w:t>
      </w:r>
    </w:p>
    <w:p>
      <w:pPr>
        <w:spacing w:after="0" w:line="225" w:lineRule="exact"/>
        <w:rPr>
          <w:sz w:val="20"/>
          <w:szCs w:val="20"/>
          <w:color w:val="auto"/>
        </w:rPr>
      </w:pPr>
    </w:p>
    <w:p>
      <w:pPr>
        <w:ind w:left="660" w:right="20" w:hanging="4"/>
        <w:spacing w:after="0" w:line="282" w:lineRule="auto"/>
        <w:tabs>
          <w:tab w:leader="none" w:pos="9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include any officers of the Association or an affiliate who participate significantly in the administration of the Association’s fiduciary activities;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Tenure of Office</w:t>
      </w:r>
      <w:r>
        <w:rPr>
          <w:rFonts w:ascii="Times New Roman" w:cs="Times New Roman" w:eastAsia="Times New Roman" w:hAnsi="Times New Roman"/>
          <w:sz w:val="18"/>
          <w:szCs w:val="18"/>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 Investments</w:t>
      </w:r>
      <w:r>
        <w:rPr>
          <w:rFonts w:ascii="Times New Roman" w:cs="Times New Roman" w:eastAsia="Times New Roman" w:hAnsi="Times New Roman"/>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5080"/>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2022</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Wally Jones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6</w:t>
            </w:r>
          </w:p>
        </w:tc>
        <w:tc>
          <w:tcPr>
            <w:tcW w:w="376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360" w:type="dxa"/>
            <w:vAlign w:val="bottom"/>
          </w:tcPr>
          <w:p>
            <w:pPr>
              <w:spacing w:after="0"/>
              <w:rPr>
                <w:sz w:val="24"/>
                <w:szCs w:val="24"/>
                <w:color w:val="auto"/>
              </w:rPr>
            </w:pPr>
          </w:p>
        </w:tc>
        <w:tc>
          <w:tcPr>
            <w:tcW w:w="6380" w:type="dxa"/>
            <w:vAlign w:val="bottom"/>
            <w:gridSpan w:val="4"/>
          </w:tcPr>
          <w:p>
            <w:pPr>
              <w:jc w:val="center"/>
              <w:ind w:right="1756"/>
              <w:spacing w:after="0"/>
              <w:rPr>
                <w:sz w:val="20"/>
                <w:szCs w:val="20"/>
                <w:color w:val="auto"/>
              </w:rPr>
            </w:pPr>
            <w:r>
              <w:rPr>
                <w:rFonts w:ascii="Times New Roman" w:cs="Times New Roman" w:eastAsia="Times New Roman" w:hAnsi="Times New Roman"/>
                <w:sz w:val="18"/>
                <w:szCs w:val="18"/>
                <w:b w:val="1"/>
                <w:bCs w:val="1"/>
                <w:color w:val="auto"/>
                <w:w w:val="99"/>
              </w:rPr>
              <w:t>U.S. Bank Trust Company, National Association</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6380" w:type="dxa"/>
            <w:vAlign w:val="bottom"/>
            <w:gridSpan w:val="4"/>
          </w:tcPr>
          <w:p>
            <w:pPr>
              <w:jc w:val="center"/>
              <w:ind w:right="1776"/>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6380" w:type="dxa"/>
            <w:vAlign w:val="bottom"/>
            <w:gridSpan w:val="4"/>
          </w:tcPr>
          <w:p>
            <w:pPr>
              <w:jc w:val="center"/>
              <w:ind w:right="1776"/>
              <w:spacing w:after="0"/>
              <w:rPr>
                <w:sz w:val="20"/>
                <w:szCs w:val="20"/>
                <w:color w:val="auto"/>
              </w:rPr>
            </w:pPr>
            <w:r>
              <w:rPr>
                <w:rFonts w:ascii="Times New Roman" w:cs="Times New Roman" w:eastAsia="Times New Roman" w:hAnsi="Times New Roman"/>
                <w:sz w:val="18"/>
                <w:szCs w:val="18"/>
                <w:b w:val="1"/>
                <w:bCs w:val="1"/>
                <w:color w:val="auto"/>
                <w:w w:val="99"/>
              </w:rPr>
              <w:t>as of 9/30/2022</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60" w:type="dxa"/>
            <w:vAlign w:val="bottom"/>
            <w:gridSpan w:val="3"/>
          </w:tcPr>
          <w:p>
            <w:pPr>
              <w:jc w:val="center"/>
              <w:ind w:right="3696"/>
              <w:spacing w:after="0"/>
              <w:rPr>
                <w:sz w:val="20"/>
                <w:szCs w:val="20"/>
                <w:color w:val="auto"/>
              </w:rPr>
            </w:pPr>
            <w:r>
              <w:rPr>
                <w:rFonts w:ascii="Times New Roman" w:cs="Times New Roman" w:eastAsia="Times New Roman" w:hAnsi="Times New Roman"/>
                <w:sz w:val="18"/>
                <w:szCs w:val="18"/>
                <w:b w:val="1"/>
                <w:bCs w:val="1"/>
                <w:color w:val="auto"/>
                <w:w w:val="98"/>
              </w:rPr>
              <w:t>($000’s)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9/30/2022</w:t>
            </w:r>
          </w:p>
        </w:tc>
        <w:tc>
          <w:tcPr>
            <w:tcW w:w="100" w:type="dxa"/>
            <w:vAlign w:val="bottom"/>
          </w:tcPr>
          <w:p>
            <w:pPr>
              <w:spacing w:after="0"/>
              <w:rPr>
                <w:sz w:val="24"/>
                <w:szCs w:val="24"/>
                <w:color w:val="auto"/>
              </w:rPr>
            </w:pPr>
          </w:p>
        </w:tc>
      </w:tr>
      <w:tr>
        <w:trPr>
          <w:trHeight w:val="34"/>
        </w:trPr>
        <w:tc>
          <w:tcPr>
            <w:tcW w:w="33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Balances Due From</w:t>
            </w:r>
          </w:p>
        </w:tc>
        <w:tc>
          <w:tcPr>
            <w:tcW w:w="638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668,095</w:t>
            </w: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Depository Institutions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4,281</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Funds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2,441</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581,868</w:t>
            </w:r>
          </w:p>
        </w:tc>
      </w:tr>
      <w:tr>
        <w:trPr>
          <w:trHeight w:val="249"/>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9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121,947</w:t>
            </w:r>
          </w:p>
        </w:tc>
      </w:tr>
      <w:tr>
        <w:trPr>
          <w:trHeight w:val="203"/>
        </w:trPr>
        <w:tc>
          <w:tcPr>
            <w:tcW w:w="336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9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4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1,378,632</w:t>
            </w:r>
          </w:p>
        </w:tc>
        <w:tc>
          <w:tcPr>
            <w:tcW w:w="100" w:type="dxa"/>
            <w:vAlign w:val="bottom"/>
            <w:tcBorders>
              <w:top w:val="single" w:sz="8" w:color="CCEEFF"/>
            </w:tcBorders>
          </w:tcPr>
          <w:p>
            <w:pPr>
              <w:spacing w:after="0"/>
              <w:rPr>
                <w:sz w:val="17"/>
                <w:szCs w:val="17"/>
                <w:color w:val="auto"/>
              </w:rPr>
            </w:pPr>
          </w:p>
        </w:tc>
      </w:tr>
      <w:tr>
        <w:trPr>
          <w:trHeight w:val="216"/>
        </w:trPr>
        <w:tc>
          <w:tcPr>
            <w:tcW w:w="3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6380" w:type="dxa"/>
            <w:vAlign w:val="bottom"/>
            <w:gridSpan w:val="4"/>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 Funds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Demand Notes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Liabilities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Borrowed Money</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Acceptances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94,169</w:t>
            </w:r>
          </w:p>
        </w:tc>
      </w:tr>
      <w:tr>
        <w:trPr>
          <w:trHeight w:val="216"/>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Surplus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1,171,635</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Undivided Profits</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112,628</w:t>
            </w:r>
          </w:p>
        </w:tc>
      </w:tr>
      <w:tr>
        <w:trPr>
          <w:trHeight w:val="249"/>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19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3"/>
        </w:trPr>
        <w:tc>
          <w:tcPr>
            <w:tcW w:w="33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 Capital</w:t>
            </w:r>
          </w:p>
        </w:tc>
        <w:tc>
          <w:tcPr>
            <w:tcW w:w="19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4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1,284,463</w:t>
            </w:r>
          </w:p>
        </w:tc>
        <w:tc>
          <w:tcPr>
            <w:tcW w:w="100" w:type="dxa"/>
            <w:vAlign w:val="bottom"/>
            <w:tcBorders>
              <w:top w:val="single" w:sz="8" w:color="CCEEFF"/>
            </w:tcBorders>
          </w:tcPr>
          <w:p>
            <w:pPr>
              <w:spacing w:after="0"/>
              <w:rPr>
                <w:sz w:val="17"/>
                <w:szCs w:val="17"/>
                <w:color w:val="auto"/>
              </w:rPr>
            </w:pPr>
          </w:p>
        </w:tc>
      </w:tr>
      <w:tr>
        <w:trPr>
          <w:trHeight w:val="216"/>
        </w:trPr>
        <w:tc>
          <w:tcPr>
            <w:tcW w:w="3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638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1,378,632</w:t>
            </w:r>
          </w:p>
        </w:tc>
      </w:tr>
      <w:tr>
        <w:trPr>
          <w:trHeight w:val="417"/>
        </w:trPr>
        <w:tc>
          <w:tcPr>
            <w:tcW w:w="3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2022-12-16T15:58:10Z</dcterms:created>
  <dcterms:modified xsi:type="dcterms:W3CDTF">2022-12-16T15:58:10Z</dcterms:modified>
</cp:coreProperties>
</file>