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19,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46"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6" w:right="339" w:bottom="1440" w:gutter="0" w:footer="0" w:header="0"/>
          <w:type w:val="continuous"/>
        </w:sectPr>
      </w:pPr>
    </w:p>
    <w:p>
      <w:pPr>
        <w:spacing w:after="0" w:line="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102 Woodmont Blvd., Suite 610</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37205</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6"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(615) 733-4730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1607820</wp:posOffset>
            </wp:positionH>
            <wp:positionV relativeFrom="paragraph">
              <wp:posOffset>17145</wp:posOffset>
            </wp:positionV>
            <wp:extent cx="392620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26205"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9"/>
        </w:trPr>
        <w:tc>
          <w:tcPr>
            <w:tcW w:w="45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Title of each class</w:t>
            </w:r>
          </w:p>
        </w:tc>
        <w:tc>
          <w:tcPr>
            <w:tcW w:w="22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Trading Symbol(s)</w:t>
            </w:r>
          </w:p>
        </w:tc>
        <w:tc>
          <w:tcPr>
            <w:tcW w:w="4480" w:type="dxa"/>
            <w:vAlign w:val="bottom"/>
          </w:tcPr>
          <w:p>
            <w:pPr>
              <w:jc w:val="center"/>
              <w:spacing w:after="0"/>
              <w:rPr>
                <w:sz w:val="20"/>
                <w:szCs w:val="20"/>
                <w:color w:val="auto"/>
              </w:rPr>
            </w:pPr>
            <w:r>
              <w:rPr>
                <w:rFonts w:ascii="Arial" w:cs="Arial" w:eastAsia="Arial" w:hAnsi="Arial"/>
                <w:sz w:val="18"/>
                <w:szCs w:val="18"/>
                <w:color w:val="auto"/>
                <w:w w:val="89"/>
              </w:rPr>
              <w:t>Name on exchange on which registered</w:t>
            </w:r>
          </w:p>
        </w:tc>
      </w:tr>
      <w:tr>
        <w:trPr>
          <w:trHeight w:val="202"/>
        </w:trPr>
        <w:tc>
          <w:tcPr>
            <w:tcW w:w="42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Common Stock, $0.001 par value per share</w:t>
            </w:r>
          </w:p>
        </w:tc>
        <w:tc>
          <w:tcPr>
            <w:tcW w:w="240" w:type="dxa"/>
            <w:vAlign w:val="bottom"/>
          </w:tcPr>
          <w:p>
            <w:pPr>
              <w:spacing w:after="0"/>
              <w:rPr>
                <w:sz w:val="17"/>
                <w:szCs w:val="17"/>
                <w:color w:val="auto"/>
              </w:rPr>
            </w:pPr>
          </w:p>
        </w:tc>
        <w:tc>
          <w:tcPr>
            <w:tcW w:w="20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HROW</w:t>
            </w:r>
          </w:p>
        </w:tc>
        <w:tc>
          <w:tcPr>
            <w:tcW w:w="220" w:type="dxa"/>
            <w:vAlign w:val="bottom"/>
          </w:tcPr>
          <w:p>
            <w:pPr>
              <w:spacing w:after="0"/>
              <w:rPr>
                <w:sz w:val="17"/>
                <w:szCs w:val="17"/>
                <w:color w:val="auto"/>
              </w:rPr>
            </w:pPr>
          </w:p>
        </w:tc>
        <w:tc>
          <w:tcPr>
            <w:tcW w:w="44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The NASDAQ Global Market</w:t>
            </w:r>
          </w:p>
        </w:tc>
      </w:tr>
      <w:tr>
        <w:trPr>
          <w:trHeight w:val="230"/>
        </w:trPr>
        <w:tc>
          <w:tcPr>
            <w:tcW w:w="45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8.625% Senior Notes due 2026</w:t>
            </w:r>
          </w:p>
        </w:tc>
        <w:tc>
          <w:tcPr>
            <w:tcW w:w="224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HROWL</w:t>
            </w:r>
          </w:p>
        </w:tc>
        <w:tc>
          <w:tcPr>
            <w:tcW w:w="4480" w:type="dxa"/>
            <w:vAlign w:val="bottom"/>
          </w:tcPr>
          <w:p>
            <w:pPr>
              <w:jc w:val="center"/>
              <w:spacing w:after="0"/>
              <w:rPr>
                <w:sz w:val="20"/>
                <w:szCs w:val="20"/>
                <w:color w:val="auto"/>
              </w:rPr>
            </w:pPr>
            <w:r>
              <w:rPr>
                <w:rFonts w:ascii="Arial" w:cs="Arial" w:eastAsia="Arial" w:hAnsi="Arial"/>
                <w:sz w:val="18"/>
                <w:szCs w:val="18"/>
                <w:color w:val="auto"/>
                <w:w w:val="94"/>
              </w:rPr>
              <w:t>The NASDAQ Global Market</w:t>
            </w:r>
          </w:p>
        </w:tc>
      </w:tr>
    </w:tbl>
    <w:p>
      <w:pPr>
        <w:spacing w:after="0" w:line="20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Effective August 19, 2021, the Board of Directors (the “Board”) of Harrow Health, Inc. (the “Company”) appointed Mark L. Baum, the Company’s Chief Executive Officer and a member of the Board, to serve as Chairman of the Board, replacing Dr. Robert J. Kammer in that role. Dr. Kammer will remain a member of the Board.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Dated: August 23, 2021</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2021-08-23T15:34:49Z</dcterms:created>
  <dcterms:modified xsi:type="dcterms:W3CDTF">2021-08-23T15:34:49Z</dcterms:modified>
</cp:coreProperties>
</file>