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BOLL ANDREW R.</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02/19/2021</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02/19/2021</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45,000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02/19/2024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45,000</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45,000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-2783205</wp:posOffset>
            </wp:positionV>
            <wp:extent cx="7033895" cy="279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792095"/>
                    </a:xfrm>
                    <a:prstGeom prst="rect">
                      <a:avLst/>
                    </a:prstGeom>
                    <a:noFill/>
                  </pic:spPr>
                </pic:pic>
              </a:graphicData>
            </a:graphic>
          </wp:anchor>
        </w:drawing>
      </w:r>
    </w:p>
    <w:p>
      <w:pPr>
        <w:spacing w:after="0" w:line="1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Issuer's 2017 Stock Incentive and Awards Plan. Each RSU represents a contingent right to receive one share of common stock of the Issuer upon the vesting and settlement of the RSU. The RSUs vest and settle in full on the third anniversary of the date of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Andrew R. Boll</w:t>
            </w:r>
          </w:p>
        </w:tc>
        <w:tc>
          <w:tcPr>
            <w:tcW w:w="9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02/23/2021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2150"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2021-02-23T19:17:47Z</dcterms:created>
  <dcterms:modified xsi:type="dcterms:W3CDTF">2021-02-23T19:17:47Z</dcterms:modified>
</cp:coreProperties>
</file>