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10, 2014</w:t>
      </w:r>
    </w:p>
    <w:p>
      <w:pPr>
        <w:spacing w:after="0" w:line="27" w:lineRule="exact"/>
        <w:rPr>
          <w:sz w:val="24"/>
          <w:szCs w:val="24"/>
          <w:color w:val="auto"/>
        </w:rPr>
      </w:pPr>
    </w:p>
    <w:p>
      <w:pPr>
        <w:ind w:left="89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45-0567010</w:t>
            </w:r>
          </w:p>
        </w:tc>
      </w:tr>
      <w:tr>
        <w:trPr>
          <w:trHeight w:val="216"/>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(State or other jurisdiction of</w:t>
            </w:r>
          </w:p>
        </w:tc>
        <w:tc>
          <w:tcPr>
            <w:tcW w:w="3720" w:type="dxa"/>
            <w:vAlign w:val="bottom"/>
          </w:tcPr>
          <w:p>
            <w:pPr>
              <w:jc w:val="center"/>
              <w:ind w:left="18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incorporation or organization)</w:t>
            </w:r>
          </w:p>
        </w:tc>
        <w:tc>
          <w:tcPr>
            <w:tcW w:w="3720" w:type="dxa"/>
            <w:vAlign w:val="bottom"/>
          </w:tcPr>
          <w:p>
            <w:pPr>
              <w:jc w:val="center"/>
              <w:ind w:left="185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G. Rowles,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12531 High Bluff Drive,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720-5100</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box. [ ]</w:t>
      </w:r>
    </w:p>
    <w:p>
      <w:pPr>
        <w:spacing w:after="0" w:line="21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 ]</w:t>
            </w:r>
          </w:p>
        </w:tc>
      </w:tr>
      <w:tr>
        <w:trPr>
          <w:trHeight w:val="432"/>
        </w:trPr>
        <w:tc>
          <w:tcPr>
            <w:tcW w:w="20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120" w:type="dxa"/>
            <w:vAlign w:val="bottom"/>
            <w:gridSpan w:val="3"/>
          </w:tcPr>
          <w:p>
            <w:pPr>
              <w:ind w:left="40"/>
              <w:spacing w:after="0"/>
              <w:rPr>
                <w:sz w:val="20"/>
                <w:szCs w:val="20"/>
                <w:color w:val="auto"/>
              </w:rPr>
            </w:pPr>
            <w:r>
              <w:rPr>
                <w:rFonts w:ascii="Arial" w:cs="Arial" w:eastAsia="Arial" w:hAnsi="Arial"/>
                <w:sz w:val="18"/>
                <w:szCs w:val="18"/>
                <w:color w:val="auto"/>
              </w:rPr>
              <w:t>] (Do not check if smaller reporting company)</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2"/>
          </w:tcPr>
          <w:p>
            <w:pPr>
              <w:ind w:left="300"/>
              <w:spacing w:after="0"/>
              <w:rPr>
                <w:sz w:val="20"/>
                <w:szCs w:val="20"/>
                <w:color w:val="auto"/>
              </w:rPr>
            </w:pPr>
            <w:r>
              <w:rPr>
                <w:rFonts w:ascii="Arial" w:cs="Arial" w:eastAsia="Arial" w:hAnsi="Arial"/>
                <w:sz w:val="18"/>
                <w:szCs w:val="18"/>
                <w:color w:val="auto"/>
              </w:rPr>
              <w:t>Smaller reporting company</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[X]</w:t>
            </w: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60" w:type="dxa"/>
            <w:vAlign w:val="bottom"/>
            <w:tcBorders>
              <w:bottom w:val="single" w:sz="8" w:color="auto"/>
            </w:tcBorders>
            <w:gridSpan w:val="2"/>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93"/>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CALCULATION OF REGISTRATION FEE</w:t>
            </w:r>
          </w:p>
        </w:tc>
        <w:tc>
          <w:tcPr>
            <w:tcW w:w="1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780" w:type="dxa"/>
            <w:vAlign w:val="bottom"/>
            <w:gridSpan w:val="3"/>
          </w:tcPr>
          <w:p>
            <w:pPr>
              <w:spacing w:after="0"/>
              <w:rPr>
                <w:sz w:val="20"/>
                <w:szCs w:val="20"/>
                <w:color w:val="auto"/>
              </w:rPr>
            </w:pPr>
            <w:r>
              <w:rPr>
                <w:rFonts w:ascii="Arial" w:cs="Arial" w:eastAsia="Arial" w:hAnsi="Arial"/>
                <w:sz w:val="18"/>
                <w:szCs w:val="18"/>
                <w:b w:val="1"/>
                <w:bCs w:val="1"/>
                <w:color w:val="auto"/>
                <w:w w:val="89"/>
              </w:rPr>
              <w:t>Title of Each Class of Securities to be Registered</w:t>
            </w:r>
          </w:p>
        </w:tc>
        <w:tc>
          <w:tcPr>
            <w:tcW w:w="480" w:type="dxa"/>
            <w:vAlign w:val="bottom"/>
          </w:tcPr>
          <w:p>
            <w:pPr>
              <w:spacing w:after="0"/>
              <w:rPr>
                <w:sz w:val="20"/>
                <w:szCs w:val="20"/>
                <w:color w:val="auto"/>
              </w:rPr>
            </w:pPr>
          </w:p>
        </w:tc>
        <w:tc>
          <w:tcPr>
            <w:tcW w:w="2340" w:type="dxa"/>
            <w:vAlign w:val="bottom"/>
          </w:tcPr>
          <w:p>
            <w:pPr>
              <w:ind w:left="820"/>
              <w:spacing w:after="0"/>
              <w:rPr>
                <w:sz w:val="20"/>
                <w:szCs w:val="20"/>
                <w:color w:val="auto"/>
              </w:rPr>
            </w:pPr>
            <w:r>
              <w:rPr>
                <w:rFonts w:ascii="Arial" w:cs="Arial" w:eastAsia="Arial" w:hAnsi="Arial"/>
                <w:sz w:val="18"/>
                <w:szCs w:val="18"/>
                <w:b w:val="1"/>
                <w:bCs w:val="1"/>
                <w:color w:val="auto"/>
              </w:rPr>
              <w:t>Amount To Be</w:t>
            </w: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Proposed</w:t>
            </w:r>
          </w:p>
        </w:tc>
        <w:tc>
          <w:tcPr>
            <w:tcW w:w="1820" w:type="dxa"/>
            <w:vAlign w:val="bottom"/>
          </w:tcPr>
          <w:p>
            <w:pPr>
              <w:ind w:left="600"/>
              <w:spacing w:after="0"/>
              <w:rPr>
                <w:sz w:val="20"/>
                <w:szCs w:val="20"/>
                <w:color w:val="auto"/>
              </w:rPr>
            </w:pPr>
            <w:r>
              <w:rPr>
                <w:rFonts w:ascii="Arial" w:cs="Arial" w:eastAsia="Arial" w:hAnsi="Arial"/>
                <w:sz w:val="18"/>
                <w:szCs w:val="18"/>
                <w:b w:val="1"/>
                <w:bCs w:val="1"/>
                <w:color w:val="auto"/>
              </w:rPr>
              <w:t>Proposed</w:t>
            </w:r>
          </w:p>
        </w:tc>
        <w:tc>
          <w:tcPr>
            <w:tcW w:w="1220" w:type="dxa"/>
            <w:vAlign w:val="bottom"/>
          </w:tcPr>
          <w:p>
            <w:pPr>
              <w:ind w:left="300"/>
              <w:spacing w:after="0"/>
              <w:rPr>
                <w:sz w:val="20"/>
                <w:szCs w:val="20"/>
                <w:color w:val="auto"/>
              </w:rPr>
            </w:pPr>
            <w:r>
              <w:rPr>
                <w:rFonts w:ascii="Arial" w:cs="Arial" w:eastAsia="Arial" w:hAnsi="Arial"/>
                <w:sz w:val="18"/>
                <w:szCs w:val="18"/>
                <w:b w:val="1"/>
                <w:bCs w:val="1"/>
                <w:color w:val="auto"/>
                <w:w w:val="99"/>
              </w:rPr>
              <w:t>Amount of</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ectPr>
          <w:pgSz w:w="11900" w:h="16875" w:orient="portrait"/>
          <w:cols w:equalWidth="0" w:num="1">
            <w:col w:w="11420"/>
          </w:cols>
          <w:pgMar w:left="240" w:top="472"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0"/>
              </w:rPr>
              <w:t>Registered(1)(2)</w:t>
            </w:r>
          </w:p>
        </w:tc>
        <w:tc>
          <w:tcPr>
            <w:tcW w:w="13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Registration</w:t>
            </w: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c>
          <w:tcPr>
            <w:tcW w:w="13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Fee</w:t>
            </w: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3"/>
              </w:rPr>
              <w:t>Price per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47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Price(1)(2)</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43"/>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$0.001 par value per share (3)</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Preferred Stock, $0.001 par value per share (3)</w:t>
            </w:r>
          </w:p>
        </w:tc>
        <w:tc>
          <w:tcPr>
            <w:tcW w:w="120" w:type="dxa"/>
            <w:vAlign w:val="bottom"/>
          </w:tcPr>
          <w:p>
            <w:pPr>
              <w:spacing w:after="0"/>
              <w:rPr>
                <w:sz w:val="21"/>
                <w:szCs w:val="21"/>
                <w:color w:val="auto"/>
              </w:rPr>
            </w:pPr>
          </w:p>
        </w:tc>
        <w:tc>
          <w:tcPr>
            <w:tcW w:w="18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Depositary Shares</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Warrants (4)</w:t>
            </w:r>
          </w:p>
        </w:tc>
        <w:tc>
          <w:tcPr>
            <w:tcW w:w="120" w:type="dxa"/>
            <w:vAlign w:val="bottom"/>
          </w:tcPr>
          <w:p>
            <w:pPr>
              <w:spacing w:after="0"/>
              <w:rPr>
                <w:sz w:val="21"/>
                <w:szCs w:val="21"/>
                <w:color w:val="auto"/>
              </w:rPr>
            </w:pPr>
          </w:p>
        </w:tc>
        <w:tc>
          <w:tcPr>
            <w:tcW w:w="18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7"/>
        </w:trPr>
        <w:tc>
          <w:tcPr>
            <w:tcW w:w="49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4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90"/>
              </w:rPr>
              <w:t>(5)</w:t>
            </w:r>
          </w:p>
        </w:tc>
        <w:tc>
          <w:tcPr>
            <w:tcW w:w="10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0"/>
              </w:rPr>
              <w:t>(6)</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0"/>
              </w:rPr>
              <w:t>(7)</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652"/>
        <w:spacing w:after="0" w:line="27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are being registered hereunder such indeterminate number of shares of common stock and preferred stock, such indeterminate number of depositary shares, such indeterminate number of warrants to purchase common stock, preferred stock and/or debt securities, and such indeterminate principal amount of debt securities as may be sold by the registrant from time to time, which together shall have an aggregate initial offering price not to exceed $75,000,000; or (i) if any debt securities are issued at an original issue discount, such greater principal amount at maturity as shall result in an aggregate initial offering price equal to the amount to be registered or (ii) if any securities are issued in an amount denominated in a foreign currency, foreign currency units or composite currency, then such amount as shall result in an aggregate initial offering price equivalent thereto in United States dollars at the time of initial offering.</w:t>
      </w:r>
    </w:p>
    <w:p>
      <w:pPr>
        <w:spacing w:after="0" w:line="177"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estimated the amount to be registered and the proposed maximum offering price solely for the purpose of calculating the registration fee pursuant to Rule 457(o). The amount and price are exclusive of accrued interest, if any, on the debt securities. The amount to be registered and proposed maximum aggregate offering price are not specified as to each class of security pursuant to General Instruction II.D. of Form S-3 under the Securities Act.</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any securities that may be registered hereunder, we are also registering an indeterminate number of shares of common stock or preferred stock as may be issued upon conversion, exercise or exchange of the securities issued directly hereunder.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warrants to purchase common stock, warrants to purchase preferred stock and warrants to purchase debt securities.</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registered hereunder may be sold separately, or as units with other securities registered hereby. The proposed maximum offering price per unit will be determined by us in connection with the issuance of the securities. In no event will the aggregate offering price of all securities issued from time to time pursuant to this Registration Statement exceed $75,000,000 or the equivalent thereof in one or more foreign currencies, foreign currency units or composite currencies.</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determine the proposed maximum offering price per unit in connection with the issuance of the securities and it is not specified as to each class of security pursuant to General Instruction II.D. of Form S-3 under the Securities Act.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$75,000,000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September 9, 2014, the closing price of our common stock on the NASDAQCM was $7.72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117475</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prospectus is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PROSPECTUS SUMMARY</w:t>
              </w:r>
            </w:hyperlink>
          </w:p>
        </w:tc>
        <w:tc>
          <w:tcPr>
            <w:tcW w:w="8520" w:type="dxa"/>
            <w:vAlign w:val="bottom"/>
            <w:tcBorders>
              <w:bottom w:val="single" w:sz="8" w:color="CCEEFF"/>
            </w:tcBorders>
            <w:gridSpan w:val="7"/>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FORWARD-LOOKING STATEMENTS</w:t>
              </w:r>
            </w:hyperlink>
          </w:p>
        </w:tc>
        <w:tc>
          <w:tcPr>
            <w:tcW w:w="768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DESCRIPTION OF CAPITAL STOCK</w:t>
              </w:r>
            </w:hyperlink>
          </w:p>
        </w:tc>
        <w:tc>
          <w:tcPr>
            <w:tcW w:w="7740" w:type="dxa"/>
            <w:vAlign w:val="bottom"/>
            <w:tcBorders>
              <w:bottom w:val="single" w:sz="8" w:color="CCEEFF"/>
            </w:tcBorders>
            <w:gridSpan w:val="6"/>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THE DEPOSITARY SHARES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THE WARRANTS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DEBT SECURITIES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PLAN OF DISTRIBUTION</w:t>
              </w:r>
            </w:hyperlink>
          </w:p>
        </w:tc>
        <w:tc>
          <w:tcPr>
            <w:tcW w:w="8560" w:type="dxa"/>
            <w:vAlign w:val="bottom"/>
            <w:tcBorders>
              <w:bottom w:val="single" w:sz="8" w:color="CCEEFF"/>
            </w:tcBorders>
            <w:gridSpan w:val="8"/>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9840" w:type="dxa"/>
            <w:vAlign w:val="bottom"/>
            <w:tcBorders>
              <w:bottom w:val="single" w:sz="8" w:color="CCEEFF"/>
            </w:tcBorders>
            <w:gridSpan w:val="1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0" w:type="dxa"/>
            <w:vAlign w:val="bottom"/>
            <w:gridSpan w:val="14"/>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INCORPORATION OF CERTAIN DOCUMENTS BY REFERENCE</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development of our formulations.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(the “merger agreement”) by and among Transdel Pharmaceuticals, Inc., Transdel Pharmaceuticals Holdings, Inc., a privately held Nevada corporation (“Transdel Holdings”), and Trans-Pharma Acquisition Corp., a newly formed, wholly-owned Delaware subsidiary of Transdel Pharmaceuticals, Inc. (“Acquisition Sub”). Upon closing of the merger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to Imprimis Pharmaceuticals, Inc. and effected a one-for-eight reverse split of our issued and outstanding common stock, and on February 7, 2013 we effected a one-for-five reverse split of our issued and outstanding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 92130 and our telephone number at such office is (858) 704-4040. Our website address is www.imprimispharma.com. Information contained on our website is not deemed part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Moreover, we do not anticipate paying periodic cash dividends on our common stock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provides for one class of common stock and authorizes the issuance of undesignated preferred stock, the rights, preferences and privileges of which may be designated from time to time by our Board of Directors. Our Board has designated 10 shares of preferred stock as Series A Convertible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effected a one-for-eight reverse split of our issued and outstanding common stock, and on February 7, 2013 we amended our Certificate of Incorporation to effect a reverse split of our issued and outstanding common stock at a ratio of one-for-five.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stated below, all information regarding share amounts of common stock and prices per share of common stock described below reflects the reverse stock splits.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February 28, 2012, we amended our Amended and Restated Certificate of Incorporation to, among other things, (i) increase the number of authorized shares of our capital stock to 400,000,000 and the number of authorized shares of common stock to 395,000,000 and (ii) effect a one for eight reverse stock split of our issued and outstanding common stock. Our authorized capital stock now consists of 400,000,000 shares, 395,000,000 of which are designated as common stock, par value $0.001 per share, and 5,000,000 of which are designated as preferred stock, par value $0.001 per share. At the Annual Meeting of Stockholders of the Company to be held on September 4, 2014, the stockholders are scheduled to vote on an amendment to the Company’s Amended and Restated Certificate of Incorporation to decrease the number of authorized common shares of common stock from 395,000,000 to 90,000,000.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4, 2014, we had outstanding 9,173,304 shares of common stock held by 142 stockholders of record. In addition, as of June 30, 2014, there are outstanding (i) options to acquire 1,314,467 shares of our common stock with a weighted average exercise price of $5.66 per share, all of which are held by current or former employees, directors and consultants, (ii) warrants to purchase 814,722 shares of common stock with a weighted average exercise price of $5.94 per share, and (iii) 1,289,960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authorized to issue 395,000,000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 There are no outstanding shares of our common stock that we have agreed to register under the Securities Act for sale by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4, 2014, 10 shares of preferred stock have been designed as Series A Convertible Preferred Stock, none of which are issued and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our option, we may elect to offer fractional shares of preferred stock, rather than full shares of preferred stock. If we do elect to offer fractional shares of preferred stock, we will issue receipts for depositary shares and each of these depositary shares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21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9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9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21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9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9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16" w:lineRule="auto"/>
        <w:tabs>
          <w:tab w:leader="none" w:pos="98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5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applicable, the method for determining how the principal, premium, if any, or interest will be calculated by reference to an index or formula;</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52"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25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19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20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5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20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9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9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holder has previously given to the trustee written notice of a continuing event of default with respect to the debt securities of that series;</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9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9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52" w:lineRule="exact"/>
        <w:rPr>
          <w:sz w:val="20"/>
          <w:szCs w:val="20"/>
          <w:color w:val="auto"/>
        </w:rPr>
      </w:pPr>
    </w:p>
    <w:p>
      <w:pPr>
        <w:jc w:val="both"/>
        <w:ind w:left="980" w:hanging="324"/>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38" w:lineRule="exact"/>
        <w:rPr>
          <w:sz w:val="20"/>
          <w:szCs w:val="20"/>
          <w:color w:val="auto"/>
        </w:rPr>
      </w:pPr>
    </w:p>
    <w:p>
      <w:pPr>
        <w:jc w:val="both"/>
        <w:ind w:left="980" w:hanging="324"/>
        <w:spacing w:after="0" w:line="27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52" w:lineRule="exact"/>
        <w:rPr>
          <w:sz w:val="20"/>
          <w:szCs w:val="20"/>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5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9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93" w:lineRule="exact"/>
        <w:rPr>
          <w:sz w:val="20"/>
          <w:szCs w:val="20"/>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21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securities being offered hereby has been passed upon by Morrison &amp; Foerster, LLP, San Diego, California.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of Imprimis Pharmaceuticals, Inc. appearing in the Company’s Annual Report on Form 10-K for the fiscal year ended December 31, 2013, filed with the SEC on March 28, 2014, as amended by the amendment filed with the SEC on April 30, 2014,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81" w:lineRule="exact"/>
        <w:rPr>
          <w:sz w:val="20"/>
          <w:szCs w:val="20"/>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filed with the SEC on March 28, 2014 as amended by the amendment filed with the SEC on April 30, 2014;</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2014 and June 30, 2014, filed with the SEC on May 15, 2014 and August 13, 2014, respectively;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 on Form 8-K/A filed with the SEC on June 13, 2014.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estimated (other than the registration fee) expenses payable by the Company in connection with a distribution of securities registered hereby are as follows: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Printing expenses</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2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20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amended and restated certificate of incorporation and bylaws provide that we shall indemnify our directors and executive officers and may indemnify our employees and other agents to the fullest extent permitted by the General Corporation Law of the State of Delaware.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41"/>
        </w:trPr>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Indenture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Indenture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Debt Security (included in Exhibit 4.1)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Debt Security (included in Exhibit 4.2)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Depositary Receipt (included in Exhibit 4.8)*</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Morrison &amp; Foerster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KMJ Corbin and Company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Morrison &amp; Foerster LLP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(see page II-6)</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right="2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300" w:right="20" w:hanging="1292"/>
        <w:spacing w:after="0" w:line="264"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(1)That,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52" w:lineRule="exact"/>
        <w:rPr>
          <w:rFonts w:ascii="Arial" w:cs="Arial" w:eastAsia="Arial" w:hAnsi="Arial"/>
          <w:sz w:val="18"/>
          <w:szCs w:val="18"/>
          <w:color w:val="auto"/>
        </w:rPr>
      </w:pPr>
    </w:p>
    <w:p>
      <w:pPr>
        <w:ind w:left="2600" w:hanging="647"/>
        <w:spacing w:after="0" w:line="308" w:lineRule="auto"/>
        <w:tabs>
          <w:tab w:leader="none" w:pos="2600" w:val="left"/>
        </w:tabs>
        <w:numPr>
          <w:ilvl w:val="3"/>
          <w:numId w:val="32"/>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7"/>
          <w:szCs w:val="17"/>
          <w:color w:val="auto"/>
        </w:rPr>
      </w:pPr>
    </w:p>
    <w:p>
      <w:pPr>
        <w:jc w:val="both"/>
        <w:ind w:left="2600" w:hanging="647"/>
        <w:spacing w:after="0" w:line="286" w:lineRule="auto"/>
        <w:tabs>
          <w:tab w:leader="none" w:pos="2600" w:val="left"/>
        </w:tabs>
        <w:numPr>
          <w:ilvl w:val="3"/>
          <w:numId w:val="3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201" w:lineRule="exact"/>
        <w:rPr>
          <w:rFonts w:ascii="Arial" w:cs="Arial" w:eastAsia="Arial" w:hAnsi="Arial"/>
          <w:sz w:val="16"/>
          <w:szCs w:val="16"/>
          <w:color w:val="auto"/>
        </w:rPr>
      </w:pPr>
    </w:p>
    <w:p>
      <w:pPr>
        <w:jc w:val="both"/>
        <w:ind w:left="1960" w:hanging="655"/>
        <w:spacing w:after="0" w:line="271" w:lineRule="auto"/>
        <w:tabs>
          <w:tab w:leader="none" w:pos="1960" w:val="left"/>
        </w:tabs>
        <w:numPr>
          <w:ilvl w:val="2"/>
          <w:numId w:val="32"/>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5" w:lineRule="exact"/>
        <w:rPr>
          <w:rFonts w:ascii="Arial" w:cs="Arial" w:eastAsia="Arial" w:hAnsi="Arial"/>
          <w:sz w:val="17"/>
          <w:szCs w:val="17"/>
          <w:color w:val="auto"/>
        </w:rPr>
      </w:pPr>
    </w:p>
    <w:p>
      <w:pPr>
        <w:jc w:val="both"/>
        <w:ind w:left="1300" w:hanging="644"/>
        <w:spacing w:after="0" w:line="276"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1960" w:hanging="655"/>
        <w:spacing w:after="0" w:line="277" w:lineRule="auto"/>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(a) of Section 310 of the Trust Indenture Act in accordance with the rules and regulations prescribed by the SEC under Section 305(b)(2) of the Trust Indenture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San Diego, State of California, on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2014.</w:t>
      </w:r>
    </w:p>
    <w:p>
      <w:pPr>
        <w:spacing w:after="0" w:line="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Power of Attorney</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sign the Registration Statement filed herewith and any or all amendments to said Registration Statement (including post-effective amendments and registration statements filed pursuant to Rule 462(b) under the Securities Act of 1933, as amended,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or her substitute, may lawfully do or cause to be done by virtue thereof.</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2"/>
                <w:szCs w:val="22"/>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2"/>
                <w:szCs w:val="22"/>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06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060" w:type="dxa"/>
            <w:vAlign w:val="bottom"/>
          </w:tcPr>
          <w:p>
            <w:pPr>
              <w:spacing w:after="0"/>
              <w:rPr>
                <w:sz w:val="20"/>
                <w:szCs w:val="20"/>
                <w:color w:val="auto"/>
              </w:rPr>
            </w:pPr>
          </w:p>
        </w:tc>
      </w:tr>
      <w:tr>
        <w:trPr>
          <w:trHeight w:val="43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of Accounting and Public Reporting</w:t>
            </w:r>
          </w:p>
        </w:tc>
        <w:tc>
          <w:tcPr>
            <w:tcW w:w="206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&amp; Financial Officer</w:t>
            </w:r>
            <w:r>
              <w:rPr>
                <w:rFonts w:ascii="Arial" w:cs="Arial" w:eastAsia="Arial" w:hAnsi="Arial"/>
                <w:sz w:val="18"/>
                <w:szCs w:val="18"/>
                <w:color w:val="auto"/>
              </w:rPr>
              <w:t>)</w:t>
            </w:r>
          </w:p>
        </w:tc>
        <w:tc>
          <w:tcPr>
            <w:tcW w:w="2060" w:type="dxa"/>
            <w:vAlign w:val="bottom"/>
          </w:tcPr>
          <w:p>
            <w:pPr>
              <w:spacing w:after="0"/>
              <w:rPr>
                <w:sz w:val="20"/>
                <w:szCs w:val="20"/>
                <w:color w:val="auto"/>
              </w:rPr>
            </w:pPr>
          </w:p>
        </w:tc>
      </w:tr>
      <w:tr>
        <w:trPr>
          <w:trHeight w:val="43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 S. Bassani</w:t>
            </w:r>
          </w:p>
        </w:tc>
        <w:tc>
          <w:tcPr>
            <w:tcW w:w="24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August S. Bassani</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4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Chairman of the Board of Directors and Director</w:t>
            </w:r>
          </w:p>
        </w:tc>
        <w:tc>
          <w:tcPr>
            <w:tcW w:w="2060" w:type="dxa"/>
            <w:vAlign w:val="bottom"/>
          </w:tcPr>
          <w:p>
            <w:pPr>
              <w:ind w:left="60"/>
              <w:spacing w:after="0"/>
              <w:rPr>
                <w:sz w:val="20"/>
                <w:szCs w:val="20"/>
                <w:color w:val="auto"/>
              </w:rPr>
            </w:pPr>
            <w:r>
              <w:rPr>
                <w:rFonts w:ascii="Arial" w:cs="Arial" w:eastAsia="Arial" w:hAnsi="Arial"/>
                <w:sz w:val="18"/>
                <w:szCs w:val="18"/>
                <w:color w:val="auto"/>
              </w:rPr>
              <w:t>September 10, 2014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H. Nelson</w:t>
            </w:r>
          </w:p>
        </w:tc>
        <w:tc>
          <w:tcPr>
            <w:tcW w:w="240" w:type="dxa"/>
            <w:vAlign w:val="bottom"/>
          </w:tcPr>
          <w:p>
            <w:pPr>
              <w:spacing w:after="0"/>
              <w:rPr>
                <w:sz w:val="24"/>
                <w:szCs w:val="24"/>
                <w:color w:val="auto"/>
              </w:rPr>
            </w:pP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60"/>
              <w:spacing w:after="0"/>
              <w:rPr>
                <w:sz w:val="20"/>
                <w:szCs w:val="20"/>
                <w:color w:val="auto"/>
              </w:rPr>
            </w:pPr>
            <w:r>
              <w:rPr>
                <w:rFonts w:ascii="Arial" w:cs="Arial" w:eastAsia="Arial" w:hAnsi="Arial"/>
                <w:sz w:val="18"/>
                <w:szCs w:val="18"/>
                <w:color w:val="auto"/>
              </w:rPr>
              <w:t>September 10, 2014</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William H. Nelson</w:t>
            </w:r>
          </w:p>
        </w:tc>
        <w:tc>
          <w:tcPr>
            <w:tcW w:w="2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52"/>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10260" w:type="dxa"/>
            <w:vAlign w:val="bottom"/>
          </w:tcPr>
          <w:p>
            <w:pPr>
              <w:spacing w:after="0"/>
              <w:rPr>
                <w:sz w:val="20"/>
                <w:szCs w:val="20"/>
                <w:color w:val="auto"/>
              </w:rPr>
            </w:pPr>
          </w:p>
        </w:tc>
      </w:tr>
      <w:tr>
        <w:trPr>
          <w:trHeight w:val="414"/>
        </w:trPr>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41"/>
        </w:trPr>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64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Indenture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Indenture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Senior Debt Security (included in Exhibit 4.1)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Subordinated Debt Security (included in Exhibit 4.2)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Depositary Receipt (included in Exhibit 4.8)*</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Morrison &amp; Foerster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KMJ Corbin and Company,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Morrison &amp; Foerster LLP (included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(see page II-6)</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9" w:lineRule="exact"/>
        <w:rPr>
          <w:sz w:val="20"/>
          <w:szCs w:val="20"/>
          <w:color w:val="auto"/>
        </w:rPr>
      </w:pPr>
    </w:p>
    <w:p>
      <w:pPr>
        <w:ind w:left="660" w:right="2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4.1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IMPRIMIS PHARMACEUTICALS, INC.</w:t>
      </w: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152400</wp:posOffset>
            </wp:positionV>
            <wp:extent cx="18097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620"/>
        <w:spacing w:after="0"/>
        <w:tabs>
          <w:tab w:leader="none" w:pos="512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6"/>
          <w:szCs w:val="16"/>
          <w:color w:val="auto"/>
        </w:rPr>
        <w:t>, 20</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10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9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DEFINITIONS AND OTHER PROVISIONS OF GENERAL APPLICATION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Definitions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1.2</w:t>
            </w:r>
          </w:p>
        </w:tc>
        <w:tc>
          <w:tcPr>
            <w:tcW w:w="9100" w:type="dxa"/>
            <w:vAlign w:val="bottom"/>
          </w:tcPr>
          <w:p>
            <w:pPr>
              <w:ind w:left="14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1.4</w:t>
            </w:r>
          </w:p>
        </w:tc>
        <w:tc>
          <w:tcPr>
            <w:tcW w:w="9100" w:type="dxa"/>
            <w:vAlign w:val="bottom"/>
          </w:tcPr>
          <w:p>
            <w:pPr>
              <w:ind w:left="140"/>
              <w:spacing w:after="0"/>
              <w:rPr>
                <w:sz w:val="20"/>
                <w:szCs w:val="20"/>
                <w:color w:val="auto"/>
              </w:rPr>
            </w:pPr>
            <w:r>
              <w:rPr>
                <w:rFonts w:ascii="Arial" w:cs="Arial" w:eastAsia="Arial" w:hAnsi="Arial"/>
                <w:sz w:val="18"/>
                <w:szCs w:val="18"/>
                <w:color w:val="auto"/>
              </w:rPr>
              <w:t>Section 1.4 Acts of Holders; Record Dates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1.6</w:t>
            </w:r>
          </w:p>
        </w:tc>
        <w:tc>
          <w:tcPr>
            <w:tcW w:w="9100" w:type="dxa"/>
            <w:vAlign w:val="bottom"/>
          </w:tcPr>
          <w:p>
            <w:pPr>
              <w:ind w:left="140"/>
              <w:spacing w:after="0"/>
              <w:rPr>
                <w:sz w:val="20"/>
                <w:szCs w:val="20"/>
                <w:color w:val="auto"/>
              </w:rPr>
            </w:pPr>
            <w:r>
              <w:rPr>
                <w:rFonts w:ascii="Arial" w:cs="Arial" w:eastAsia="Arial" w:hAnsi="Arial"/>
                <w:sz w:val="18"/>
                <w:szCs w:val="18"/>
                <w:color w:val="auto"/>
              </w:rPr>
              <w:t>Notice to Holders; Waiver</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1.7</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1.8</w:t>
            </w:r>
          </w:p>
        </w:tc>
        <w:tc>
          <w:tcPr>
            <w:tcW w:w="9100" w:type="dxa"/>
            <w:vAlign w:val="bottom"/>
          </w:tcPr>
          <w:p>
            <w:pPr>
              <w:ind w:left="14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1.9</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Successors and Assigns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1.10</w:t>
            </w:r>
          </w:p>
        </w:tc>
        <w:tc>
          <w:tcPr>
            <w:tcW w:w="9100" w:type="dxa"/>
            <w:vAlign w:val="bottom"/>
          </w:tcPr>
          <w:p>
            <w:pPr>
              <w:ind w:left="140"/>
              <w:spacing w:after="0"/>
              <w:rPr>
                <w:sz w:val="20"/>
                <w:szCs w:val="20"/>
                <w:color w:val="auto"/>
              </w:rPr>
            </w:pPr>
            <w:r>
              <w:rPr>
                <w:rFonts w:ascii="Arial" w:cs="Arial" w:eastAsia="Arial" w:hAnsi="Arial"/>
                <w:sz w:val="18"/>
                <w:szCs w:val="18"/>
                <w:color w:val="auto"/>
              </w:rPr>
              <w:t>Separability Clause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1.11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of Indenture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1.12</w:t>
            </w:r>
          </w:p>
        </w:tc>
        <w:tc>
          <w:tcPr>
            <w:tcW w:w="910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1.13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Holidays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1.14</w:t>
            </w:r>
          </w:p>
        </w:tc>
        <w:tc>
          <w:tcPr>
            <w:tcW w:w="9100" w:type="dxa"/>
            <w:vAlign w:val="bottom"/>
          </w:tcPr>
          <w:p>
            <w:pPr>
              <w:ind w:left="140"/>
              <w:spacing w:after="0"/>
              <w:rPr>
                <w:sz w:val="20"/>
                <w:szCs w:val="20"/>
                <w:color w:val="auto"/>
              </w:rPr>
            </w:pPr>
            <w:r>
              <w:rPr>
                <w:rFonts w:ascii="Arial" w:cs="Arial" w:eastAsia="Arial" w:hAnsi="Arial"/>
                <w:sz w:val="18"/>
                <w:szCs w:val="18"/>
                <w:color w:val="auto"/>
              </w:rPr>
              <w:t>Indenture and Securities Solely Corporate Obligations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1.15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Indenture May be Executed in Counterparts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7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2</w:t>
            </w:r>
          </w:p>
        </w:tc>
        <w:tc>
          <w:tcPr>
            <w:tcW w:w="9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FORMS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Forms Generally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2.2</w:t>
            </w:r>
          </w:p>
        </w:tc>
        <w:tc>
          <w:tcPr>
            <w:tcW w:w="9100" w:type="dxa"/>
            <w:vAlign w:val="bottom"/>
          </w:tcPr>
          <w:p>
            <w:pPr>
              <w:ind w:left="140"/>
              <w:spacing w:after="0"/>
              <w:rPr>
                <w:sz w:val="20"/>
                <w:szCs w:val="20"/>
                <w:color w:val="auto"/>
              </w:rPr>
            </w:pPr>
            <w:r>
              <w:rPr>
                <w:rFonts w:ascii="Arial" w:cs="Arial" w:eastAsia="Arial" w:hAnsi="Arial"/>
                <w:sz w:val="18"/>
                <w:szCs w:val="18"/>
                <w:color w:val="auto"/>
              </w:rPr>
              <w:t>Form of Face of Security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Reverse of Security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2.4</w:t>
            </w:r>
          </w:p>
        </w:tc>
        <w:tc>
          <w:tcPr>
            <w:tcW w:w="9100" w:type="dxa"/>
            <w:vAlign w:val="bottom"/>
          </w:tcPr>
          <w:p>
            <w:pPr>
              <w:ind w:left="14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2.6</w:t>
            </w:r>
          </w:p>
        </w:tc>
        <w:tc>
          <w:tcPr>
            <w:tcW w:w="9100" w:type="dxa"/>
            <w:vAlign w:val="bottom"/>
          </w:tcPr>
          <w:p>
            <w:pPr>
              <w:ind w:left="140"/>
              <w:spacing w:after="0"/>
              <w:rPr>
                <w:sz w:val="20"/>
                <w:szCs w:val="20"/>
                <w:color w:val="auto"/>
              </w:rPr>
            </w:pPr>
            <w:r>
              <w:rPr>
                <w:rFonts w:ascii="Arial" w:cs="Arial" w:eastAsia="Arial" w:hAnsi="Arial"/>
                <w:sz w:val="18"/>
                <w:szCs w:val="18"/>
                <w:color w:val="auto"/>
              </w:rPr>
              <w:t>Form of Conversion Notice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3</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THE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3.1</w:t>
            </w:r>
          </w:p>
        </w:tc>
        <w:tc>
          <w:tcPr>
            <w:tcW w:w="9100" w:type="dxa"/>
            <w:vAlign w:val="bottom"/>
          </w:tcPr>
          <w:p>
            <w:pPr>
              <w:ind w:left="14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3.3</w:t>
            </w:r>
          </w:p>
        </w:tc>
        <w:tc>
          <w:tcPr>
            <w:tcW w:w="9100" w:type="dxa"/>
            <w:vAlign w:val="bottom"/>
          </w:tcPr>
          <w:p>
            <w:pPr>
              <w:ind w:left="14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Temporary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3.5</w:t>
            </w:r>
          </w:p>
        </w:tc>
        <w:tc>
          <w:tcPr>
            <w:tcW w:w="9100" w:type="dxa"/>
            <w:vAlign w:val="bottom"/>
          </w:tcPr>
          <w:p>
            <w:pPr>
              <w:ind w:left="14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3.7</w:t>
            </w:r>
          </w:p>
        </w:tc>
        <w:tc>
          <w:tcPr>
            <w:tcW w:w="9100" w:type="dxa"/>
            <w:vAlign w:val="bottom"/>
          </w:tcPr>
          <w:p>
            <w:pPr>
              <w:ind w:left="14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3.8</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Persons Deemed Owners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3.9</w:t>
            </w:r>
          </w:p>
        </w:tc>
        <w:tc>
          <w:tcPr>
            <w:tcW w:w="910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3.10</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Computation of Interest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97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9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SATISFACTION AND DISCHARGE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4.1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4.2</w:t>
            </w:r>
          </w:p>
        </w:tc>
        <w:tc>
          <w:tcPr>
            <w:tcW w:w="9100" w:type="dxa"/>
            <w:vAlign w:val="bottom"/>
          </w:tcPr>
          <w:p>
            <w:pPr>
              <w:ind w:left="140"/>
              <w:spacing w:after="0"/>
              <w:rPr>
                <w:sz w:val="20"/>
                <w:szCs w:val="20"/>
                <w:color w:val="auto"/>
              </w:rPr>
            </w:pPr>
            <w:r>
              <w:rPr>
                <w:rFonts w:ascii="Arial" w:cs="Arial" w:eastAsia="Arial" w:hAnsi="Arial"/>
                <w:sz w:val="18"/>
                <w:szCs w:val="18"/>
                <w:color w:val="auto"/>
              </w:rPr>
              <w:t>Application of Trust Money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5</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REMEDIES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5.1</w:t>
            </w:r>
          </w:p>
        </w:tc>
        <w:tc>
          <w:tcPr>
            <w:tcW w:w="910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5.3</w:t>
            </w:r>
          </w:p>
        </w:tc>
        <w:tc>
          <w:tcPr>
            <w:tcW w:w="9100" w:type="dxa"/>
            <w:vAlign w:val="bottom"/>
          </w:tcPr>
          <w:p>
            <w:pPr>
              <w:ind w:left="14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5.5</w:t>
            </w:r>
          </w:p>
        </w:tc>
        <w:tc>
          <w:tcPr>
            <w:tcW w:w="9100" w:type="dxa"/>
            <w:vAlign w:val="bottom"/>
          </w:tcPr>
          <w:p>
            <w:pPr>
              <w:ind w:left="14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Application of Money Collected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5.7</w:t>
            </w:r>
          </w:p>
        </w:tc>
        <w:tc>
          <w:tcPr>
            <w:tcW w:w="9100" w:type="dxa"/>
            <w:vAlign w:val="bottom"/>
          </w:tcPr>
          <w:p>
            <w:pPr>
              <w:ind w:left="140"/>
              <w:spacing w:after="0"/>
              <w:rPr>
                <w:sz w:val="20"/>
                <w:szCs w:val="20"/>
                <w:color w:val="auto"/>
              </w:rPr>
            </w:pPr>
            <w:r>
              <w:rPr>
                <w:rFonts w:ascii="Arial" w:cs="Arial" w:eastAsia="Arial" w:hAnsi="Arial"/>
                <w:sz w:val="18"/>
                <w:szCs w:val="18"/>
                <w:color w:val="auto"/>
              </w:rPr>
              <w:t>Limitation on Suits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5.8</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5.9</w:t>
            </w:r>
          </w:p>
        </w:tc>
        <w:tc>
          <w:tcPr>
            <w:tcW w:w="9100" w:type="dxa"/>
            <w:vAlign w:val="bottom"/>
          </w:tcPr>
          <w:p>
            <w:pPr>
              <w:ind w:left="14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100" w:type="dxa"/>
            <w:vAlign w:val="bottom"/>
          </w:tcPr>
          <w:p>
            <w:pPr>
              <w:jc w:val="center"/>
              <w:ind w:right="93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00" w:type="dxa"/>
            <w:vAlign w:val="bottom"/>
          </w:tcPr>
          <w:p>
            <w:pPr>
              <w:jc w:val="center"/>
              <w:ind w:right="950"/>
              <w:spacing w:after="0"/>
              <w:rPr>
                <w:sz w:val="20"/>
                <w:szCs w:val="20"/>
                <w:color w:val="auto"/>
              </w:rPr>
            </w:pPr>
            <w:r>
              <w:rPr>
                <w:rFonts w:ascii="Arial" w:cs="Arial" w:eastAsia="Arial" w:hAnsi="Arial"/>
                <w:sz w:val="18"/>
                <w:szCs w:val="18"/>
                <w:color w:val="auto"/>
                <w:w w:val="91"/>
              </w:rPr>
              <w:t>(continued)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5.10</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Rights and Remedies Cumulative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5.11</w:t>
            </w:r>
          </w:p>
        </w:tc>
        <w:tc>
          <w:tcPr>
            <w:tcW w:w="9100" w:type="dxa"/>
            <w:vAlign w:val="bottom"/>
          </w:tcPr>
          <w:p>
            <w:pPr>
              <w:ind w:left="140"/>
              <w:spacing w:after="0"/>
              <w:rPr>
                <w:sz w:val="20"/>
                <w:szCs w:val="20"/>
                <w:color w:val="auto"/>
              </w:rPr>
            </w:pPr>
            <w:r>
              <w:rPr>
                <w:rFonts w:ascii="Arial" w:cs="Arial" w:eastAsia="Arial" w:hAnsi="Arial"/>
                <w:sz w:val="18"/>
                <w:szCs w:val="18"/>
                <w:color w:val="auto"/>
              </w:rPr>
              <w:t>Delay or Omission Not Waiver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5.12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 by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5.13</w:t>
            </w:r>
          </w:p>
        </w:tc>
        <w:tc>
          <w:tcPr>
            <w:tcW w:w="9100" w:type="dxa"/>
            <w:vAlign w:val="bottom"/>
          </w:tcPr>
          <w:p>
            <w:pPr>
              <w:ind w:left="140"/>
              <w:spacing w:after="0"/>
              <w:rPr>
                <w:sz w:val="20"/>
                <w:szCs w:val="20"/>
                <w:color w:val="auto"/>
              </w:rPr>
            </w:pPr>
            <w:r>
              <w:rPr>
                <w:rFonts w:ascii="Arial" w:cs="Arial" w:eastAsia="Arial" w:hAnsi="Arial"/>
                <w:sz w:val="18"/>
                <w:szCs w:val="18"/>
                <w:color w:val="auto"/>
              </w:rPr>
              <w:t>Waiver of Past Defaults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5.14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Undertaking for Costs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5.15</w:t>
            </w:r>
          </w:p>
        </w:tc>
        <w:tc>
          <w:tcPr>
            <w:tcW w:w="9100" w:type="dxa"/>
            <w:vAlign w:val="bottom"/>
          </w:tcPr>
          <w:p>
            <w:pPr>
              <w:ind w:left="140"/>
              <w:spacing w:after="0"/>
              <w:rPr>
                <w:sz w:val="20"/>
                <w:szCs w:val="20"/>
                <w:color w:val="auto"/>
              </w:rPr>
            </w:pPr>
            <w:r>
              <w:rPr>
                <w:rFonts w:ascii="Arial" w:cs="Arial" w:eastAsia="Arial" w:hAnsi="Arial"/>
                <w:sz w:val="18"/>
                <w:szCs w:val="18"/>
                <w:color w:val="auto"/>
              </w:rPr>
              <w:t>Waiver of Usury, Stay or Extension Laws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6</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THE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6.1</w:t>
            </w:r>
          </w:p>
        </w:tc>
        <w:tc>
          <w:tcPr>
            <w:tcW w:w="9100" w:type="dxa"/>
            <w:vAlign w:val="bottom"/>
          </w:tcPr>
          <w:p>
            <w:pPr>
              <w:ind w:left="140"/>
              <w:spacing w:after="0"/>
              <w:rPr>
                <w:sz w:val="20"/>
                <w:szCs w:val="20"/>
                <w:color w:val="auto"/>
              </w:rPr>
            </w:pPr>
            <w:r>
              <w:rPr>
                <w:rFonts w:ascii="Arial" w:cs="Arial" w:eastAsia="Arial" w:hAnsi="Arial"/>
                <w:sz w:val="18"/>
                <w:szCs w:val="18"/>
                <w:color w:val="auto"/>
              </w:rPr>
              <w:t>Certain Duties and Responsibilities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 of Defaults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6.3</w:t>
            </w:r>
          </w:p>
        </w:tc>
        <w:tc>
          <w:tcPr>
            <w:tcW w:w="9100" w:type="dxa"/>
            <w:vAlign w:val="bottom"/>
          </w:tcPr>
          <w:p>
            <w:pPr>
              <w:ind w:left="140"/>
              <w:spacing w:after="0"/>
              <w:rPr>
                <w:sz w:val="20"/>
                <w:szCs w:val="20"/>
                <w:color w:val="auto"/>
              </w:rPr>
            </w:pPr>
            <w:r>
              <w:rPr>
                <w:rFonts w:ascii="Arial" w:cs="Arial" w:eastAsia="Arial" w:hAnsi="Arial"/>
                <w:sz w:val="18"/>
                <w:szCs w:val="18"/>
                <w:color w:val="auto"/>
              </w:rPr>
              <w:t>Certain Rights of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 Responsible for Recitals or Issuance of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6.5</w:t>
            </w:r>
          </w:p>
        </w:tc>
        <w:tc>
          <w:tcPr>
            <w:tcW w:w="9100" w:type="dxa"/>
            <w:vAlign w:val="bottom"/>
          </w:tcPr>
          <w:p>
            <w:pPr>
              <w:ind w:left="140"/>
              <w:spacing w:after="0"/>
              <w:rPr>
                <w:sz w:val="20"/>
                <w:szCs w:val="20"/>
                <w:color w:val="auto"/>
              </w:rPr>
            </w:pPr>
            <w:r>
              <w:rPr>
                <w:rFonts w:ascii="Arial" w:cs="Arial" w:eastAsia="Arial" w:hAnsi="Arial"/>
                <w:sz w:val="18"/>
                <w:szCs w:val="18"/>
                <w:color w:val="auto"/>
              </w:rPr>
              <w:t>May Hold Securities and Act as Trustee under Other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Held in Trust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6.7</w:t>
            </w:r>
          </w:p>
        </w:tc>
        <w:tc>
          <w:tcPr>
            <w:tcW w:w="9100" w:type="dxa"/>
            <w:vAlign w:val="bottom"/>
          </w:tcPr>
          <w:p>
            <w:pPr>
              <w:ind w:left="140"/>
              <w:spacing w:after="0"/>
              <w:rPr>
                <w:sz w:val="20"/>
                <w:szCs w:val="20"/>
                <w:color w:val="auto"/>
              </w:rPr>
            </w:pPr>
            <w:r>
              <w:rPr>
                <w:rFonts w:ascii="Arial" w:cs="Arial" w:eastAsia="Arial" w:hAnsi="Arial"/>
                <w:sz w:val="18"/>
                <w:szCs w:val="18"/>
                <w:color w:val="auto"/>
              </w:rPr>
              <w:t>Compensation and Reimbursement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6.8</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Conflicting Interests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6.9</w:t>
            </w:r>
          </w:p>
        </w:tc>
        <w:tc>
          <w:tcPr>
            <w:tcW w:w="9100" w:type="dxa"/>
            <w:vAlign w:val="bottom"/>
          </w:tcPr>
          <w:p>
            <w:pPr>
              <w:ind w:left="140"/>
              <w:spacing w:after="0"/>
              <w:rPr>
                <w:sz w:val="20"/>
                <w:szCs w:val="20"/>
                <w:color w:val="auto"/>
              </w:rPr>
            </w:pPr>
            <w:r>
              <w:rPr>
                <w:rFonts w:ascii="Arial" w:cs="Arial" w:eastAsia="Arial" w:hAnsi="Arial"/>
                <w:sz w:val="18"/>
                <w:szCs w:val="18"/>
                <w:color w:val="auto"/>
              </w:rPr>
              <w:t>Corporate Trustee Required; Eligibility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6.10</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Resignation and Removal; Appointment of Successor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6.11</w:t>
            </w:r>
          </w:p>
        </w:tc>
        <w:tc>
          <w:tcPr>
            <w:tcW w:w="9100" w:type="dxa"/>
            <w:vAlign w:val="bottom"/>
          </w:tcPr>
          <w:p>
            <w:pPr>
              <w:ind w:left="140"/>
              <w:spacing w:after="0"/>
              <w:rPr>
                <w:sz w:val="20"/>
                <w:szCs w:val="20"/>
                <w:color w:val="auto"/>
              </w:rPr>
            </w:pPr>
            <w:r>
              <w:rPr>
                <w:rFonts w:ascii="Arial" w:cs="Arial" w:eastAsia="Arial" w:hAnsi="Arial"/>
                <w:sz w:val="18"/>
                <w:szCs w:val="18"/>
                <w:color w:val="auto"/>
              </w:rPr>
              <w:t>Acceptance of Appointment by Successor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6.12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Merger, Conversion, Consolidation or Succession to Business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6.13</w:t>
            </w:r>
          </w:p>
        </w:tc>
        <w:tc>
          <w:tcPr>
            <w:tcW w:w="9100" w:type="dxa"/>
            <w:vAlign w:val="bottom"/>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6.14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Appointment of Authenticating Agent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7</w:t>
            </w:r>
          </w:p>
        </w:tc>
        <w:tc>
          <w:tcPr>
            <w:tcW w:w="9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HOLDERS’ LISTS AND REPORTS BY TRUSTEE AND COMPANY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7.1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 to Furnish Trustee Names and Addresses of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7.2</w:t>
            </w:r>
          </w:p>
        </w:tc>
        <w:tc>
          <w:tcPr>
            <w:tcW w:w="9100" w:type="dxa"/>
            <w:vAlign w:val="bottom"/>
          </w:tcPr>
          <w:p>
            <w:pPr>
              <w:ind w:left="140"/>
              <w:spacing w:after="0"/>
              <w:rPr>
                <w:sz w:val="20"/>
                <w:szCs w:val="20"/>
                <w:color w:val="auto"/>
              </w:rPr>
            </w:pPr>
            <w:r>
              <w:rPr>
                <w:rFonts w:ascii="Arial" w:cs="Arial" w:eastAsia="Arial" w:hAnsi="Arial"/>
                <w:sz w:val="18"/>
                <w:szCs w:val="18"/>
                <w:color w:val="auto"/>
              </w:rPr>
              <w:t>Preservation of Information; Communications to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7.3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Reports by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7.4</w:t>
            </w:r>
          </w:p>
        </w:tc>
        <w:tc>
          <w:tcPr>
            <w:tcW w:w="9100" w:type="dxa"/>
            <w:vAlign w:val="bottom"/>
          </w:tcPr>
          <w:p>
            <w:pPr>
              <w:ind w:left="140"/>
              <w:spacing w:after="0"/>
              <w:rPr>
                <w:sz w:val="20"/>
                <w:szCs w:val="20"/>
                <w:color w:val="auto"/>
              </w:rPr>
            </w:pPr>
            <w:r>
              <w:rPr>
                <w:rFonts w:ascii="Arial" w:cs="Arial" w:eastAsia="Arial" w:hAnsi="Arial"/>
                <w:sz w:val="18"/>
                <w:szCs w:val="18"/>
                <w:color w:val="auto"/>
              </w:rPr>
              <w:t>Reports by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8</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CONSOLIDATION, MERGER, CONVEYANCE, TRANSFER OR LEASE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8.1</w:t>
            </w:r>
          </w:p>
        </w:tc>
        <w:tc>
          <w:tcPr>
            <w:tcW w:w="9100" w:type="dxa"/>
            <w:vAlign w:val="bottom"/>
          </w:tcPr>
          <w:p>
            <w:pPr>
              <w:ind w:left="140"/>
              <w:spacing w:after="0"/>
              <w:rPr>
                <w:sz w:val="20"/>
                <w:szCs w:val="20"/>
                <w:color w:val="auto"/>
              </w:rPr>
            </w:pPr>
            <w:r>
              <w:rPr>
                <w:rFonts w:ascii="Arial" w:cs="Arial" w:eastAsia="Arial" w:hAnsi="Arial"/>
                <w:sz w:val="18"/>
                <w:szCs w:val="18"/>
                <w:color w:val="auto"/>
              </w:rPr>
              <w:t>Company May Consolidate, etc., Only on Certain Terms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8.2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Successor Substituted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9</w:t>
            </w:r>
          </w:p>
        </w:tc>
        <w:tc>
          <w:tcPr>
            <w:tcW w:w="9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SUPPLEMENTAL INDENTURES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Indentures Without Consent of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9.2</w:t>
            </w:r>
          </w:p>
        </w:tc>
        <w:tc>
          <w:tcPr>
            <w:tcW w:w="9100" w:type="dxa"/>
            <w:vAlign w:val="bottom"/>
          </w:tcPr>
          <w:p>
            <w:pPr>
              <w:ind w:left="140"/>
              <w:spacing w:after="0"/>
              <w:rPr>
                <w:sz w:val="20"/>
                <w:szCs w:val="20"/>
                <w:color w:val="auto"/>
              </w:rPr>
            </w:pPr>
            <w:r>
              <w:rPr>
                <w:rFonts w:ascii="Arial" w:cs="Arial" w:eastAsia="Arial" w:hAnsi="Arial"/>
                <w:sz w:val="18"/>
                <w:szCs w:val="18"/>
                <w:color w:val="auto"/>
              </w:rPr>
              <w:t>Supplemental Indentures with Consent of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Execution of Supplemental Indentures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9.4</w:t>
            </w:r>
          </w:p>
        </w:tc>
        <w:tc>
          <w:tcPr>
            <w:tcW w:w="9100" w:type="dxa"/>
            <w:vAlign w:val="bottom"/>
          </w:tcPr>
          <w:p>
            <w:pPr>
              <w:ind w:left="140"/>
              <w:spacing w:after="0"/>
              <w:rPr>
                <w:sz w:val="20"/>
                <w:szCs w:val="20"/>
                <w:color w:val="auto"/>
              </w:rPr>
            </w:pPr>
            <w:r>
              <w:rPr>
                <w:rFonts w:ascii="Arial" w:cs="Arial" w:eastAsia="Arial" w:hAnsi="Arial"/>
                <w:sz w:val="18"/>
                <w:szCs w:val="18"/>
                <w:color w:val="auto"/>
              </w:rPr>
              <w:t>Effect of Supplemental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Conformity with Trust Indenture Act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9.6</w:t>
            </w:r>
          </w:p>
        </w:tc>
        <w:tc>
          <w:tcPr>
            <w:tcW w:w="9100" w:type="dxa"/>
            <w:vAlign w:val="bottom"/>
          </w:tcPr>
          <w:p>
            <w:pPr>
              <w:ind w:left="140"/>
              <w:spacing w:after="0"/>
              <w:rPr>
                <w:sz w:val="20"/>
                <w:szCs w:val="20"/>
                <w:color w:val="auto"/>
              </w:rPr>
            </w:pPr>
            <w:r>
              <w:rPr>
                <w:rFonts w:ascii="Arial" w:cs="Arial" w:eastAsia="Arial" w:hAnsi="Arial"/>
                <w:sz w:val="18"/>
                <w:szCs w:val="18"/>
                <w:color w:val="auto"/>
              </w:rPr>
              <w:t>Reference in Securities to Supplemental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10</w:t>
            </w:r>
          </w:p>
        </w:tc>
        <w:tc>
          <w:tcPr>
            <w:tcW w:w="9660" w:type="dxa"/>
            <w:vAlign w:val="bottom"/>
            <w:gridSpan w:val="2"/>
          </w:tcPr>
          <w:p>
            <w:pPr>
              <w:ind w:left="240"/>
              <w:spacing w:after="0"/>
              <w:rPr>
                <w:sz w:val="20"/>
                <w:szCs w:val="20"/>
                <w:color w:val="auto"/>
              </w:rPr>
            </w:pPr>
            <w:r>
              <w:rPr>
                <w:rFonts w:ascii="Arial" w:cs="Arial" w:eastAsia="Arial" w:hAnsi="Arial"/>
                <w:sz w:val="18"/>
                <w:szCs w:val="18"/>
                <w:color w:val="auto"/>
              </w:rPr>
              <w:t>COVENANTS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10.1</w:t>
            </w:r>
          </w:p>
        </w:tc>
        <w:tc>
          <w:tcPr>
            <w:tcW w:w="9100" w:type="dxa"/>
            <w:vAlign w:val="bottom"/>
          </w:tcPr>
          <w:p>
            <w:pPr>
              <w:ind w:left="14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10.2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of Office or Agency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10.3</w:t>
            </w:r>
          </w:p>
        </w:tc>
        <w:tc>
          <w:tcPr>
            <w:tcW w:w="9100" w:type="dxa"/>
            <w:vAlign w:val="bottom"/>
          </w:tcPr>
          <w:p>
            <w:pPr>
              <w:ind w:left="140"/>
              <w:spacing w:after="0"/>
              <w:rPr>
                <w:sz w:val="20"/>
                <w:szCs w:val="20"/>
                <w:color w:val="auto"/>
              </w:rPr>
            </w:pPr>
            <w:r>
              <w:rPr>
                <w:rFonts w:ascii="Arial" w:cs="Arial" w:eastAsia="Arial" w:hAnsi="Arial"/>
                <w:sz w:val="18"/>
                <w:szCs w:val="18"/>
                <w:color w:val="auto"/>
              </w:rPr>
              <w:t>Money for Securities Payments To Be Held in Trust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10.4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Statement by Officers as to Default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10.5</w:t>
            </w:r>
          </w:p>
        </w:tc>
        <w:tc>
          <w:tcPr>
            <w:tcW w:w="910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10.6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of Properties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10.7</w:t>
            </w:r>
          </w:p>
        </w:tc>
        <w:tc>
          <w:tcPr>
            <w:tcW w:w="9100" w:type="dxa"/>
            <w:vAlign w:val="bottom"/>
          </w:tcPr>
          <w:p>
            <w:pPr>
              <w:ind w:left="140"/>
              <w:spacing w:after="0"/>
              <w:rPr>
                <w:sz w:val="20"/>
                <w:szCs w:val="20"/>
                <w:color w:val="auto"/>
              </w:rPr>
            </w:pPr>
            <w:r>
              <w:rPr>
                <w:rFonts w:ascii="Arial" w:cs="Arial" w:eastAsia="Arial" w:hAnsi="Arial"/>
                <w:sz w:val="18"/>
                <w:szCs w:val="18"/>
                <w:color w:val="auto"/>
              </w:rPr>
              <w:t>Payment of Taxes and Other Claims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10.8</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Waiver of Certain Covenants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96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ARTICLE 11</w:t>
            </w:r>
          </w:p>
        </w:tc>
        <w:tc>
          <w:tcPr>
            <w:tcW w:w="9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REDEMPTION OF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jc w:val="center"/>
              <w:ind w:right="950"/>
              <w:spacing w:after="0"/>
              <w:rPr>
                <w:sz w:val="20"/>
                <w:szCs w:val="20"/>
                <w:color w:val="auto"/>
              </w:rPr>
            </w:pPr>
            <w:r>
              <w:rPr>
                <w:rFonts w:ascii="Arial" w:cs="Arial" w:eastAsia="Arial" w:hAnsi="Arial"/>
                <w:sz w:val="18"/>
                <w:szCs w:val="18"/>
                <w:color w:val="auto"/>
                <w:w w:val="99"/>
              </w:rPr>
              <w:t>- ii -</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40" w:type="dxa"/>
            <w:vAlign w:val="bottom"/>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11.2</w:t>
            </w:r>
          </w:p>
        </w:tc>
        <w:tc>
          <w:tcPr>
            <w:tcW w:w="9040" w:type="dxa"/>
            <w:vAlign w:val="bottom"/>
          </w:tcPr>
          <w:p>
            <w:pPr>
              <w:ind w:left="80"/>
              <w:spacing w:after="0"/>
              <w:rPr>
                <w:sz w:val="20"/>
                <w:szCs w:val="20"/>
                <w:color w:val="auto"/>
              </w:rPr>
            </w:pPr>
            <w:r>
              <w:rPr>
                <w:rFonts w:ascii="Arial" w:cs="Arial" w:eastAsia="Arial" w:hAnsi="Arial"/>
                <w:sz w:val="18"/>
                <w:szCs w:val="18"/>
                <w:color w:val="auto"/>
              </w:rPr>
              <w:t>Election to Redeem; Notice to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Selection by Trustee of Securities to Be Redeemed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11.4</w:t>
            </w:r>
          </w:p>
        </w:tc>
        <w:tc>
          <w:tcPr>
            <w:tcW w:w="9040" w:type="dxa"/>
            <w:vAlign w:val="bottom"/>
          </w:tcPr>
          <w:p>
            <w:pPr>
              <w:ind w:left="80"/>
              <w:spacing w:after="0"/>
              <w:rPr>
                <w:sz w:val="20"/>
                <w:szCs w:val="20"/>
                <w:color w:val="auto"/>
              </w:rPr>
            </w:pPr>
            <w:r>
              <w:rPr>
                <w:rFonts w:ascii="Arial" w:cs="Arial" w:eastAsia="Arial" w:hAnsi="Arial"/>
                <w:sz w:val="18"/>
                <w:szCs w:val="18"/>
                <w:color w:val="auto"/>
              </w:rPr>
              <w:t>Notice of Redemption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11.5</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 of Redemption Price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11.6</w:t>
            </w:r>
          </w:p>
        </w:tc>
        <w:tc>
          <w:tcPr>
            <w:tcW w:w="9040" w:type="dxa"/>
            <w:vAlign w:val="bottom"/>
          </w:tcPr>
          <w:p>
            <w:pPr>
              <w:ind w:left="80"/>
              <w:spacing w:after="0"/>
              <w:rPr>
                <w:sz w:val="20"/>
                <w:szCs w:val="20"/>
                <w:color w:val="auto"/>
              </w:rPr>
            </w:pPr>
            <w:r>
              <w:rPr>
                <w:rFonts w:ascii="Arial" w:cs="Arial" w:eastAsia="Arial" w:hAnsi="Arial"/>
                <w:sz w:val="18"/>
                <w:szCs w:val="18"/>
                <w:color w:val="auto"/>
              </w:rPr>
              <w:t>Securities Payable on Redemption Date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11.7</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 Redeemed in Part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6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12</w:t>
            </w:r>
          </w:p>
        </w:tc>
        <w:tc>
          <w:tcPr>
            <w:tcW w:w="9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SINKING FUNDS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12.1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12.2</w:t>
            </w:r>
          </w:p>
        </w:tc>
        <w:tc>
          <w:tcPr>
            <w:tcW w:w="9040" w:type="dxa"/>
            <w:vAlign w:val="bottom"/>
          </w:tcPr>
          <w:p>
            <w:pPr>
              <w:ind w:left="8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12.3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96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13</w:t>
            </w:r>
          </w:p>
        </w:tc>
        <w:tc>
          <w:tcPr>
            <w:tcW w:w="9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DEFEASANCE AND COVENANT DEFEASANCE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Company’s Option to Effect Defeasance or Covenant Defeasance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13.2</w:t>
            </w:r>
          </w:p>
        </w:tc>
        <w:tc>
          <w:tcPr>
            <w:tcW w:w="9040" w:type="dxa"/>
            <w:vAlign w:val="bottom"/>
          </w:tcPr>
          <w:p>
            <w:pPr>
              <w:ind w:left="80"/>
              <w:spacing w:after="0"/>
              <w:rPr>
                <w:sz w:val="20"/>
                <w:szCs w:val="20"/>
                <w:color w:val="auto"/>
              </w:rPr>
            </w:pPr>
            <w:r>
              <w:rPr>
                <w:rFonts w:ascii="Arial" w:cs="Arial" w:eastAsia="Arial" w:hAnsi="Arial"/>
                <w:sz w:val="18"/>
                <w:szCs w:val="18"/>
                <w:color w:val="auto"/>
              </w:rPr>
              <w:t>Defeasance and Discharge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Covenant Defeasance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13.4</w:t>
            </w:r>
          </w:p>
        </w:tc>
        <w:tc>
          <w:tcPr>
            <w:tcW w:w="9040" w:type="dxa"/>
            <w:vAlign w:val="bottom"/>
          </w:tcPr>
          <w:p>
            <w:pPr>
              <w:ind w:left="80"/>
              <w:spacing w:after="0"/>
              <w:rPr>
                <w:sz w:val="20"/>
                <w:szCs w:val="20"/>
                <w:color w:val="auto"/>
              </w:rPr>
            </w:pPr>
            <w:r>
              <w:rPr>
                <w:rFonts w:ascii="Arial" w:cs="Arial" w:eastAsia="Arial" w:hAnsi="Arial"/>
                <w:sz w:val="18"/>
                <w:szCs w:val="18"/>
                <w:color w:val="auto"/>
              </w:rPr>
              <w:t>Conditions to Defeasance or Covenant Defeasance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Section 13.5</w:t>
            </w:r>
          </w:p>
        </w:tc>
        <w:tc>
          <w:tcPr>
            <w:tcW w:w="90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Deposited Money, U.S. Government Obligations and Foreign Government Obligations to be Held in Trust; Miscellaneous</w:t>
            </w: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Provisions</w:t>
            </w: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13.6</w:t>
            </w:r>
          </w:p>
        </w:tc>
        <w:tc>
          <w:tcPr>
            <w:tcW w:w="9040" w:type="dxa"/>
            <w:vAlign w:val="bottom"/>
          </w:tcPr>
          <w:p>
            <w:pPr>
              <w:ind w:left="80"/>
              <w:spacing w:after="0"/>
              <w:rPr>
                <w:sz w:val="20"/>
                <w:szCs w:val="20"/>
                <w:color w:val="auto"/>
              </w:rPr>
            </w:pPr>
            <w:r>
              <w:rPr>
                <w:rFonts w:ascii="Arial" w:cs="Arial" w:eastAsia="Arial" w:hAnsi="Arial"/>
                <w:sz w:val="18"/>
                <w:szCs w:val="18"/>
                <w:color w:val="auto"/>
              </w:rPr>
              <w:t>Reinstatement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ARTICLE 14</w:t>
            </w:r>
          </w:p>
        </w:tc>
        <w:tc>
          <w:tcPr>
            <w:tcW w:w="9620" w:type="dxa"/>
            <w:vAlign w:val="bottom"/>
            <w:gridSpan w:val="2"/>
          </w:tcPr>
          <w:p>
            <w:pPr>
              <w:ind w:left="200"/>
              <w:spacing w:after="0"/>
              <w:rPr>
                <w:sz w:val="20"/>
                <w:szCs w:val="20"/>
                <w:color w:val="auto"/>
              </w:rPr>
            </w:pPr>
            <w:r>
              <w:rPr>
                <w:rFonts w:ascii="Arial" w:cs="Arial" w:eastAsia="Arial" w:hAnsi="Arial"/>
                <w:sz w:val="18"/>
                <w:szCs w:val="18"/>
                <w:color w:val="auto"/>
              </w:rPr>
              <w:t>CONVERSION OF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18"/>
                <w:szCs w:val="18"/>
                <w:color w:val="auto"/>
              </w:rPr>
            </w:pPr>
          </w:p>
        </w:tc>
        <w:tc>
          <w:tcPr>
            <w:tcW w:w="9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14.1</w:t>
            </w:r>
          </w:p>
        </w:tc>
        <w:tc>
          <w:tcPr>
            <w:tcW w:w="9040" w:type="dxa"/>
            <w:vAlign w:val="bottom"/>
          </w:tcPr>
          <w:p>
            <w:pPr>
              <w:ind w:left="8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14.2</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Exercise of Conversion Privilege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14.3</w:t>
            </w:r>
          </w:p>
        </w:tc>
        <w:tc>
          <w:tcPr>
            <w:tcW w:w="9040" w:type="dxa"/>
            <w:vAlign w:val="bottom"/>
          </w:tcPr>
          <w:p>
            <w:pPr>
              <w:ind w:left="80"/>
              <w:spacing w:after="0"/>
              <w:rPr>
                <w:sz w:val="20"/>
                <w:szCs w:val="20"/>
                <w:color w:val="auto"/>
              </w:rPr>
            </w:pPr>
            <w:r>
              <w:rPr>
                <w:rFonts w:ascii="Arial" w:cs="Arial" w:eastAsia="Arial" w:hAnsi="Arial"/>
                <w:sz w:val="18"/>
                <w:szCs w:val="18"/>
                <w:color w:val="auto"/>
              </w:rPr>
              <w:t>No Fractional Shares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14.4</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 of Conversion Price or Conversion Rate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14.5</w:t>
            </w:r>
          </w:p>
        </w:tc>
        <w:tc>
          <w:tcPr>
            <w:tcW w:w="9040" w:type="dxa"/>
            <w:vAlign w:val="bottom"/>
          </w:tcPr>
          <w:p>
            <w:pPr>
              <w:ind w:left="80"/>
              <w:spacing w:after="0"/>
              <w:rPr>
                <w:sz w:val="20"/>
                <w:szCs w:val="20"/>
                <w:color w:val="auto"/>
              </w:rPr>
            </w:pPr>
            <w:r>
              <w:rPr>
                <w:rFonts w:ascii="Arial" w:cs="Arial" w:eastAsia="Arial" w:hAnsi="Arial"/>
                <w:sz w:val="18"/>
                <w:szCs w:val="18"/>
                <w:color w:val="auto"/>
              </w:rPr>
              <w:t>Notice of Certain Corporate Actions. In case: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14.6</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Reservation of Shares of Common Stock</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14.7</w:t>
            </w:r>
          </w:p>
        </w:tc>
        <w:tc>
          <w:tcPr>
            <w:tcW w:w="9040" w:type="dxa"/>
            <w:vAlign w:val="bottom"/>
          </w:tcPr>
          <w:p>
            <w:pPr>
              <w:ind w:left="80"/>
              <w:spacing w:after="0"/>
              <w:rPr>
                <w:sz w:val="20"/>
                <w:szCs w:val="20"/>
                <w:color w:val="auto"/>
              </w:rPr>
            </w:pPr>
            <w:r>
              <w:rPr>
                <w:rFonts w:ascii="Arial" w:cs="Arial" w:eastAsia="Arial" w:hAnsi="Arial"/>
                <w:sz w:val="18"/>
                <w:szCs w:val="18"/>
                <w:color w:val="auto"/>
              </w:rPr>
              <w:t>Payment of Certain Taxes upon Conversion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14.8</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Nonassessability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14.9</w:t>
            </w:r>
          </w:p>
        </w:tc>
        <w:tc>
          <w:tcPr>
            <w:tcW w:w="9040" w:type="dxa"/>
            <w:vAlign w:val="bottom"/>
          </w:tcPr>
          <w:p>
            <w:pPr>
              <w:ind w:left="80"/>
              <w:spacing w:after="0"/>
              <w:rPr>
                <w:sz w:val="20"/>
                <w:szCs w:val="20"/>
                <w:color w:val="auto"/>
              </w:rPr>
            </w:pPr>
            <w:r>
              <w:rPr>
                <w:rFonts w:ascii="Arial" w:cs="Arial" w:eastAsia="Arial" w:hAnsi="Arial"/>
                <w:sz w:val="18"/>
                <w:szCs w:val="18"/>
                <w:color w:val="auto"/>
              </w:rPr>
              <w:t>Provision in Case of Consolidation, Merger or Sale of Assets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Section 14.10</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Duties of Trustee Regarding Conversion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w w:val="96"/>
              </w:rPr>
              <w:t>Section 14.11</w:t>
            </w:r>
          </w:p>
        </w:tc>
        <w:tc>
          <w:tcPr>
            <w:tcW w:w="9040" w:type="dxa"/>
            <w:vAlign w:val="bottom"/>
          </w:tcPr>
          <w:p>
            <w:pPr>
              <w:ind w:left="80"/>
              <w:spacing w:after="0"/>
              <w:rPr>
                <w:sz w:val="20"/>
                <w:szCs w:val="20"/>
                <w:color w:val="auto"/>
              </w:rPr>
            </w:pPr>
            <w:r>
              <w:rPr>
                <w:rFonts w:ascii="Arial" w:cs="Arial" w:eastAsia="Arial" w:hAnsi="Arial"/>
                <w:sz w:val="18"/>
                <w:szCs w:val="18"/>
                <w:color w:val="auto"/>
              </w:rPr>
              <w:t>Repayment of Certain Funds upon Conversion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9700" w:type="dxa"/>
            <w:vAlign w:val="bottom"/>
          </w:tcPr>
          <w:p>
            <w:pPr>
              <w:ind w:left="4180"/>
              <w:spacing w:after="0"/>
              <w:rPr>
                <w:sz w:val="20"/>
                <w:szCs w:val="20"/>
                <w:color w:val="auto"/>
              </w:rPr>
            </w:pPr>
            <w:r>
              <w:rPr>
                <w:rFonts w:ascii="Arial" w:cs="Arial" w:eastAsia="Arial" w:hAnsi="Arial"/>
                <w:sz w:val="18"/>
                <w:szCs w:val="18"/>
                <w:color w:val="auto"/>
              </w:rPr>
              <w:t>IMPRIMIS PHARMACEUTICALS, INC.</w:t>
            </w:r>
          </w:p>
        </w:tc>
        <w:tc>
          <w:tcPr>
            <w:tcW w:w="1720" w:type="dxa"/>
            <w:vAlign w:val="bottom"/>
          </w:tcPr>
          <w:p>
            <w:pPr>
              <w:spacing w:after="0"/>
              <w:rPr>
                <w:sz w:val="20"/>
                <w:szCs w:val="20"/>
                <w:color w:val="auto"/>
              </w:rPr>
            </w:pPr>
          </w:p>
        </w:tc>
      </w:tr>
      <w:tr>
        <w:trPr>
          <w:trHeight w:val="432"/>
        </w:trPr>
        <w:tc>
          <w:tcPr>
            <w:tcW w:w="9700" w:type="dxa"/>
            <w:vAlign w:val="bottom"/>
          </w:tcPr>
          <w:p>
            <w:pPr>
              <w:ind w:left="660"/>
              <w:spacing w:after="0"/>
              <w:rPr>
                <w:sz w:val="20"/>
                <w:szCs w:val="20"/>
                <w:color w:val="auto"/>
              </w:rPr>
            </w:pPr>
            <w:r>
              <w:rPr>
                <w:rFonts w:ascii="Arial" w:cs="Arial" w:eastAsia="Arial" w:hAnsi="Arial"/>
                <w:sz w:val="18"/>
                <w:szCs w:val="18"/>
                <w:color w:val="auto"/>
                <w:w w:val="97"/>
              </w:rPr>
              <w:t>Certain Sections of this Indenture relating to Sections 310 through 318, inclusive, of the Trust Indenture Act of 1939:</w:t>
            </w:r>
          </w:p>
        </w:tc>
        <w:tc>
          <w:tcPr>
            <w:tcW w:w="1720" w:type="dxa"/>
            <w:vAlign w:val="bottom"/>
          </w:tcPr>
          <w:p>
            <w:pPr>
              <w:spacing w:after="0"/>
              <w:rPr>
                <w:sz w:val="24"/>
                <w:szCs w:val="24"/>
                <w:color w:val="auto"/>
              </w:rPr>
            </w:pPr>
          </w:p>
        </w:tc>
      </w:tr>
      <w:tr>
        <w:trPr>
          <w:trHeight w:val="418"/>
        </w:trPr>
        <w:tc>
          <w:tcPr>
            <w:tcW w:w="9700" w:type="dxa"/>
            <w:vAlign w:val="bottom"/>
          </w:tcPr>
          <w:p>
            <w:pPr>
              <w:spacing w:after="0"/>
              <w:rPr>
                <w:sz w:val="20"/>
                <w:szCs w:val="20"/>
                <w:color w:val="auto"/>
              </w:rPr>
            </w:pPr>
            <w:r>
              <w:rPr>
                <w:rFonts w:ascii="Arial" w:cs="Arial" w:eastAsia="Arial" w:hAnsi="Arial"/>
                <w:sz w:val="18"/>
                <w:szCs w:val="18"/>
                <w:color w:val="auto"/>
              </w:rPr>
              <w:t>Section 310(a) (1)</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(a)(2)</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(a)(3)</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(a)(4)</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6.8, 6.10</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311(a)</w:t>
            </w:r>
          </w:p>
        </w:tc>
        <w:tc>
          <w:tcPr>
            <w:tcW w:w="17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312(a)</w:t>
            </w:r>
          </w:p>
        </w:tc>
        <w:tc>
          <w:tcPr>
            <w:tcW w:w="1720" w:type="dxa"/>
            <w:vAlign w:val="bottom"/>
          </w:tcPr>
          <w:p>
            <w:pPr>
              <w:jc w:val="right"/>
              <w:spacing w:after="0"/>
              <w:rPr>
                <w:sz w:val="20"/>
                <w:szCs w:val="20"/>
                <w:color w:val="auto"/>
              </w:rPr>
            </w:pPr>
            <w:r>
              <w:rPr>
                <w:rFonts w:ascii="Arial" w:cs="Arial" w:eastAsia="Arial" w:hAnsi="Arial"/>
                <w:sz w:val="18"/>
                <w:szCs w:val="18"/>
                <w:color w:val="auto"/>
              </w:rPr>
              <w:t>7.1, 7.2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313(a)</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(d)</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314(a)</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(a)(4)</w:t>
            </w:r>
          </w:p>
        </w:tc>
        <w:tc>
          <w:tcPr>
            <w:tcW w:w="1720" w:type="dxa"/>
            <w:vAlign w:val="bottom"/>
          </w:tcPr>
          <w:p>
            <w:pPr>
              <w:jc w:val="right"/>
              <w:spacing w:after="0"/>
              <w:rPr>
                <w:sz w:val="20"/>
                <w:szCs w:val="20"/>
                <w:color w:val="auto"/>
              </w:rPr>
            </w:pPr>
            <w:r>
              <w:rPr>
                <w:rFonts w:ascii="Arial" w:cs="Arial" w:eastAsia="Arial" w:hAnsi="Arial"/>
                <w:sz w:val="18"/>
                <w:szCs w:val="18"/>
                <w:color w:val="auto"/>
              </w:rPr>
              <w:t>10.1, 10.4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(c)(1)</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(c)(2)</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(c)(3)</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(d)</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(e)</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315(a)</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(d)</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(e)</w:t>
            </w:r>
          </w:p>
        </w:tc>
        <w:tc>
          <w:tcPr>
            <w:tcW w:w="172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316(a)</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(a)(1)(A)</w:t>
            </w:r>
          </w:p>
        </w:tc>
        <w:tc>
          <w:tcPr>
            <w:tcW w:w="1720" w:type="dxa"/>
            <w:vAlign w:val="bottom"/>
          </w:tcPr>
          <w:p>
            <w:pPr>
              <w:jc w:val="right"/>
              <w:spacing w:after="0"/>
              <w:rPr>
                <w:sz w:val="20"/>
                <w:szCs w:val="20"/>
                <w:color w:val="auto"/>
              </w:rPr>
            </w:pPr>
            <w:r>
              <w:rPr>
                <w:rFonts w:ascii="Arial" w:cs="Arial" w:eastAsia="Arial" w:hAnsi="Arial"/>
                <w:sz w:val="18"/>
                <w:szCs w:val="18"/>
                <w:color w:val="auto"/>
              </w:rPr>
              <w:t>5.2, 5.12</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(a)(1)(B)</w:t>
            </w:r>
          </w:p>
        </w:tc>
        <w:tc>
          <w:tcPr>
            <w:tcW w:w="17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(a)(2)</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(c)</w:t>
            </w: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Section 317(a) (1)</w:t>
            </w:r>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(a)(2)</w:t>
            </w: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70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Section 318(a)</w:t>
            </w:r>
          </w:p>
        </w:tc>
        <w:tc>
          <w:tcPr>
            <w:tcW w:w="17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ind w:firstLine="648"/>
        <w:spacing w:after="0" w:line="274" w:lineRule="auto"/>
        <w:rPr>
          <w:sz w:val="20"/>
          <w:szCs w:val="20"/>
          <w:color w:val="auto"/>
        </w:rPr>
      </w:pPr>
      <w:r>
        <w:rPr>
          <w:rFonts w:ascii="Arial" w:cs="Arial" w:eastAsia="Arial" w:hAnsi="Arial"/>
          <w:sz w:val="17"/>
          <w:szCs w:val="17"/>
          <w:color w:val="auto"/>
        </w:rPr>
        <w:t>INDENTURE, dated as of , 20, between IMPRIMIS PHARMACEUTICALS, INC., a corporation duly organized and existing under the laws of the State of Delaware (herein called the “Company”), having its principal executive office at 12264 El Camino Real, Suite 350, San Diego, CA 92130</w:t>
      </w:r>
    </w:p>
    <w:p>
      <w:pPr>
        <w:spacing w:after="0"/>
        <w:tabs>
          <w:tab w:leader="none" w:pos="10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as Trustee (herein called the “Trustee”).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560" w:hanging="255"/>
        <w:spacing w:after="0"/>
        <w:tabs>
          <w:tab w:leader="none" w:pos="1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660" w:firstLine="645"/>
        <w:spacing w:after="0" w:line="277" w:lineRule="auto"/>
        <w:tabs>
          <w:tab w:leader="none" w:pos="15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25" w:lineRule="exact"/>
        <w:rPr>
          <w:rFonts w:ascii="Arial" w:cs="Arial" w:eastAsia="Arial" w:hAnsi="Arial"/>
          <w:sz w:val="18"/>
          <w:szCs w:val="18"/>
          <w:color w:val="auto"/>
        </w:rPr>
      </w:pPr>
    </w:p>
    <w:p>
      <w:pPr>
        <w:ind w:left="660" w:firstLine="645"/>
        <w:spacing w:after="0" w:line="277" w:lineRule="auto"/>
        <w:tabs>
          <w:tab w:leader="none" w:pos="15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5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 when used with respect to any Holder, has the meaning specified in Section 1.4. “Additional Interest” has the meaning specified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5.2(b).</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14.9.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Trust Office” means the corporate trust office of the Trustee at, Attention: Corporate Trust Department, or such other office, designated by the Trustee by written notice to the Company, at which at any particular time its corporate trust business shall be administered.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“corporation” means a corporation, association, company, joint-stock company or business trust. “Covenant Defeasance” has the meaning specified in Section 13.3.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has the meaning specified in Section 1.4.</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 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becomes due and payable as therein or herein provided, whether at the Stated Maturity or by declaration of acceleration, repurchase at the option of the Holder, upon redemption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“Non-electing Share” has the meaning specified in Section 14.9.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1560" w:hanging="25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5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225" w:lineRule="exact"/>
        <w:rPr>
          <w:rFonts w:ascii="Arial" w:cs="Arial" w:eastAsia="Arial" w:hAnsi="Arial"/>
          <w:sz w:val="18"/>
          <w:szCs w:val="18"/>
          <w:color w:val="auto"/>
        </w:rPr>
      </w:pPr>
    </w:p>
    <w:p>
      <w:pPr>
        <w:ind w:left="5660" w:hanging="96"/>
        <w:spacing w:after="0"/>
        <w:tabs>
          <w:tab w:leader="none" w:pos="5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left="660" w:firstLine="645"/>
        <w:spacing w:after="0" w:line="312" w:lineRule="auto"/>
        <w:tabs>
          <w:tab w:leader="none" w:pos="157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 1, (C) the principal amount of a Security denominated in one or more non-U.S. dollar currencies or currency units which shall be deemed to be Outstanding shall be the U.S. dollar equivalent, determined as of such date in the manner provided as contemplated by Section 3. 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ind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 “Security Register” and “Security Registrar” have the respective meanings specified in Section 3.5.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660" w:firstLine="645"/>
        <w:spacing w:after="0" w:line="277" w:lineRule="auto"/>
        <w:tabs>
          <w:tab w:leader="none" w:pos="15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8"/>
          <w:szCs w:val="18"/>
          <w:color w:val="auto"/>
        </w:rPr>
      </w:pPr>
    </w:p>
    <w:p>
      <w:pPr>
        <w:ind w:left="660" w:firstLine="645"/>
        <w:spacing w:after="0" w:line="277" w:lineRule="auto"/>
        <w:tabs>
          <w:tab w:leader="none" w:pos="15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5"/>
        <w:spacing w:after="0" w:line="308" w:lineRule="auto"/>
        <w:tabs>
          <w:tab w:leader="none" w:pos="15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Documents Delivered to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Section 1.4 Acts of Holders; Record Dates.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both"/>
        <w:ind w:firstLine="648"/>
        <w:spacing w:after="0" w:line="297"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jc w:val="both"/>
        <w:ind w:left="660" w:firstLine="645"/>
        <w:spacing w:after="0" w:line="264" w:lineRule="auto"/>
        <w:tabs>
          <w:tab w:leader="none" w:pos="15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shall be sufficient for every purpose hereunder if made, given, furnished or filed in writing (or by facsimile transmissions,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oral confirmation of receipt shall have been received) to or with the Trustee at its Corporate Trust Office, Attention: Corporate Trust Department, or</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Waivers of notice by Holders shall be filed with the Trustee, but such filing shall not be a condition precedent to the validity of any action taken in reliance upon such waiver.</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Conflict with Trust Indenture Act.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Section 1.8 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Legal Holidays.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Indenture and Securities Solely Corporate Obligations.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Indenture May be Executed in 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ectPr>
          <w:pgSz w:w="11900" w:h="16838" w:orient="portrait"/>
          <w:cols w:equalWidth="0" w:num="1">
            <w:col w:w="11420"/>
          </w:cols>
          <w:pgMar w:left="240" w:top="66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CUSIP:______</w:t>
      </w:r>
    </w:p>
    <w:p>
      <w:pPr>
        <w:spacing w:after="0" w:line="200" w:lineRule="exact"/>
        <w:rPr>
          <w:sz w:val="20"/>
          <w:szCs w:val="20"/>
          <w:color w:val="auto"/>
        </w:rPr>
      </w:pPr>
    </w:p>
    <w:p>
      <w:pPr>
        <w:sectPr>
          <w:pgSz w:w="11900" w:h="16838" w:orient="portrait"/>
          <w:cols w:equalWidth="0" w:num="2">
            <w:col w:w="9600" w:space="720"/>
            <w:col w:w="1100"/>
          </w:cols>
          <w:pgMar w:left="240" w:top="661" w:right="239" w:bottom="1440" w:gutter="0" w:footer="0" w:header="0"/>
          <w:type w:val="continuous"/>
        </w:sectPr>
      </w:pPr>
    </w:p>
    <w:p>
      <w:pPr>
        <w:spacing w:after="0" w:line="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IMPRIMIS PHARMACEUTICALS, INC., a corporation duly organized and existing under the laws of Delaware (herein called the “Company,” which term includes any successor Person under the Indenture hereinafter referred to), for value received, hereby promises to pay to , or registered assigns, the principal sum of dollars on [</w:t>
      </w:r>
      <w:r>
        <w:rPr>
          <w:rFonts w:ascii="Arial" w:cs="Arial" w:eastAsia="Arial" w:hAnsi="Arial"/>
          <w:sz w:val="17"/>
          <w:szCs w:val="17"/>
          <w:b w:val="1"/>
          <w:bCs w:val="1"/>
          <w:color w:val="auto"/>
        </w:rPr>
        <w:t>if the Security is to bear interest prior to Maturity, insert —</w:t>
      </w:r>
      <w:r>
        <w:rPr>
          <w:rFonts w:ascii="Arial" w:cs="Arial" w:eastAsia="Arial" w:hAnsi="Arial"/>
          <w:sz w:val="17"/>
          <w:szCs w:val="17"/>
          <w:color w:val="auto"/>
        </w:rPr>
        <w:t xml:space="preserve"> , and to pay interest thereon</w:t>
      </w:r>
    </w:p>
    <w:p>
      <w:pPr>
        <w:sectPr>
          <w:pgSz w:w="11900" w:h="16838" w:orient="portrait"/>
          <w:cols w:equalWidth="0" w:num="1">
            <w:col w:w="11420"/>
          </w:cols>
          <w:pgMar w:left="240" w:top="661" w:right="239" w:bottom="1440" w:gutter="0" w:footer="0" w:header="0"/>
          <w:type w:val="continuous"/>
        </w:sectPr>
      </w:pPr>
    </w:p>
    <w:p>
      <w:pPr>
        <w:jc w:val="both"/>
        <w:ind w:left="600" w:hanging="584"/>
        <w:spacing w:after="0" w:line="281" w:lineRule="auto"/>
        <w:rPr>
          <w:sz w:val="20"/>
          <w:szCs w:val="20"/>
          <w:color w:val="auto"/>
        </w:rPr>
      </w:pPr>
      <w:r>
        <w:rPr>
          <w:rFonts w:ascii="Arial" w:cs="Arial" w:eastAsia="Arial" w:hAnsi="Arial"/>
          <w:sz w:val="16"/>
          <w:szCs w:val="16"/>
          <w:color w:val="auto"/>
        </w:rPr>
        <w:t>from or from the most recent Interest Payment Date to which interest has been paid or duly provided for, semi-annually on and in each year, commencing , at the rate of % per annum, until the principal hereof is paid or made available for payment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5" w:name="page56"/>
    <w:bookmarkEnd w:id="55"/>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not to bear interest prior to Maturity, insert —</w:t>
      </w:r>
      <w:r>
        <w:rPr>
          <w:rFonts w:ascii="Arial" w:cs="Arial" w:eastAsia="Arial" w:hAnsi="Arial"/>
          <w:sz w:val="18"/>
          <w:szCs w:val="18"/>
          <w:color w:val="auto"/>
        </w:rPr>
        <w:t xml:space="preserve">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 of the principal of (and premium, if any) and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any such] interest on this Security will be made at the office or</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payment of public and private debts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Dated: _________</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IMPRIMIS PHARMACEUTICALS, INC.</w:t>
            </w:r>
          </w:p>
        </w:tc>
      </w:tr>
      <w:tr>
        <w:trPr>
          <w:trHeight w:val="453"/>
        </w:trPr>
        <w:tc>
          <w:tcPr>
            <w:tcW w:w="354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453"/>
        </w:trPr>
        <w:tc>
          <w:tcPr>
            <w:tcW w:w="3540" w:type="dxa"/>
            <w:vAlign w:val="bottom"/>
          </w:tcPr>
          <w:p>
            <w:pPr>
              <w:spacing w:after="0"/>
              <w:rPr>
                <w:sz w:val="24"/>
                <w:szCs w:val="24"/>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Title:</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ATTEST:</w:t>
            </w:r>
          </w:p>
        </w:tc>
        <w:tc>
          <w:tcPr>
            <w:tcW w:w="2740" w:type="dxa"/>
            <w:vAlign w:val="bottom"/>
          </w:tcPr>
          <w:p>
            <w:pPr>
              <w:spacing w:after="0"/>
              <w:rPr>
                <w:sz w:val="24"/>
                <w:szCs w:val="24"/>
                <w:color w:val="auto"/>
              </w:rPr>
            </w:pPr>
          </w:p>
        </w:tc>
        <w:tc>
          <w:tcPr>
            <w:tcW w:w="51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36277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Form of Reverse of Security.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series under an Indenture, dated as of (herein called the “Indenture,” which term shall have the meaning assigned to it in such instrument), between the Company and , as Trustee (herein called the “Trustee,” which term includes any successor trustee under the Indenture), and reference is hereby</w:t>
      </w:r>
    </w:p>
    <w:p>
      <w:pPr>
        <w:spacing w:after="0" w:line="281" w:lineRule="auto"/>
        <w:rPr>
          <w:sz w:val="20"/>
          <w:szCs w:val="20"/>
          <w:color w:val="auto"/>
        </w:rPr>
      </w:pPr>
      <w:r>
        <w:rPr>
          <w:rFonts w:ascii="Arial" w:cs="Arial" w:eastAsia="Arial" w:hAnsi="Arial"/>
          <w:sz w:val="16"/>
          <w:szCs w:val="16"/>
          <w:color w:val="auto"/>
        </w:rPr>
        <w:t>made to the Indenture and all indentures supplemental thereto for a statement of the respective rights, limitations of rights, duties and immunities thereunder of the Company, the Trustee and the Holders of the Securities and of the terms upon which the Securities are, and are to be, authenticated and delivered. This</w:t>
      </w:r>
    </w:p>
    <w:p>
      <w:pPr>
        <w:spacing w:after="0" w:line="1" w:lineRule="exact"/>
        <w:rPr>
          <w:sz w:val="20"/>
          <w:szCs w:val="20"/>
          <w:color w:val="auto"/>
        </w:rPr>
      </w:pPr>
    </w:p>
    <w:p>
      <w:pPr>
        <w:spacing w:after="0"/>
        <w:tabs>
          <w:tab w:leader="none" w:pos="9640" w:val="left"/>
        </w:tabs>
        <w:rPr>
          <w:sz w:val="20"/>
          <w:szCs w:val="20"/>
          <w:color w:val="auto"/>
        </w:rPr>
      </w:pPr>
      <w:r>
        <w:rPr>
          <w:rFonts w:ascii="Arial" w:cs="Arial" w:eastAsia="Arial" w:hAnsi="Arial"/>
          <w:sz w:val="17"/>
          <w:szCs w:val="17"/>
          <w:color w:val="auto"/>
        </w:rPr>
        <w:t>Security is one of the series designated on the face hereof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 limited in aggregate principal amount to $</w:t>
      </w:r>
      <w:r>
        <w:rPr>
          <w:sz w:val="20"/>
          <w:szCs w:val="20"/>
          <w:color w:val="auto"/>
        </w:rPr>
        <w:tab/>
      </w:r>
      <w:r>
        <w:rPr>
          <w:rFonts w:ascii="Arial" w:cs="Arial" w:eastAsia="Arial" w:hAnsi="Arial"/>
          <w:sz w:val="17"/>
          <w:szCs w:val="17"/>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The Securities of this series are subject to redemption upon not less than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30] days’ notice by mail, [</w:t>
      </w:r>
      <w:r>
        <w:rPr>
          <w:rFonts w:ascii="Arial" w:cs="Arial" w:eastAsia="Arial" w:hAnsi="Arial"/>
          <w:sz w:val="17"/>
          <w:szCs w:val="17"/>
          <w:b w:val="1"/>
          <w:bCs w:val="1"/>
          <w:color w:val="auto"/>
        </w:rPr>
        <w:t>if</w:t>
      </w:r>
    </w:p>
    <w:p>
      <w:pPr>
        <w:spacing w:after="0" w:line="39"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color w:val="auto"/>
        </w:rPr>
        <w:t xml:space="preserve">applicable, insert— </w:t>
      </w:r>
      <w:r>
        <w:rPr>
          <w:rFonts w:ascii="Arial" w:cs="Arial" w:eastAsia="Arial" w:hAnsi="Arial"/>
          <w:sz w:val="17"/>
          <w:szCs w:val="17"/>
          <w:color w:val="auto"/>
        </w:rPr>
        <w:t>(1) on in any year commencing with the year and ending with the year through operation of the sinking fund for this series at a</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Price equal to 100% of the principal amount, and (2)] at any time [</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on or after , 20 ], as a whole or in part, at the</w:t>
      </w:r>
    </w:p>
    <w:p>
      <w:pPr>
        <w:spacing w:after="0"/>
        <w:rPr>
          <w:sz w:val="20"/>
          <w:szCs w:val="20"/>
          <w:color w:val="auto"/>
        </w:rPr>
      </w:pPr>
      <w:r>
        <w:rPr>
          <w:rFonts w:ascii="Arial" w:cs="Arial" w:eastAsia="Arial" w:hAnsi="Arial"/>
          <w:sz w:val="16"/>
          <w:szCs w:val="16"/>
          <w:color w:val="auto"/>
        </w:rPr>
        <w:t>election of the Company, at the following Redemption Prices (expressed as percentages of the principal amount): If redeemed [</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on 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before</w:t>
            </w:r>
          </w:p>
        </w:tc>
        <w:tc>
          <w:tcPr>
            <w:tcW w:w="10780" w:type="dxa"/>
            <w:vAlign w:val="bottom"/>
          </w:tcPr>
          <w:p>
            <w:pPr>
              <w:jc w:val="right"/>
              <w:ind w:right="4530"/>
              <w:spacing w:after="0"/>
              <w:rPr>
                <w:sz w:val="20"/>
                <w:szCs w:val="20"/>
                <w:color w:val="auto"/>
              </w:rPr>
            </w:pPr>
            <w:r>
              <w:rPr>
                <w:rFonts w:ascii="Arial" w:cs="Arial" w:eastAsia="Arial" w:hAnsi="Arial"/>
                <w:sz w:val="18"/>
                <w:szCs w:val="18"/>
                <w:color w:val="auto"/>
                <w:w w:val="93"/>
              </w:rPr>
              <w:t>, %, and if redeemed] during the 12-month period beginning of the years indicated,</w:t>
            </w:r>
          </w:p>
        </w:tc>
      </w:tr>
      <w:tr>
        <w:trPr>
          <w:trHeight w:val="425"/>
        </w:trPr>
        <w:tc>
          <w:tcPr>
            <w:tcW w:w="64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- 12 -</w:t>
            </w:r>
          </w:p>
        </w:tc>
      </w:tr>
    </w:tbl>
    <w:p>
      <w:pPr>
        <w:sectPr>
          <w:pgSz w:w="11900" w:h="16838" w:orient="portrait"/>
          <w:cols w:equalWidth="0" w:num="1">
            <w:col w:w="11420"/>
          </w:cols>
          <w:pgMar w:left="240" w:top="661" w:right="239" w:bottom="1440" w:gutter="0" w:footer="0" w:header="0"/>
        </w:sectPr>
      </w:pPr>
    </w:p>
    <w:bookmarkStart w:id="56" w:name="page57"/>
    <w:bookmarkEnd w:id="56"/>
    <w:p>
      <w:pPr>
        <w:ind w:left="1900"/>
        <w:spacing w:after="0"/>
        <w:tabs>
          <w:tab w:leader="none" w:pos="3800" w:val="left"/>
          <w:tab w:leader="none" w:pos="6760" w:val="left"/>
          <w:tab w:leader="none" w:pos="8540" w:val="left"/>
        </w:tabs>
        <w:rPr>
          <w:sz w:val="20"/>
          <w:szCs w:val="20"/>
          <w:color w:val="auto"/>
        </w:rPr>
      </w:pPr>
      <w:r>
        <w:rPr>
          <w:rFonts w:ascii="Arial" w:cs="Arial" w:eastAsia="Arial" w:hAnsi="Arial"/>
          <w:sz w:val="18"/>
          <w:szCs w:val="18"/>
          <w:color w:val="auto"/>
        </w:rPr>
        <w:t>Year</w:t>
      </w:r>
      <w:r>
        <w:rPr>
          <w:sz w:val="20"/>
          <w:szCs w:val="20"/>
          <w:color w:val="auto"/>
        </w:rPr>
        <w:tab/>
      </w:r>
      <w:r>
        <w:rPr>
          <w:rFonts w:ascii="Arial" w:cs="Arial" w:eastAsia="Arial" w:hAnsi="Arial"/>
          <w:sz w:val="18"/>
          <w:szCs w:val="18"/>
          <w:color w:val="auto"/>
        </w:rPr>
        <w:t>Redemption Price</w:t>
      </w:r>
      <w:r>
        <w:rPr>
          <w:sz w:val="20"/>
          <w:szCs w:val="20"/>
          <w:color w:val="auto"/>
        </w:rPr>
        <w:tab/>
      </w:r>
      <w:r>
        <w:rPr>
          <w:rFonts w:ascii="Arial" w:cs="Arial" w:eastAsia="Arial" w:hAnsi="Arial"/>
          <w:sz w:val="18"/>
          <w:szCs w:val="18"/>
          <w:color w:val="auto"/>
        </w:rPr>
        <w:t>Year</w:t>
      </w:r>
      <w:r>
        <w:rPr>
          <w:sz w:val="20"/>
          <w:szCs w:val="20"/>
          <w:color w:val="auto"/>
        </w:rPr>
        <w:tab/>
      </w:r>
      <w:r>
        <w:rPr>
          <w:rFonts w:ascii="Arial" w:cs="Arial" w:eastAsia="Arial" w:hAnsi="Arial"/>
          <w:sz w:val="16"/>
          <w:szCs w:val="16"/>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306705</wp:posOffset>
            </wp:positionV>
            <wp:extent cx="57975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The Securities of this series are subject to redemption upon not less than [</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30] days’ notice by mail, (1) on in any year commencing with the year and ending with the year through operation of the sinking fund for this series at the Redemption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Prices for redemption through operation of the sinking fund (expressed as percentages of the principal amount) set forth in the table below, and (2) at any time</w:t>
      </w:r>
    </w:p>
    <w:p>
      <w:pPr>
        <w:spacing w:after="0" w:line="3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Redemption Price For</w:t>
            </w:r>
          </w:p>
        </w:tc>
        <w:tc>
          <w:tcPr>
            <w:tcW w:w="3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Redemption Price For</w:t>
            </w:r>
          </w:p>
        </w:tc>
      </w:t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Redemption Through</w:t>
            </w: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Redemption Otherwise Than Through</w:t>
            </w:r>
          </w:p>
        </w:tc>
      </w:t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Operation of the</w:t>
            </w: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Operation of the</w:t>
            </w:r>
          </w:p>
        </w:tc>
      </w:tr>
      <w:tr>
        <w:trPr>
          <w:trHeight w:val="237"/>
        </w:trPr>
        <w:tc>
          <w:tcPr>
            <w:tcW w:w="2580" w:type="dxa"/>
            <w:vAlign w:val="bottom"/>
            <w:gridSpan w:val="2"/>
          </w:tcPr>
          <w:p>
            <w:pPr>
              <w:ind w:left="980"/>
              <w:spacing w:after="0"/>
              <w:rPr>
                <w:sz w:val="20"/>
                <w:szCs w:val="20"/>
                <w:color w:val="auto"/>
              </w:rPr>
            </w:pPr>
            <w:r>
              <w:rPr>
                <w:rFonts w:ascii="Arial" w:cs="Arial" w:eastAsia="Arial" w:hAnsi="Arial"/>
                <w:sz w:val="18"/>
                <w:szCs w:val="18"/>
                <w:color w:val="auto"/>
              </w:rPr>
              <w:t>Year</w:t>
            </w:r>
          </w:p>
        </w:tc>
        <w:tc>
          <w:tcPr>
            <w:tcW w:w="3280" w:type="dxa"/>
            <w:vAlign w:val="bottom"/>
            <w:gridSpan w:val="2"/>
          </w:tcPr>
          <w:p>
            <w:pPr>
              <w:ind w:left="960"/>
              <w:spacing w:after="0"/>
              <w:rPr>
                <w:sz w:val="20"/>
                <w:szCs w:val="20"/>
                <w:color w:val="auto"/>
              </w:rPr>
            </w:pPr>
            <w:r>
              <w:rPr>
                <w:rFonts w:ascii="Arial" w:cs="Arial" w:eastAsia="Arial" w:hAnsi="Arial"/>
                <w:sz w:val="18"/>
                <w:szCs w:val="18"/>
                <w:color w:val="auto"/>
              </w:rPr>
              <w:t>Sinking Fund</w:t>
            </w:r>
          </w:p>
        </w:tc>
        <w:tc>
          <w:tcPr>
            <w:tcW w:w="3260" w:type="dxa"/>
            <w:vAlign w:val="bottom"/>
            <w:gridSpan w:val="2"/>
          </w:tcPr>
          <w:p>
            <w:pPr>
              <w:ind w:left="1100"/>
              <w:spacing w:after="0"/>
              <w:rPr>
                <w:sz w:val="20"/>
                <w:szCs w:val="20"/>
                <w:color w:val="auto"/>
              </w:rPr>
            </w:pPr>
            <w:r>
              <w:rPr>
                <w:rFonts w:ascii="Arial" w:cs="Arial" w:eastAsia="Arial" w:hAnsi="Arial"/>
                <w:sz w:val="18"/>
                <w:szCs w:val="18"/>
                <w:color w:val="auto"/>
              </w:rPr>
              <w:t>Sinking Fund</w:t>
            </w:r>
          </w:p>
        </w:tc>
      </w:tr>
      <w:tr>
        <w:trPr>
          <w:trHeight w:val="216"/>
        </w:trPr>
        <w:tc>
          <w:tcPr>
            <w:tcW w:w="2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3"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Notwithstanding the foregoing, the Company may not, prior to , redeem any Securities of this series as contemplated by [</w:t>
      </w:r>
      <w:r>
        <w:rPr>
          <w:rFonts w:ascii="Arial" w:cs="Arial" w:eastAsia="Arial" w:hAnsi="Arial"/>
          <w:sz w:val="16"/>
          <w:szCs w:val="16"/>
          <w:b w:val="1"/>
          <w:bCs w:val="1"/>
          <w:color w:val="auto"/>
        </w:rPr>
        <w:t>if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applicable, insert— </w:t>
      </w:r>
      <w:r>
        <w:rPr>
          <w:rFonts w:ascii="Arial" w:cs="Arial" w:eastAsia="Arial" w:hAnsi="Arial"/>
          <w:sz w:val="16"/>
          <w:szCs w:val="16"/>
          <w:color w:val="auto"/>
        </w:rPr>
        <w:t>clause (2) of] the preceding paragraph as a part of, or in anticipation of, any refunding operation by the application, directly or indirectly,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of moneys borrowed having an interest cost to the Company (calculated in accordance with generally accepted financial practice) of less than % per annum.]</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The sinking fund for this series provides for the redemption on in each year beginning with the year and ending with the year of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not less than $ (“mandatory sinking fund”) and not more than] $ aggregate principal amount of Securities of this series. Securities of this series acquired or redeemed by the Company otherwise than through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 in the inverse order in which they become due].]</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1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convertible into other securities of the Company, specify the conversion features.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57" w:name="page58"/>
    <w:bookmarkEnd w:id="57"/>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an Original Issue Discount Security, insert —</w:t>
      </w:r>
      <w:r>
        <w:rPr>
          <w:rFonts w:ascii="Arial" w:cs="Arial" w:eastAsia="Arial" w:hAnsi="Arial"/>
          <w:sz w:val="16"/>
          <w:szCs w:val="16"/>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w:t>
      </w:r>
      <w:r>
        <w:rPr>
          <w:rFonts w:ascii="Arial" w:cs="Arial" w:eastAsia="Arial" w:hAnsi="Arial"/>
          <w:sz w:val="18"/>
          <w:szCs w:val="18"/>
          <w:b w:val="1"/>
          <w:bCs w:val="1"/>
          <w:color w:val="auto"/>
        </w:rPr>
        <w:t>— 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jc w:val="both"/>
        <w:ind w:firstLine="648"/>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Form of Legend for Global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Form of 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Authorized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IMPRIMIS PHARMACEUTICALS,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Signature(s) must be guaranteed by an eligible guarantor institution (banks,</w:t>
      </w:r>
    </w:p>
    <w:p>
      <w:pPr>
        <w:spacing w:after="0" w:line="35" w:lineRule="exact"/>
        <w:rPr>
          <w:sz w:val="20"/>
          <w:szCs w:val="20"/>
          <w:color w:val="auto"/>
        </w:rPr>
      </w:pPr>
    </w:p>
    <w:p>
      <w:pPr>
        <w:ind w:left="5720"/>
        <w:spacing w:after="0"/>
        <w:tabs>
          <w:tab w:leader="none" w:pos="6220" w:val="left"/>
          <w:tab w:leader="none" w:pos="6960" w:val="left"/>
          <w:tab w:leader="none" w:pos="7640" w:val="left"/>
          <w:tab w:leader="none" w:pos="8040" w:val="left"/>
          <w:tab w:leader="none" w:pos="8480" w:val="left"/>
          <w:tab w:leader="none" w:pos="9500" w:val="left"/>
          <w:tab w:leader="none" w:pos="9900" w:val="left"/>
          <w:tab w:leader="none" w:pos="10460" w:val="left"/>
          <w:tab w:leader="none" w:pos="11080" w:val="left"/>
        </w:tabs>
        <w:rPr>
          <w:sz w:val="20"/>
          <w:szCs w:val="20"/>
          <w:color w:val="auto"/>
        </w:rPr>
      </w:pPr>
      <w:r>
        <w:rPr>
          <w:rFonts w:ascii="Arial" w:cs="Arial" w:eastAsia="Arial" w:hAnsi="Arial"/>
          <w:sz w:val="18"/>
          <w:szCs w:val="18"/>
          <w:color w:val="auto"/>
        </w:rPr>
        <w:t>stock</w:t>
        <w:tab/>
        <w:t>brokers,</w:t>
        <w:tab/>
        <w:t>savings</w:t>
        <w:tab/>
        <w:t>and</w:t>
        <w:tab/>
        <w:t>loan</w:t>
        <w:tab/>
        <w:t>associations</w:t>
        <w:tab/>
        <w:t>and</w:t>
        <w:tab/>
        <w:t>credit</w:t>
        <w:tab/>
        <w:t>unions</w:t>
      </w:r>
      <w:r>
        <w:rPr>
          <w:sz w:val="20"/>
          <w:szCs w:val="20"/>
          <w:color w:val="auto"/>
        </w:rPr>
        <w:tab/>
      </w:r>
      <w:r>
        <w:rPr>
          <w:rFonts w:ascii="Arial" w:cs="Arial" w:eastAsia="Arial" w:hAnsi="Arial"/>
          <w:sz w:val="17"/>
          <w:szCs w:val="17"/>
          <w:color w:val="auto"/>
        </w:rPr>
        <w:t>with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membership in an approved signature guarantee medallion program) pursuant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 Securities and Exchange Commission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8170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4817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81" w:lineRule="exact"/>
        <w:rPr>
          <w:sz w:val="20"/>
          <w:szCs w:val="20"/>
          <w:color w:val="auto"/>
        </w:rPr>
      </w:pPr>
    </w:p>
    <w:p>
      <w:pPr>
        <w:ind w:left="1560" w:hanging="255"/>
        <w:spacing w:after="0"/>
        <w:tabs>
          <w:tab w:leader="none" w:pos="15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Securities of any other series);</w:t>
      </w:r>
    </w:p>
    <w:p>
      <w:pPr>
        <w:spacing w:after="0" w:line="236" w:lineRule="exact"/>
        <w:rPr>
          <w:rFonts w:ascii="Arial" w:cs="Arial" w:eastAsia="Arial" w:hAnsi="Arial"/>
          <w:sz w:val="17"/>
          <w:szCs w:val="17"/>
          <w:color w:val="auto"/>
        </w:rPr>
      </w:pPr>
    </w:p>
    <w:p>
      <w:pPr>
        <w:jc w:val="both"/>
        <w:ind w:left="660" w:firstLine="645"/>
        <w:spacing w:after="0" w:line="259" w:lineRule="auto"/>
        <w:tabs>
          <w:tab w:leader="none" w:pos="15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left="5620" w:hanging="101"/>
        <w:spacing w:after="0"/>
        <w:tabs>
          <w:tab w:leader="none" w:pos="5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firstLine="645"/>
        <w:spacing w:after="0" w:line="277" w:lineRule="auto"/>
        <w:tabs>
          <w:tab w:leader="none" w:pos="9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70" w:lineRule="exact"/>
        <w:rPr>
          <w:rFonts w:ascii="Arial" w:cs="Arial" w:eastAsia="Arial" w:hAnsi="Arial"/>
          <w:sz w:val="18"/>
          <w:szCs w:val="18"/>
          <w:color w:val="auto"/>
        </w:rPr>
      </w:pPr>
    </w:p>
    <w:p>
      <w:pPr>
        <w:ind w:left="900" w:hanging="25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firstLine="645"/>
        <w:spacing w:after="0" w:line="264" w:lineRule="auto"/>
        <w:tabs>
          <w:tab w:leader="none" w:pos="9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81" w:lineRule="exact"/>
        <w:rPr>
          <w:rFonts w:ascii="Arial" w:cs="Arial" w:eastAsia="Arial" w:hAnsi="Arial"/>
          <w:sz w:val="18"/>
          <w:szCs w:val="18"/>
          <w:color w:val="auto"/>
        </w:rPr>
      </w:pPr>
    </w:p>
    <w:p>
      <w:pPr>
        <w:ind w:left="900" w:hanging="25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jc w:val="both"/>
        <w:ind w:firstLine="645"/>
        <w:spacing w:after="0" w:line="264" w:lineRule="auto"/>
        <w:tabs>
          <w:tab w:leader="none" w:pos="9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jc w:val="both"/>
        <w:ind w:firstLine="645"/>
        <w:spacing w:after="0" w:line="286" w:lineRule="auto"/>
        <w:tabs>
          <w:tab w:leader="none" w:pos="92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900" w:hanging="25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firstLine="645"/>
        <w:spacing w:after="0" w:line="277" w:lineRule="auto"/>
        <w:tabs>
          <w:tab w:leader="none" w:pos="9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firstLine="645"/>
        <w:spacing w:after="0" w:line="264" w:lineRule="auto"/>
        <w:tabs>
          <w:tab w:leader="none" w:pos="9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81" w:lineRule="exact"/>
        <w:rPr>
          <w:rFonts w:ascii="Arial" w:cs="Arial" w:eastAsia="Arial" w:hAnsi="Arial"/>
          <w:sz w:val="18"/>
          <w:szCs w:val="18"/>
          <w:color w:val="auto"/>
        </w:rPr>
      </w:pPr>
    </w:p>
    <w:p>
      <w:pPr>
        <w:jc w:val="both"/>
        <w:ind w:firstLine="645"/>
        <w:spacing w:after="0" w:line="257" w:lineRule="auto"/>
        <w:tabs>
          <w:tab w:leader="none" w:pos="10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8" w:lineRule="exact"/>
        <w:rPr>
          <w:rFonts w:ascii="Arial" w:cs="Arial" w:eastAsia="Arial" w:hAnsi="Arial"/>
          <w:sz w:val="18"/>
          <w:szCs w:val="18"/>
          <w:color w:val="auto"/>
        </w:rPr>
      </w:pPr>
    </w:p>
    <w:p>
      <w:pPr>
        <w:ind w:firstLine="645"/>
        <w:spacing w:after="0" w:line="277" w:lineRule="auto"/>
        <w:tabs>
          <w:tab w:leader="none" w:pos="10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rFonts w:ascii="Arial" w:cs="Arial" w:eastAsia="Arial" w:hAnsi="Arial"/>
          <w:sz w:val="18"/>
          <w:szCs w:val="18"/>
          <w:color w:val="auto"/>
        </w:rPr>
      </w:pPr>
    </w:p>
    <w:p>
      <w:pPr>
        <w:jc w:val="both"/>
        <w:ind w:firstLine="645"/>
        <w:spacing w:after="0" w:line="257" w:lineRule="auto"/>
        <w:tabs>
          <w:tab w:leader="none" w:pos="10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ind w:left="4960" w:hanging="101"/>
        <w:spacing w:after="0"/>
        <w:tabs>
          <w:tab w:leader="none" w:pos="4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61" w:name="page62"/>
    <w:bookmarkEnd w:id="61"/>
    <w:p>
      <w:pPr>
        <w:jc w:val="both"/>
        <w:ind w:left="660" w:firstLine="645"/>
        <w:spacing w:after="0" w:line="264" w:lineRule="auto"/>
        <w:tabs>
          <w:tab w:leader="none" w:pos="16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1" w:lineRule="exact"/>
        <w:rPr>
          <w:rFonts w:ascii="Arial" w:cs="Arial" w:eastAsia="Arial" w:hAnsi="Arial"/>
          <w:sz w:val="18"/>
          <w:szCs w:val="18"/>
          <w:color w:val="auto"/>
        </w:rPr>
      </w:pPr>
    </w:p>
    <w:p>
      <w:pPr>
        <w:ind w:left="660" w:firstLine="645"/>
        <w:spacing w:after="0" w:line="277" w:lineRule="auto"/>
        <w:tabs>
          <w:tab w:leader="none" w:pos="16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93" w:lineRule="exact"/>
        <w:rPr>
          <w:rFonts w:ascii="Arial" w:cs="Arial" w:eastAsia="Arial" w:hAnsi="Arial"/>
          <w:sz w:val="18"/>
          <w:szCs w:val="18"/>
          <w:color w:val="auto"/>
        </w:rPr>
      </w:pPr>
    </w:p>
    <w:p>
      <w:pPr>
        <w:ind w:left="660" w:firstLine="645"/>
        <w:spacing w:after="0" w:line="308" w:lineRule="auto"/>
        <w:tabs>
          <w:tab w:leader="none" w:pos="1673"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640" w:hanging="335"/>
        <w:spacing w:after="0"/>
        <w:tabs>
          <w:tab w:leader="none" w:pos="1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6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left="660" w:firstLine="645"/>
        <w:spacing w:after="0" w:line="277" w:lineRule="auto"/>
        <w:tabs>
          <w:tab w:leader="none" w:pos="16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660" w:firstLine="645"/>
        <w:spacing w:after="0" w:line="277" w:lineRule="auto"/>
        <w:tabs>
          <w:tab w:leader="none" w:pos="16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applicable, the terms of any guaranties for the Securities and any circumstances under which there may be additional obligors on the Securities; and</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9.1(5)).</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Denominations.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 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89" w:lineRule="exact"/>
        <w:rPr>
          <w:sz w:val="20"/>
          <w:szCs w:val="20"/>
          <w:color w:val="auto"/>
        </w:rPr>
      </w:pPr>
    </w:p>
    <w:p>
      <w:pPr>
        <w:ind w:left="660" w:firstLine="645"/>
        <w:spacing w:after="0" w:line="277" w:lineRule="auto"/>
        <w:tabs>
          <w:tab w:leader="none" w:pos="15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 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firstLine="645"/>
        <w:spacing w:after="0" w:line="277" w:lineRule="auto"/>
        <w:tabs>
          <w:tab w:leader="none" w:pos="15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 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8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3" w:name="page64"/>
    <w:bookmarkEnd w:id="63"/>
    <w:p>
      <w:pPr>
        <w:jc w:val="both"/>
        <w:ind w:firstLine="648"/>
        <w:spacing w:after="0" w:line="286" w:lineRule="auto"/>
        <w:rPr>
          <w:sz w:val="20"/>
          <w:szCs w:val="20"/>
          <w:color w:val="auto"/>
        </w:rPr>
      </w:pPr>
      <w:r>
        <w:rPr>
          <w:rFonts w:ascii="Arial" w:cs="Arial" w:eastAsia="Arial" w:hAnsi="Arial"/>
          <w:sz w:val="17"/>
          <w:szCs w:val="17"/>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jc w:val="both"/>
        <w:ind w:firstLine="648"/>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jc w:val="both"/>
        <w:ind w:left="660" w:right="20" w:firstLine="645"/>
        <w:spacing w:after="0" w:line="264" w:lineRule="auto"/>
        <w:tabs>
          <w:tab w:leader="none" w:pos="15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602"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5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7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Mutilated, Destroyed, Lost and Stolen Securities.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Payment of Interest; Interest Rights Preserved.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jc w:val="both"/>
        <w:ind w:left="660" w:firstLine="645"/>
        <w:spacing w:after="0" w:line="286" w:lineRule="auto"/>
        <w:tabs>
          <w:tab w:leader="none" w:pos="15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1" w:lineRule="exact"/>
        <w:rPr>
          <w:rFonts w:ascii="Arial" w:cs="Arial" w:eastAsia="Arial" w:hAnsi="Arial"/>
          <w:sz w:val="16"/>
          <w:szCs w:val="16"/>
          <w:color w:val="auto"/>
        </w:rPr>
      </w:pPr>
    </w:p>
    <w:p>
      <w:pPr>
        <w:jc w:val="both"/>
        <w:ind w:left="660" w:firstLine="645"/>
        <w:spacing w:after="0" w:line="259" w:lineRule="auto"/>
        <w:tabs>
          <w:tab w:leader="none" w:pos="15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both"/>
        <w:ind w:firstLine="648"/>
        <w:spacing w:after="0" w:line="291" w:lineRule="auto"/>
        <w:rPr>
          <w:sz w:val="20"/>
          <w:szCs w:val="20"/>
          <w:color w:val="auto"/>
        </w:rPr>
      </w:pPr>
      <w:r>
        <w:rPr>
          <w:rFonts w:ascii="Arial" w:cs="Arial" w:eastAsia="Arial" w:hAnsi="Arial"/>
          <w:sz w:val="16"/>
          <w:szCs w:val="16"/>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Satisfaction and Discharge of Indenture.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1" w:lineRule="exact"/>
        <w:rPr>
          <w:sz w:val="20"/>
          <w:szCs w:val="20"/>
          <w:color w:val="auto"/>
        </w:rPr>
      </w:pPr>
    </w:p>
    <w:p>
      <w:pPr>
        <w:ind w:left="1560" w:hanging="255"/>
        <w:spacing w:after="0"/>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980" w:firstLine="649"/>
        <w:spacing w:after="0" w:line="259" w:lineRule="auto"/>
        <w:tabs>
          <w:tab w:leader="none" w:pos="19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6" w:lineRule="exact"/>
        <w:rPr>
          <w:rFonts w:ascii="Arial" w:cs="Arial" w:eastAsia="Arial" w:hAnsi="Arial"/>
          <w:sz w:val="18"/>
          <w:szCs w:val="18"/>
          <w:color w:val="auto"/>
        </w:rPr>
      </w:pPr>
    </w:p>
    <w:p>
      <w:pPr>
        <w:ind w:left="5620" w:hanging="101"/>
        <w:spacing w:after="0"/>
        <w:tabs>
          <w:tab w:leader="none" w:pos="56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ind w:left="1920" w:hanging="291"/>
        <w:spacing w:after="0"/>
        <w:tabs>
          <w:tab w:leader="none" w:pos="1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980" w:firstLine="973"/>
        <w:spacing w:after="0" w:line="277" w:lineRule="auto"/>
        <w:tabs>
          <w:tab w:leader="none" w:pos="229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560" w:hanging="255"/>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5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Application of Trust Money.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provided that such series shall not have the benefit of said Event of Default:</w:t>
      </w:r>
    </w:p>
    <w:p>
      <w:pPr>
        <w:spacing w:after="0" w:line="171" w:lineRule="exact"/>
        <w:rPr>
          <w:sz w:val="20"/>
          <w:szCs w:val="20"/>
          <w:color w:val="auto"/>
        </w:rPr>
      </w:pPr>
    </w:p>
    <w:p>
      <w:pPr>
        <w:ind w:left="660" w:firstLine="645"/>
        <w:spacing w:after="0" w:line="277" w:lineRule="auto"/>
        <w:tabs>
          <w:tab w:leader="none" w:pos="15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60 days; or</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jc w:val="both"/>
        <w:ind w:left="660" w:firstLine="645"/>
        <w:spacing w:after="0" w:line="273" w:lineRule="auto"/>
        <w:tabs>
          <w:tab w:leader="none" w:pos="15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15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9" w:lineRule="exact"/>
        <w:rPr>
          <w:rFonts w:ascii="Arial" w:cs="Arial" w:eastAsia="Arial" w:hAnsi="Arial"/>
          <w:sz w:val="18"/>
          <w:szCs w:val="18"/>
          <w:color w:val="auto"/>
        </w:rPr>
      </w:pPr>
    </w:p>
    <w:p>
      <w:pPr>
        <w:jc w:val="both"/>
        <w:ind w:left="660" w:firstLine="645"/>
        <w:spacing w:after="0" w:line="253" w:lineRule="auto"/>
        <w:tabs>
          <w:tab w:leader="none" w:pos="157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7" w:lineRule="exact"/>
        <w:rPr>
          <w:rFonts w:ascii="Arial" w:cs="Arial" w:eastAsia="Arial" w:hAnsi="Arial"/>
          <w:sz w:val="18"/>
          <w:szCs w:val="18"/>
          <w:color w:val="auto"/>
        </w:rPr>
      </w:pPr>
    </w:p>
    <w:p>
      <w:pPr>
        <w:ind w:left="660" w:right="20" w:firstLine="645"/>
        <w:spacing w:after="0" w:line="277" w:lineRule="auto"/>
        <w:tabs>
          <w:tab w:leader="none" w:pos="15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Acceleration of Maturity; Rescission and Annulment.</w:t>
      </w:r>
    </w:p>
    <w:p>
      <w:pPr>
        <w:spacing w:after="0" w:line="229" w:lineRule="exact"/>
        <w:rPr>
          <w:sz w:val="20"/>
          <w:szCs w:val="20"/>
          <w:color w:val="auto"/>
        </w:rPr>
      </w:pPr>
    </w:p>
    <w:p>
      <w:pPr>
        <w:jc w:val="both"/>
        <w:ind w:firstLine="656"/>
        <w:spacing w:after="0" w:line="287" w:lineRule="auto"/>
        <w:tabs>
          <w:tab w:leader="none" w:pos="9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w:t>
      </w:r>
    </w:p>
    <w:p>
      <w:pPr>
        <w:spacing w:after="0" w:line="172" w:lineRule="exact"/>
        <w:rPr>
          <w:rFonts w:ascii="Arial" w:cs="Arial" w:eastAsia="Arial" w:hAnsi="Arial"/>
          <w:sz w:val="16"/>
          <w:szCs w:val="16"/>
          <w:color w:val="auto"/>
        </w:rPr>
      </w:pPr>
    </w:p>
    <w:p>
      <w:pPr>
        <w:ind w:left="5620" w:hanging="101"/>
        <w:spacing w:after="0"/>
        <w:tabs>
          <w:tab w:leader="none" w:pos="5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9" w:name="page70"/>
    <w:bookmarkEnd w:id="69"/>
    <w:p>
      <w:pPr>
        <w:jc w:val="both"/>
        <w:ind w:firstLine="656"/>
        <w:spacing w:after="0" w:line="269" w:lineRule="auto"/>
        <w:tabs>
          <w:tab w:leader="none" w:pos="931"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 st day after such Reporting Default (if such violation is not cured or waived prior to such 181 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3" w:lineRule="exact"/>
        <w:rPr>
          <w:sz w:val="20"/>
          <w:szCs w:val="20"/>
          <w:color w:val="auto"/>
        </w:rPr>
      </w:pPr>
    </w:p>
    <w:p>
      <w:pPr>
        <w:jc w:val="both"/>
        <w:ind w:firstLine="656"/>
        <w:spacing w:after="0" w:line="312" w:lineRule="auto"/>
        <w:tabs>
          <w:tab w:leader="none" w:pos="904" w:val="left"/>
        </w:tabs>
        <w:numPr>
          <w:ilvl w:val="0"/>
          <w:numId w:val="54"/>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6" w:lineRule="exact"/>
        <w:rPr>
          <w:rFonts w:ascii="Arial" w:cs="Arial" w:eastAsia="Arial" w:hAnsi="Arial"/>
          <w:sz w:val="16"/>
          <w:szCs w:val="16"/>
          <w:color w:val="auto"/>
        </w:rPr>
      </w:pPr>
    </w:p>
    <w:p>
      <w:pPr>
        <w:ind w:left="1560" w:hanging="255"/>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980" w:firstLine="649"/>
        <w:spacing w:after="0" w:line="277" w:lineRule="auto"/>
        <w:tabs>
          <w:tab w:leader="none" w:pos="1921"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980" w:right="20" w:firstLine="649"/>
        <w:spacing w:after="0" w:line="277" w:lineRule="auto"/>
        <w:tabs>
          <w:tab w:leader="none" w:pos="1926"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170" w:lineRule="exact"/>
        <w:rPr>
          <w:rFonts w:ascii="Arial" w:cs="Arial" w:eastAsia="Arial" w:hAnsi="Arial"/>
          <w:sz w:val="18"/>
          <w:szCs w:val="18"/>
          <w:color w:val="auto"/>
        </w:rPr>
      </w:pPr>
    </w:p>
    <w:p>
      <w:pPr>
        <w:ind w:left="980" w:firstLine="649"/>
        <w:spacing w:after="0" w:line="277" w:lineRule="auto"/>
        <w:tabs>
          <w:tab w:leader="none" w:pos="1925" w:val="left"/>
        </w:tabs>
        <w:numPr>
          <w:ilvl w:val="2"/>
          <w:numId w:val="54"/>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58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5"/>
        <w:spacing w:after="0" w:line="277" w:lineRule="auto"/>
        <w:tabs>
          <w:tab w:leader="none" w:pos="15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5620" w:hanging="101"/>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jc w:val="both"/>
        <w:ind w:left="660" w:firstLine="645"/>
        <w:spacing w:after="0" w:line="255" w:lineRule="auto"/>
        <w:tabs>
          <w:tab w:leader="none" w:pos="15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5.6 Application of Money Collected.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Limitation on Suits.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such Holder has previously given written notice to the Trustee of a continuing Event of Default with respect to the Securities of that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right="20" w:firstLine="645"/>
        <w:spacing w:after="0" w:line="277" w:lineRule="auto"/>
        <w:tabs>
          <w:tab w:leader="none" w:pos="15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5"/>
        <w:spacing w:after="0" w:line="277" w:lineRule="auto"/>
        <w:tabs>
          <w:tab w:leader="none" w:pos="15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left="660" w:firstLine="645"/>
        <w:spacing w:after="0" w:line="277" w:lineRule="auto"/>
        <w:tabs>
          <w:tab w:leader="none" w:pos="1566"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Unconditional Right of Holders to Receive Principal, Premium and Interest and to Convert.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5.9 Restoration of Rights and Remedies.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660" w:right="20" w:firstLine="645"/>
        <w:spacing w:after="0" w:line="308" w:lineRule="auto"/>
        <w:tabs>
          <w:tab w:leader="none" w:pos="1582"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which is not inconsistent with such direction or this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jc w:val="both"/>
        <w:ind w:left="660" w:firstLine="645"/>
        <w:spacing w:after="0" w:line="264" w:lineRule="auto"/>
        <w:tabs>
          <w:tab w:leader="none" w:pos="15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660" w:firstLine="645"/>
        <w:spacing w:after="0" w:line="277" w:lineRule="auto"/>
        <w:tabs>
          <w:tab w:leader="none" w:pos="15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Section 5.15 Waiver of Usury, Stay or Extension 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Notice of Defaults.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which is, or after notice or lapse of time or both would become, an Event of Default with respect to Securities of such series.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with respect to Section 10. 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Section 6.3 Certain Rights of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left="660" w:firstLine="645"/>
        <w:spacing w:after="0" w:line="312" w:lineRule="auto"/>
        <w:tabs>
          <w:tab w:leader="none" w:pos="15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20" w:firstLine="645"/>
        <w:spacing w:after="0" w:line="277" w:lineRule="auto"/>
        <w:tabs>
          <w:tab w:leader="none" w:pos="15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181" w:lineRule="exact"/>
        <w:rPr>
          <w:rFonts w:ascii="Arial" w:cs="Arial" w:eastAsia="Arial" w:hAnsi="Arial"/>
          <w:sz w:val="18"/>
          <w:szCs w:val="18"/>
          <w:color w:val="auto"/>
        </w:rPr>
      </w:pPr>
    </w:p>
    <w:p>
      <w:pPr>
        <w:ind w:left="660" w:right="20" w:firstLine="645"/>
        <w:spacing w:after="0" w:line="308" w:lineRule="auto"/>
        <w:tabs>
          <w:tab w:leader="none" w:pos="158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left="660" w:firstLine="645"/>
        <w:spacing w:after="0" w:line="264" w:lineRule="auto"/>
        <w:tabs>
          <w:tab w:leader="none" w:pos="15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Not Responsible for Recitals or Issuance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May Hold Securities and Act as Trustee under Other Indentures.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5" w:name="page76"/>
    <w:bookmarkEnd w:id="75"/>
    <w:p>
      <w:pPr>
        <w:jc w:val="both"/>
        <w:ind w:firstLine="648"/>
        <w:spacing w:after="0" w:line="264"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Money Held in Trust.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firstLine="645"/>
        <w:spacing w:after="0" w:line="277" w:lineRule="auto"/>
        <w:tabs>
          <w:tab w:leader="none" w:pos="156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564"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Conflicting Interests.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6.9 Corporate Trustee Required; Eligibility.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5"/>
        <w:spacing w:after="0" w:line="277" w:lineRule="auto"/>
        <w:tabs>
          <w:tab w:leader="none" w:pos="15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firstLine="645"/>
        <w:spacing w:after="0" w:line="277" w:lineRule="auto"/>
        <w:tabs>
          <w:tab w:leader="none" w:pos="15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jc w:val="both"/>
        <w:ind w:firstLine="648"/>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such predecessor Trustee, with the full force and effect which this Indenture provides for the certificate of authentication of the Trustee.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Authenticating Officer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both"/>
        <w:ind w:left="660" w:firstLine="645"/>
        <w:spacing w:after="0" w:line="264" w:lineRule="auto"/>
        <w:tabs>
          <w:tab w:leader="none" w:pos="15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5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list need be furnished by the Company to the Trustee so long as the Trustee is acting as Security Registrar.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Preservation of Information; Communications to 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Reports by Trustee.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0" w:name="page81"/>
    <w:bookmarkEnd w:id="80"/>
    <w:p>
      <w:pPr>
        <w:jc w:val="both"/>
        <w:ind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Reports by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Company May Consolidate, etc., Only on Certain Terms.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1" w:lineRule="exact"/>
        <w:rPr>
          <w:sz w:val="20"/>
          <w:szCs w:val="20"/>
          <w:color w:val="auto"/>
        </w:rPr>
      </w:pPr>
    </w:p>
    <w:p>
      <w:pPr>
        <w:jc w:val="both"/>
        <w:ind w:left="660" w:firstLine="645"/>
        <w:spacing w:after="0" w:line="269" w:lineRule="auto"/>
        <w:tabs>
          <w:tab w:leader="none" w:pos="1576"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 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82" w:lineRule="exact"/>
        <w:rPr>
          <w:rFonts w:ascii="Arial" w:cs="Arial" w:eastAsia="Arial" w:hAnsi="Arial"/>
          <w:sz w:val="17"/>
          <w:szCs w:val="17"/>
          <w:color w:val="auto"/>
        </w:rPr>
      </w:pPr>
    </w:p>
    <w:p>
      <w:pPr>
        <w:jc w:val="both"/>
        <w:ind w:left="660" w:firstLine="645"/>
        <w:spacing w:after="0" w:line="312" w:lineRule="auto"/>
        <w:tabs>
          <w:tab w:leader="none" w:pos="1573" w:val="left"/>
        </w:tabs>
        <w:numPr>
          <w:ilvl w:val="0"/>
          <w:numId w:val="6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6" w:lineRule="exact"/>
        <w:rPr>
          <w:rFonts w:ascii="Arial" w:cs="Arial" w:eastAsia="Arial" w:hAnsi="Arial"/>
          <w:sz w:val="16"/>
          <w:szCs w:val="16"/>
          <w:color w:val="auto"/>
        </w:rPr>
      </w:pPr>
    </w:p>
    <w:p>
      <w:pPr>
        <w:jc w:val="both"/>
        <w:ind w:left="660" w:firstLine="645"/>
        <w:spacing w:after="0" w:line="286" w:lineRule="auto"/>
        <w:tabs>
          <w:tab w:leader="none" w:pos="1587"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65" w:lineRule="exact"/>
        <w:rPr>
          <w:rFonts w:ascii="Arial" w:cs="Arial" w:eastAsia="Arial" w:hAnsi="Arial"/>
          <w:sz w:val="17"/>
          <w:szCs w:val="17"/>
          <w:color w:val="auto"/>
        </w:rPr>
      </w:pPr>
    </w:p>
    <w:p>
      <w:pPr>
        <w:ind w:left="5620" w:hanging="101"/>
        <w:spacing w:after="0"/>
        <w:tabs>
          <w:tab w:leader="none" w:pos="5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8.2 Successor Substituted.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Supplemental Indentures Without Consent of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ind w:left="660" w:right="20" w:firstLine="645"/>
        <w:spacing w:after="0" w:line="277" w:lineRule="auto"/>
        <w:tabs>
          <w:tab w:leader="none" w:pos="157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79"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jc w:val="both"/>
        <w:ind w:left="660" w:firstLine="645"/>
        <w:spacing w:after="0" w:line="288" w:lineRule="auto"/>
        <w:tabs>
          <w:tab w:leader="none" w:pos="1576"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to add to, change or eliminate any of the provisions of this Indenture in respect of one or more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ind w:left="940" w:hanging="284"/>
        <w:spacing w:after="0"/>
        <w:tabs>
          <w:tab w:leader="none" w:pos="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210" w:lineRule="exact"/>
        <w:rPr>
          <w:rFonts w:ascii="Arial" w:cs="Arial" w:eastAsia="Arial" w:hAnsi="Arial"/>
          <w:sz w:val="18"/>
          <w:szCs w:val="18"/>
          <w:color w:val="auto"/>
        </w:rPr>
      </w:pPr>
    </w:p>
    <w:p>
      <w:pPr>
        <w:ind w:left="1560" w:hanging="255"/>
        <w:spacing w:after="0"/>
        <w:tabs>
          <w:tab w:leader="none" w:pos="15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to secure the Securities, including provisions regarding the circumstances under which collateral may be released or substituted; or</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58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2" w:name="page83"/>
    <w:bookmarkEnd w:id="82"/>
    <w:p>
      <w:pPr>
        <w:jc w:val="both"/>
        <w:ind w:left="660" w:firstLine="645"/>
        <w:spacing w:after="0" w:line="286" w:lineRule="auto"/>
        <w:tabs>
          <w:tab w:leader="none" w:pos="1661"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16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Supplemental Indentures with Consent of Holders.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3" w:lineRule="exact"/>
        <w:rPr>
          <w:sz w:val="20"/>
          <w:szCs w:val="20"/>
          <w:color w:val="auto"/>
        </w:rPr>
      </w:pPr>
    </w:p>
    <w:p>
      <w:pPr>
        <w:jc w:val="both"/>
        <w:ind w:left="660" w:firstLine="645"/>
        <w:spacing w:after="0" w:line="254" w:lineRule="auto"/>
        <w:tabs>
          <w:tab w:leader="none" w:pos="1581"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92"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8" w:lineRule="exact"/>
        <w:rPr>
          <w:rFonts w:ascii="Arial" w:cs="Arial" w:eastAsia="Arial" w:hAnsi="Arial"/>
          <w:sz w:val="18"/>
          <w:szCs w:val="18"/>
          <w:color w:val="auto"/>
        </w:rPr>
      </w:pPr>
    </w:p>
    <w:p>
      <w:pPr>
        <w:ind w:left="660" w:firstLine="645"/>
        <w:spacing w:after="0" w:line="277" w:lineRule="auto"/>
        <w:tabs>
          <w:tab w:leader="none" w:pos="1574"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applicable, make any change that adversely affects the right to convert any security as provided in Article 14 or pursuant to Section 3.1 (except as permitted by Section 9.1(9)).</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3" w:name="page84"/>
    <w:bookmarkEnd w:id="83"/>
    <w:p>
      <w:pPr>
        <w:jc w:val="both"/>
        <w:ind w:right="2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Execution of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Effect of Supplemental Indentures.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Reference in Securities to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Payment of Principal, Premium and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Maintenance of Office or Agency.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jc w:val="both"/>
        <w:ind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Money for Securities Payments To Be Held in Trust.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Statement by Officers as to Default.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Section 10.5 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Maintenance of Properties.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Payment of Taxes and Other Claims.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Waiver of Certain Covenants.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Section 11.2 Election to Redeem; Notice to Trustee.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Selection by Trustee of Securities to Be Redeemed.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Notice of Redemption.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of redemption shall be given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60" w:hanging="255"/>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jc w:val="both"/>
        <w:ind w:left="660" w:firstLine="645"/>
        <w:spacing w:after="0" w:line="259" w:lineRule="auto"/>
        <w:tabs>
          <w:tab w:leader="none" w:pos="15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5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the Security, the Holder of such Security will receive, without charge, a new Security or Securities of authorized denominations for the principal amount thereof remaining unredeemed;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5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660" w:firstLine="645"/>
        <w:spacing w:after="0" w:line="342" w:lineRule="auto"/>
        <w:tabs>
          <w:tab w:leader="none" w:pos="157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applicable, the conversion price or the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560" w:hanging="255"/>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Deposit of Redemption Price.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Securities Payable on Redemption Date.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jc w:val="both"/>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Securities Redeemed in Part.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Satisfaction of Sinking Fund Payments with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Redemption of Securities for Sinking Fund.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Company’s Option to Effect Defeasance or Covenant Defeasance.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13.2 Defeasance and Discharge.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78" w:lineRule="exact"/>
        <w:rPr>
          <w:sz w:val="20"/>
          <w:szCs w:val="20"/>
          <w:color w:val="auto"/>
        </w:rPr>
      </w:pPr>
    </w:p>
    <w:p>
      <w:pPr>
        <w:ind w:left="660" w:firstLine="645"/>
        <w:spacing w:after="0" w:line="277" w:lineRule="auto"/>
        <w:tabs>
          <w:tab w:leader="none" w:pos="15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Company’s obligations with respect to such Securities under Sections 3.4, 3.5, 3.6, 10.2 and 10.3, and, if applicable, Article 14,</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13.3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248" w:lineRule="exact"/>
        <w:rPr>
          <w:sz w:val="20"/>
          <w:szCs w:val="20"/>
          <w:color w:val="auto"/>
        </w:rPr>
      </w:pPr>
    </w:p>
    <w:p>
      <w:pPr>
        <w:ind w:left="660" w:firstLine="645"/>
        <w:spacing w:after="0" w:line="277" w:lineRule="auto"/>
        <w:tabs>
          <w:tab w:leader="none" w:pos="15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 and</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occurrence of any event specified in Section 5.1(4) (with respect to any of Sections 10.6 and 10.7 and any such covenants provided pursuant to Section 3.1(19), 9.1(2) or 9.1(7)) and the occurrence of any other Event of Default specified pursuant to Section 3.1 shall be deemed not to be or result in an Event of Default,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each case with respect to such Securities or any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other Event of Default specified pursuant to Section 3. 1),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Section 13.4 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jc w:val="both"/>
        <w:ind w:left="660" w:firstLine="645"/>
        <w:spacing w:after="0" w:line="259" w:lineRule="auto"/>
        <w:tabs>
          <w:tab w:leader="none" w:pos="15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1920" w:hanging="291"/>
        <w:spacing w:after="0"/>
        <w:tabs>
          <w:tab w:leader="none" w:pos="19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213" w:val="left"/>
        </w:tabs>
        <w:numPr>
          <w:ilvl w:val="2"/>
          <w:numId w:val="73"/>
        </w:numPr>
        <w:rPr>
          <w:rFonts w:ascii="Arial" w:cs="Arial" w:eastAsia="Arial" w:hAnsi="Arial"/>
          <w:sz w:val="18"/>
          <w:szCs w:val="18"/>
          <w:color w:val="auto"/>
        </w:rPr>
      </w:pPr>
      <w:r>
        <w:rPr>
          <w:rFonts w:ascii="Arial" w:cs="Arial" w:eastAsia="Arial" w:hAnsi="Arial"/>
          <w:sz w:val="18"/>
          <w:szCs w:val="18"/>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rFonts w:ascii="Arial" w:cs="Arial" w:eastAsia="Arial" w:hAnsi="Arial"/>
          <w:sz w:val="18"/>
          <w:szCs w:val="18"/>
          <w:color w:val="auto"/>
        </w:rPr>
      </w:pPr>
    </w:p>
    <w:p>
      <w:pPr>
        <w:ind w:left="1300" w:right="780" w:firstLine="653"/>
        <w:spacing w:after="0" w:line="342" w:lineRule="auto"/>
        <w:tabs>
          <w:tab w:leader="none" w:pos="2213" w:val="left"/>
        </w:tabs>
        <w:numPr>
          <w:ilvl w:val="2"/>
          <w:numId w:val="73"/>
        </w:numPr>
        <w:rPr>
          <w:rFonts w:ascii="Arial" w:cs="Arial" w:eastAsia="Arial" w:hAnsi="Arial"/>
          <w:sz w:val="16"/>
          <w:szCs w:val="16"/>
          <w:color w:val="auto"/>
        </w:rPr>
      </w:pPr>
      <w:r>
        <w:rPr>
          <w:rFonts w:ascii="Arial" w:cs="Arial" w:eastAsia="Arial" w:hAnsi="Arial"/>
          <w:sz w:val="16"/>
          <w:szCs w:val="16"/>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23" w:lineRule="exact"/>
        <w:rPr>
          <w:rFonts w:ascii="Arial" w:cs="Arial" w:eastAsia="Arial" w:hAnsi="Arial"/>
          <w:sz w:val="16"/>
          <w:szCs w:val="16"/>
          <w:color w:val="auto"/>
        </w:rPr>
      </w:pPr>
    </w:p>
    <w:p>
      <w:pPr>
        <w:ind w:left="2260" w:hanging="307"/>
        <w:spacing w:after="0"/>
        <w:tabs>
          <w:tab w:leader="none" w:pos="22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47" w:lineRule="exact"/>
        <w:rPr>
          <w:sz w:val="20"/>
          <w:szCs w:val="20"/>
          <w:color w:val="auto"/>
        </w:rPr>
      </w:pPr>
    </w:p>
    <w:p>
      <w:pPr>
        <w:jc w:val="both"/>
        <w:ind w:left="660" w:firstLine="645"/>
        <w:spacing w:after="0" w:line="255" w:lineRule="auto"/>
        <w:tabs>
          <w:tab w:leader="none" w:pos="156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9" w:lineRule="exact"/>
        <w:rPr>
          <w:rFonts w:ascii="Arial" w:cs="Arial" w:eastAsia="Arial" w:hAnsi="Arial"/>
          <w:sz w:val="18"/>
          <w:szCs w:val="18"/>
          <w:color w:val="auto"/>
        </w:rPr>
      </w:pPr>
    </w:p>
    <w:p>
      <w:pPr>
        <w:ind w:left="5620" w:hanging="101"/>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1" w:name="page92"/>
    <w:bookmarkEnd w:id="91"/>
    <w:p>
      <w:pPr>
        <w:jc w:val="both"/>
        <w:ind w:left="660" w:firstLine="645"/>
        <w:spacing w:after="0" w:line="257" w:lineRule="auto"/>
        <w:tabs>
          <w:tab w:leader="none" w:pos="15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Arial" w:cs="Arial" w:eastAsia="Arial" w:hAnsi="Arial"/>
          <w:sz w:val="18"/>
          <w:szCs w:val="18"/>
          <w:color w:val="auto"/>
        </w:rPr>
      </w:pPr>
    </w:p>
    <w:p>
      <w:pPr>
        <w:ind w:left="660" w:firstLine="645"/>
        <w:spacing w:after="0" w:line="277" w:lineRule="auto"/>
        <w:tabs>
          <w:tab w:leader="none" w:pos="159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jc w:val="both"/>
        <w:ind w:left="660" w:firstLine="645"/>
        <w:spacing w:after="0" w:line="291" w:lineRule="auto"/>
        <w:tabs>
          <w:tab w:leader="none" w:pos="1578"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(6), at any time on or prior to the 90th day after the date of such deposit (it being understood that this condition shall not be deemed satisfied until after such 90th day).</w:t>
      </w:r>
    </w:p>
    <w:p>
      <w:pPr>
        <w:spacing w:after="0" w:line="183" w:lineRule="exact"/>
        <w:rPr>
          <w:rFonts w:ascii="Arial" w:cs="Arial" w:eastAsia="Arial" w:hAnsi="Arial"/>
          <w:sz w:val="16"/>
          <w:szCs w:val="16"/>
          <w:color w:val="auto"/>
        </w:rPr>
      </w:pPr>
    </w:p>
    <w:p>
      <w:pPr>
        <w:ind w:left="660" w:firstLine="645"/>
        <w:spacing w:after="0" w:line="277" w:lineRule="auto"/>
        <w:tabs>
          <w:tab w:leader="none" w:pos="15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56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660" w:firstLine="645"/>
        <w:spacing w:after="0" w:line="342" w:lineRule="auto"/>
        <w:tabs>
          <w:tab w:leader="none" w:pos="1583"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23" w:lineRule="exact"/>
        <w:rPr>
          <w:rFonts w:ascii="Arial" w:cs="Arial" w:eastAsia="Arial" w:hAnsi="Arial"/>
          <w:sz w:val="16"/>
          <w:szCs w:val="16"/>
          <w:color w:val="auto"/>
        </w:rPr>
      </w:pPr>
    </w:p>
    <w:p>
      <w:pPr>
        <w:ind w:left="660" w:right="20" w:firstLine="645"/>
        <w:spacing w:after="0" w:line="277" w:lineRule="auto"/>
        <w:tabs>
          <w:tab w:leader="none" w:pos="15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 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Section 13.6 Reinstatement.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 Applicability of Article.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14.2 Exercise of Conversion Privilege.</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 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Section 14.3 No Fractional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or quoted on the principal exchange or market on which the Common Stock is then traded or quoted.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14.4 Adjustment of Conversion Price or Conversion Rate.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 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mailed, first class postage prepaid, to each Holder of Securities of such series at its address appearing on the Security Register and to any conversion agent other than the Trustee.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14.5 Notice of Certain Corporate Actions. In case:</w:t>
      </w:r>
    </w:p>
    <w:p>
      <w:pPr>
        <w:spacing w:after="0" w:line="229" w:lineRule="exact"/>
        <w:rPr>
          <w:sz w:val="20"/>
          <w:szCs w:val="20"/>
          <w:color w:val="auto"/>
        </w:rPr>
      </w:pPr>
    </w:p>
    <w:p>
      <w:pPr>
        <w:jc w:val="both"/>
        <w:ind w:left="660" w:firstLine="645"/>
        <w:spacing w:after="0" w:line="264" w:lineRule="auto"/>
        <w:tabs>
          <w:tab w:leader="none" w:pos="15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4" w:name="page95"/>
    <w:bookmarkEnd w:id="94"/>
    <w:p>
      <w:pPr>
        <w:jc w:val="both"/>
        <w:ind w:left="660" w:firstLine="645"/>
        <w:spacing w:after="0" w:line="259" w:lineRule="auto"/>
        <w:tabs>
          <w:tab w:leader="none" w:pos="1586"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 (4) of the voluntary or involuntary dissolution, liquidation or winding up of the Company;</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w:t>
      </w:r>
    </w:p>
    <w:p>
      <w:pPr>
        <w:jc w:val="both"/>
        <w:ind w:firstLine="8"/>
        <w:spacing w:after="0" w:line="290" w:lineRule="auto"/>
        <w:tabs>
          <w:tab w:leader="none" w:pos="21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14.6 Reservation of Shares of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14.7 Payment of Certain Taxes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14.8 Nonassessability.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Section 14.9 Provision in Case of Consolidation, Merger or Sale of Assets.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 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14.10 Duties of Trustee Regarding Conversion.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 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14.11 Repayment of Certain Funds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23495</wp:posOffset>
            </wp:positionV>
            <wp:extent cx="32588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23495</wp:posOffset>
            </wp:positionV>
            <wp:extent cx="32588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80"/>
          </w:cols>
          <w:pgMar w:left="900" w:top="665" w:right="131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4.2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IMPRIMIS PHARMACEUTICALS, INC.</w:t>
      </w: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18097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DATED AS OF ________, 20__</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100" w:type="dxa"/>
            <w:vAlign w:val="bottom"/>
          </w:tcPr>
          <w:p>
            <w:pPr>
              <w:ind w:left="30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9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DEFINITIONS AND OTHER PROVISIONS OF GENERAL APPLICATION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1.1</w:t>
            </w:r>
          </w:p>
        </w:tc>
        <w:tc>
          <w:tcPr>
            <w:tcW w:w="910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1.3</w:t>
            </w:r>
          </w:p>
        </w:tc>
        <w:tc>
          <w:tcPr>
            <w:tcW w:w="9100" w:type="dxa"/>
            <w:vAlign w:val="bottom"/>
          </w:tcPr>
          <w:p>
            <w:pPr>
              <w:ind w:left="14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Acts of Holders; Record Dates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1.5</w:t>
            </w:r>
          </w:p>
        </w:tc>
        <w:tc>
          <w:tcPr>
            <w:tcW w:w="9100" w:type="dxa"/>
            <w:vAlign w:val="bottom"/>
          </w:tcPr>
          <w:p>
            <w:pPr>
              <w:ind w:left="14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 to Holders; Waiver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1.7</w:t>
            </w:r>
          </w:p>
        </w:tc>
        <w:tc>
          <w:tcPr>
            <w:tcW w:w="9100" w:type="dxa"/>
            <w:vAlign w:val="bottom"/>
          </w:tcPr>
          <w:p>
            <w:pPr>
              <w:ind w:left="14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1.8</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1.9</w:t>
            </w:r>
          </w:p>
        </w:tc>
        <w:tc>
          <w:tcPr>
            <w:tcW w:w="910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1.10</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Separability Clause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1.11</w:t>
            </w:r>
          </w:p>
        </w:tc>
        <w:tc>
          <w:tcPr>
            <w:tcW w:w="9100" w:type="dxa"/>
            <w:vAlign w:val="bottom"/>
          </w:tcPr>
          <w:p>
            <w:pPr>
              <w:ind w:left="140"/>
              <w:spacing w:after="0"/>
              <w:rPr>
                <w:sz w:val="20"/>
                <w:szCs w:val="20"/>
                <w:color w:val="auto"/>
              </w:rPr>
            </w:pPr>
            <w:r>
              <w:rPr>
                <w:rFonts w:ascii="Arial" w:cs="Arial" w:eastAsia="Arial" w:hAnsi="Arial"/>
                <w:sz w:val="18"/>
                <w:szCs w:val="18"/>
                <w:color w:val="auto"/>
              </w:rPr>
              <w:t>Benefits of Indenture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1.12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Governing Law</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1.13</w:t>
            </w:r>
          </w:p>
        </w:tc>
        <w:tc>
          <w:tcPr>
            <w:tcW w:w="9100" w:type="dxa"/>
            <w:vAlign w:val="bottom"/>
          </w:tcPr>
          <w:p>
            <w:pPr>
              <w:ind w:left="140"/>
              <w:spacing w:after="0"/>
              <w:rPr>
                <w:sz w:val="20"/>
                <w:szCs w:val="20"/>
                <w:color w:val="auto"/>
              </w:rPr>
            </w:pPr>
            <w:r>
              <w:rPr>
                <w:rFonts w:ascii="Arial" w:cs="Arial" w:eastAsia="Arial" w:hAnsi="Arial"/>
                <w:sz w:val="18"/>
                <w:szCs w:val="18"/>
                <w:color w:val="auto"/>
              </w:rPr>
              <w:t>Legal Holidays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1.14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Indenture and Securities Solely Corporate Obligations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1.15</w:t>
            </w:r>
          </w:p>
        </w:tc>
        <w:tc>
          <w:tcPr>
            <w:tcW w:w="9100" w:type="dxa"/>
            <w:vAlign w:val="bottom"/>
          </w:tcPr>
          <w:p>
            <w:pPr>
              <w:ind w:left="140"/>
              <w:spacing w:after="0"/>
              <w:rPr>
                <w:sz w:val="20"/>
                <w:szCs w:val="20"/>
                <w:color w:val="auto"/>
              </w:rPr>
            </w:pPr>
            <w:r>
              <w:rPr>
                <w:rFonts w:ascii="Arial" w:cs="Arial" w:eastAsia="Arial" w:hAnsi="Arial"/>
                <w:sz w:val="18"/>
                <w:szCs w:val="18"/>
                <w:color w:val="auto"/>
              </w:rPr>
              <w:t>Indenture May be Executed in Counterparts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2</w:t>
            </w:r>
          </w:p>
        </w:tc>
        <w:tc>
          <w:tcPr>
            <w:tcW w:w="9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FORMS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2.1</w:t>
            </w:r>
          </w:p>
        </w:tc>
        <w:tc>
          <w:tcPr>
            <w:tcW w:w="9100" w:type="dxa"/>
            <w:vAlign w:val="bottom"/>
          </w:tcPr>
          <w:p>
            <w:pPr>
              <w:ind w:left="140"/>
              <w:spacing w:after="0"/>
              <w:rPr>
                <w:sz w:val="20"/>
                <w:szCs w:val="20"/>
                <w:color w:val="auto"/>
              </w:rPr>
            </w:pPr>
            <w:r>
              <w:rPr>
                <w:rFonts w:ascii="Arial" w:cs="Arial" w:eastAsia="Arial" w:hAnsi="Arial"/>
                <w:sz w:val="18"/>
                <w:szCs w:val="18"/>
                <w:color w:val="auto"/>
              </w:rPr>
              <w:t>Forms Generally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Face of Security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2.3</w:t>
            </w:r>
          </w:p>
        </w:tc>
        <w:tc>
          <w:tcPr>
            <w:tcW w:w="9100" w:type="dxa"/>
            <w:vAlign w:val="bottom"/>
          </w:tcPr>
          <w:p>
            <w:pPr>
              <w:ind w:left="140"/>
              <w:spacing w:after="0"/>
              <w:rPr>
                <w:sz w:val="20"/>
                <w:szCs w:val="20"/>
                <w:color w:val="auto"/>
              </w:rPr>
            </w:pPr>
            <w:r>
              <w:rPr>
                <w:rFonts w:ascii="Arial" w:cs="Arial" w:eastAsia="Arial" w:hAnsi="Arial"/>
                <w:sz w:val="18"/>
                <w:szCs w:val="18"/>
                <w:color w:val="auto"/>
              </w:rPr>
              <w:t>Form of Reverse of Security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2.5</w:t>
            </w:r>
          </w:p>
        </w:tc>
        <w:tc>
          <w:tcPr>
            <w:tcW w:w="9100" w:type="dxa"/>
            <w:vAlign w:val="bottom"/>
          </w:tcPr>
          <w:p>
            <w:pPr>
              <w:ind w:left="14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Conversion Notice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3</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THE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3.2</w:t>
            </w:r>
          </w:p>
        </w:tc>
        <w:tc>
          <w:tcPr>
            <w:tcW w:w="9100" w:type="dxa"/>
            <w:vAlign w:val="bottom"/>
          </w:tcPr>
          <w:p>
            <w:pPr>
              <w:ind w:left="140"/>
              <w:spacing w:after="0"/>
              <w:rPr>
                <w:sz w:val="20"/>
                <w:szCs w:val="20"/>
                <w:color w:val="auto"/>
              </w:rPr>
            </w:pPr>
            <w:r>
              <w:rPr>
                <w:rFonts w:ascii="Arial" w:cs="Arial" w:eastAsia="Arial" w:hAnsi="Arial"/>
                <w:sz w:val="18"/>
                <w:szCs w:val="18"/>
                <w:color w:val="auto"/>
              </w:rPr>
              <w:t>Denominations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3.4</w:t>
            </w:r>
          </w:p>
        </w:tc>
        <w:tc>
          <w:tcPr>
            <w:tcW w:w="910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3.6</w:t>
            </w:r>
          </w:p>
        </w:tc>
        <w:tc>
          <w:tcPr>
            <w:tcW w:w="9100" w:type="dxa"/>
            <w:vAlign w:val="bottom"/>
          </w:tcPr>
          <w:p>
            <w:pPr>
              <w:ind w:left="14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3.7</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3.8</w:t>
            </w:r>
          </w:p>
        </w:tc>
        <w:tc>
          <w:tcPr>
            <w:tcW w:w="9100" w:type="dxa"/>
            <w:vAlign w:val="bottom"/>
          </w:tcPr>
          <w:p>
            <w:pPr>
              <w:ind w:left="140"/>
              <w:spacing w:after="0"/>
              <w:rPr>
                <w:sz w:val="20"/>
                <w:szCs w:val="20"/>
                <w:color w:val="auto"/>
              </w:rPr>
            </w:pPr>
            <w:r>
              <w:rPr>
                <w:rFonts w:ascii="Arial" w:cs="Arial" w:eastAsia="Arial" w:hAnsi="Arial"/>
                <w:sz w:val="18"/>
                <w:szCs w:val="18"/>
                <w:color w:val="auto"/>
              </w:rPr>
              <w:t>Persons Deemed Owners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3.9</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3.10</w:t>
            </w:r>
          </w:p>
        </w:tc>
        <w:tc>
          <w:tcPr>
            <w:tcW w:w="9100" w:type="dxa"/>
            <w:vAlign w:val="bottom"/>
          </w:tcPr>
          <w:p>
            <w:pPr>
              <w:ind w:left="140"/>
              <w:spacing w:after="0"/>
              <w:rPr>
                <w:sz w:val="20"/>
                <w:szCs w:val="20"/>
                <w:color w:val="auto"/>
              </w:rPr>
            </w:pPr>
            <w:r>
              <w:rPr>
                <w:rFonts w:ascii="Arial" w:cs="Arial" w:eastAsia="Arial" w:hAnsi="Arial"/>
                <w:sz w:val="18"/>
                <w:szCs w:val="18"/>
                <w:color w:val="auto"/>
              </w:rPr>
              <w:t>Computation of Interest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9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SATISFACTION AND DISCHARGE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4.1</w:t>
            </w:r>
          </w:p>
        </w:tc>
        <w:tc>
          <w:tcPr>
            <w:tcW w:w="9100" w:type="dxa"/>
            <w:vAlign w:val="bottom"/>
          </w:tcPr>
          <w:p>
            <w:pPr>
              <w:ind w:left="14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4.2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Application of Trust Money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ARTICLE 5</w:t>
            </w:r>
          </w:p>
        </w:tc>
        <w:tc>
          <w:tcPr>
            <w:tcW w:w="9700" w:type="dxa"/>
            <w:vAlign w:val="bottom"/>
            <w:gridSpan w:val="2"/>
          </w:tcPr>
          <w:p>
            <w:pPr>
              <w:ind w:left="180"/>
              <w:spacing w:after="0"/>
              <w:rPr>
                <w:sz w:val="20"/>
                <w:szCs w:val="20"/>
                <w:color w:val="auto"/>
              </w:rPr>
            </w:pPr>
            <w:r>
              <w:rPr>
                <w:rFonts w:ascii="Arial" w:cs="Arial" w:eastAsia="Arial" w:hAnsi="Arial"/>
                <w:sz w:val="18"/>
                <w:szCs w:val="18"/>
                <w:color w:val="auto"/>
              </w:rPr>
              <w:t>REMEDIES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Events of Default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5.2</w:t>
            </w:r>
          </w:p>
        </w:tc>
        <w:tc>
          <w:tcPr>
            <w:tcW w:w="9100" w:type="dxa"/>
            <w:vAlign w:val="bottom"/>
          </w:tcPr>
          <w:p>
            <w:pPr>
              <w:ind w:left="14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5.4</w:t>
            </w:r>
          </w:p>
        </w:tc>
        <w:tc>
          <w:tcPr>
            <w:tcW w:w="9100" w:type="dxa"/>
            <w:vAlign w:val="bottom"/>
          </w:tcPr>
          <w:p>
            <w:pPr>
              <w:ind w:left="14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5.6</w:t>
            </w:r>
          </w:p>
        </w:tc>
        <w:tc>
          <w:tcPr>
            <w:tcW w:w="9100" w:type="dxa"/>
            <w:vAlign w:val="bottom"/>
          </w:tcPr>
          <w:p>
            <w:pPr>
              <w:ind w:left="140"/>
              <w:spacing w:after="0"/>
              <w:rPr>
                <w:sz w:val="20"/>
                <w:szCs w:val="20"/>
                <w:color w:val="auto"/>
              </w:rPr>
            </w:pPr>
            <w:r>
              <w:rPr>
                <w:rFonts w:ascii="Arial" w:cs="Arial" w:eastAsia="Arial" w:hAnsi="Arial"/>
                <w:sz w:val="18"/>
                <w:szCs w:val="18"/>
                <w:color w:val="auto"/>
              </w:rPr>
              <w:t>Application of Money Collected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5.7</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Limitation on Suits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Section 5.8</w:t>
            </w:r>
          </w:p>
        </w:tc>
        <w:tc>
          <w:tcPr>
            <w:tcW w:w="9100" w:type="dxa"/>
            <w:vAlign w:val="bottom"/>
          </w:tcPr>
          <w:p>
            <w:pPr>
              <w:ind w:left="14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5.9</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5.10</w:t>
            </w:r>
          </w:p>
        </w:tc>
        <w:tc>
          <w:tcPr>
            <w:tcW w:w="9100" w:type="dxa"/>
            <w:vAlign w:val="bottom"/>
          </w:tcPr>
          <w:p>
            <w:pPr>
              <w:ind w:left="140"/>
              <w:spacing w:after="0"/>
              <w:rPr>
                <w:sz w:val="20"/>
                <w:szCs w:val="20"/>
                <w:color w:val="auto"/>
              </w:rPr>
            </w:pPr>
            <w:r>
              <w:rPr>
                <w:rFonts w:ascii="Arial" w:cs="Arial" w:eastAsia="Arial" w:hAnsi="Arial"/>
                <w:sz w:val="18"/>
                <w:szCs w:val="18"/>
                <w:color w:val="auto"/>
              </w:rPr>
              <w:t>Rights and Remedies Cumulative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5.11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Delay or Omission Not Waiver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5.12</w:t>
            </w:r>
          </w:p>
        </w:tc>
        <w:tc>
          <w:tcPr>
            <w:tcW w:w="9100" w:type="dxa"/>
            <w:vAlign w:val="bottom"/>
          </w:tcPr>
          <w:p>
            <w:pPr>
              <w:ind w:left="140"/>
              <w:spacing w:after="0"/>
              <w:rPr>
                <w:sz w:val="20"/>
                <w:szCs w:val="20"/>
                <w:color w:val="auto"/>
              </w:rPr>
            </w:pPr>
            <w:r>
              <w:rPr>
                <w:rFonts w:ascii="Arial" w:cs="Arial" w:eastAsia="Arial" w:hAnsi="Arial"/>
                <w:sz w:val="18"/>
                <w:szCs w:val="18"/>
                <w:color w:val="auto"/>
              </w:rPr>
              <w:t>Control by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Section 5.13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Waiver of Past Defaults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w w:val="99"/>
              </w:rPr>
              <w:t>Section 5.14</w:t>
            </w:r>
          </w:p>
        </w:tc>
        <w:tc>
          <w:tcPr>
            <w:tcW w:w="9100" w:type="dxa"/>
            <w:vAlign w:val="bottom"/>
          </w:tcPr>
          <w:p>
            <w:pPr>
              <w:ind w:left="140"/>
              <w:spacing w:after="0"/>
              <w:rPr>
                <w:sz w:val="20"/>
                <w:szCs w:val="20"/>
                <w:color w:val="auto"/>
              </w:rPr>
            </w:pPr>
            <w:r>
              <w:rPr>
                <w:rFonts w:ascii="Arial" w:cs="Arial" w:eastAsia="Arial" w:hAnsi="Arial"/>
                <w:sz w:val="18"/>
                <w:szCs w:val="18"/>
                <w:color w:val="auto"/>
              </w:rPr>
              <w:t>Undertaking for Costs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100" w:type="dxa"/>
            <w:vAlign w:val="bottom"/>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5.15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Waiver of Usury, Stay or Extension Laws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6</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THE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Duties and Responsibilities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6.2</w:t>
            </w:r>
          </w:p>
        </w:tc>
        <w:tc>
          <w:tcPr>
            <w:tcW w:w="9100" w:type="dxa"/>
            <w:vAlign w:val="bottom"/>
          </w:tcPr>
          <w:p>
            <w:pPr>
              <w:ind w:left="140"/>
              <w:spacing w:after="0"/>
              <w:rPr>
                <w:sz w:val="20"/>
                <w:szCs w:val="20"/>
                <w:color w:val="auto"/>
              </w:rPr>
            </w:pPr>
            <w:r>
              <w:rPr>
                <w:rFonts w:ascii="Arial" w:cs="Arial" w:eastAsia="Arial" w:hAnsi="Arial"/>
                <w:sz w:val="18"/>
                <w:szCs w:val="18"/>
                <w:color w:val="auto"/>
              </w:rPr>
              <w:t>Notice of Defaults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Rights of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6.4</w:t>
            </w:r>
          </w:p>
        </w:tc>
        <w:tc>
          <w:tcPr>
            <w:tcW w:w="9100" w:type="dxa"/>
            <w:vAlign w:val="bottom"/>
          </w:tcPr>
          <w:p>
            <w:pPr>
              <w:ind w:left="140"/>
              <w:spacing w:after="0"/>
              <w:rPr>
                <w:sz w:val="20"/>
                <w:szCs w:val="20"/>
                <w:color w:val="auto"/>
              </w:rPr>
            </w:pPr>
            <w:r>
              <w:rPr>
                <w:rFonts w:ascii="Arial" w:cs="Arial" w:eastAsia="Arial" w:hAnsi="Arial"/>
                <w:sz w:val="18"/>
                <w:szCs w:val="18"/>
                <w:color w:val="auto"/>
              </w:rPr>
              <w:t>Not Responsible for Recitals or Issuance of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May Hold Securities and Act as Trustee under Other Indentures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6.6</w:t>
            </w:r>
          </w:p>
        </w:tc>
        <w:tc>
          <w:tcPr>
            <w:tcW w:w="9100" w:type="dxa"/>
            <w:vAlign w:val="bottom"/>
          </w:tcPr>
          <w:p>
            <w:pPr>
              <w:ind w:left="140"/>
              <w:spacing w:after="0"/>
              <w:rPr>
                <w:sz w:val="20"/>
                <w:szCs w:val="20"/>
                <w:color w:val="auto"/>
              </w:rPr>
            </w:pPr>
            <w:r>
              <w:rPr>
                <w:rFonts w:ascii="Arial" w:cs="Arial" w:eastAsia="Arial" w:hAnsi="Arial"/>
                <w:sz w:val="18"/>
                <w:szCs w:val="18"/>
                <w:color w:val="auto"/>
              </w:rPr>
              <w:t>Money Held in Trust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6.7</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Reimbursement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6.8</w:t>
            </w:r>
          </w:p>
        </w:tc>
        <w:tc>
          <w:tcPr>
            <w:tcW w:w="9100" w:type="dxa"/>
            <w:vAlign w:val="bottom"/>
          </w:tcPr>
          <w:p>
            <w:pPr>
              <w:ind w:left="140"/>
              <w:spacing w:after="0"/>
              <w:rPr>
                <w:sz w:val="20"/>
                <w:szCs w:val="20"/>
                <w:color w:val="auto"/>
              </w:rPr>
            </w:pPr>
            <w:r>
              <w:rPr>
                <w:rFonts w:ascii="Arial" w:cs="Arial" w:eastAsia="Arial" w:hAnsi="Arial"/>
                <w:sz w:val="18"/>
                <w:szCs w:val="18"/>
                <w:color w:val="auto"/>
              </w:rPr>
              <w:t>Conflicting Interests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6.9</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Trustee Required; Eligibility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6.10</w:t>
            </w:r>
          </w:p>
        </w:tc>
        <w:tc>
          <w:tcPr>
            <w:tcW w:w="9100" w:type="dxa"/>
            <w:vAlign w:val="bottom"/>
          </w:tcPr>
          <w:p>
            <w:pPr>
              <w:ind w:left="140"/>
              <w:spacing w:after="0"/>
              <w:rPr>
                <w:sz w:val="20"/>
                <w:szCs w:val="20"/>
                <w:color w:val="auto"/>
              </w:rPr>
            </w:pPr>
            <w:r>
              <w:rPr>
                <w:rFonts w:ascii="Arial" w:cs="Arial" w:eastAsia="Arial" w:hAnsi="Arial"/>
                <w:sz w:val="18"/>
                <w:szCs w:val="18"/>
                <w:color w:val="auto"/>
              </w:rPr>
              <w:t>Resignation and Removal; Appointment of Successor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6.11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Acceptance of Appointment by Successor</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6.12</w:t>
            </w:r>
          </w:p>
        </w:tc>
        <w:tc>
          <w:tcPr>
            <w:tcW w:w="9100" w:type="dxa"/>
            <w:vAlign w:val="bottom"/>
          </w:tcPr>
          <w:p>
            <w:pPr>
              <w:ind w:left="140"/>
              <w:spacing w:after="0"/>
              <w:rPr>
                <w:sz w:val="20"/>
                <w:szCs w:val="20"/>
                <w:color w:val="auto"/>
              </w:rPr>
            </w:pPr>
            <w:r>
              <w:rPr>
                <w:rFonts w:ascii="Arial" w:cs="Arial" w:eastAsia="Arial" w:hAnsi="Arial"/>
                <w:sz w:val="18"/>
                <w:szCs w:val="18"/>
                <w:color w:val="auto"/>
              </w:rPr>
              <w:t>Merger, Conversion, Consolidation or Succession to Business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6.13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Preferential Collection of Claims Against Company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6.14</w:t>
            </w:r>
          </w:p>
        </w:tc>
        <w:tc>
          <w:tcPr>
            <w:tcW w:w="9100" w:type="dxa"/>
            <w:vAlign w:val="bottom"/>
          </w:tcPr>
          <w:p>
            <w:pPr>
              <w:ind w:left="140"/>
              <w:spacing w:after="0"/>
              <w:rPr>
                <w:sz w:val="20"/>
                <w:szCs w:val="20"/>
                <w:color w:val="auto"/>
              </w:rPr>
            </w:pPr>
            <w:r>
              <w:rPr>
                <w:rFonts w:ascii="Arial" w:cs="Arial" w:eastAsia="Arial" w:hAnsi="Arial"/>
                <w:sz w:val="18"/>
                <w:szCs w:val="18"/>
                <w:color w:val="auto"/>
              </w:rPr>
              <w:t>Appointment of Authenticating Agent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7</w:t>
            </w:r>
          </w:p>
        </w:tc>
        <w:tc>
          <w:tcPr>
            <w:tcW w:w="9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HOLDERS’ LISTS AND REPORTS BY TRUSTEE AND COMPANY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7.1</w:t>
            </w:r>
          </w:p>
        </w:tc>
        <w:tc>
          <w:tcPr>
            <w:tcW w:w="9100" w:type="dxa"/>
            <w:vAlign w:val="bottom"/>
          </w:tcPr>
          <w:p>
            <w:pPr>
              <w:ind w:left="140"/>
              <w:spacing w:after="0"/>
              <w:rPr>
                <w:sz w:val="20"/>
                <w:szCs w:val="20"/>
                <w:color w:val="auto"/>
              </w:rPr>
            </w:pPr>
            <w:r>
              <w:rPr>
                <w:rFonts w:ascii="Arial" w:cs="Arial" w:eastAsia="Arial" w:hAnsi="Arial"/>
                <w:sz w:val="18"/>
                <w:szCs w:val="18"/>
                <w:color w:val="auto"/>
              </w:rPr>
              <w:t>Company to Furnish Trustee Names and Addresses of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7.2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Preservation of Information; Communications to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7.3</w:t>
            </w:r>
          </w:p>
        </w:tc>
        <w:tc>
          <w:tcPr>
            <w:tcW w:w="9100" w:type="dxa"/>
            <w:vAlign w:val="bottom"/>
          </w:tcPr>
          <w:p>
            <w:pPr>
              <w:ind w:left="140"/>
              <w:spacing w:after="0"/>
              <w:rPr>
                <w:sz w:val="20"/>
                <w:szCs w:val="20"/>
                <w:color w:val="auto"/>
              </w:rPr>
            </w:pPr>
            <w:r>
              <w:rPr>
                <w:rFonts w:ascii="Arial" w:cs="Arial" w:eastAsia="Arial" w:hAnsi="Arial"/>
                <w:sz w:val="18"/>
                <w:szCs w:val="18"/>
                <w:color w:val="auto"/>
              </w:rPr>
              <w:t>Reports by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7.4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Reports by Company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8</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CONSOLIDATION, MERGER, CONVEYANCE, TRANSFER OR LEASE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8.1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 May Consolidate, etc., Only on Certain Terms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8.2</w:t>
            </w:r>
          </w:p>
        </w:tc>
        <w:tc>
          <w:tcPr>
            <w:tcW w:w="9100" w:type="dxa"/>
            <w:vAlign w:val="bottom"/>
          </w:tcPr>
          <w:p>
            <w:pPr>
              <w:ind w:left="140"/>
              <w:spacing w:after="0"/>
              <w:rPr>
                <w:sz w:val="20"/>
                <w:szCs w:val="20"/>
                <w:color w:val="auto"/>
              </w:rPr>
            </w:pPr>
            <w:r>
              <w:rPr>
                <w:rFonts w:ascii="Arial" w:cs="Arial" w:eastAsia="Arial" w:hAnsi="Arial"/>
                <w:sz w:val="18"/>
                <w:szCs w:val="18"/>
                <w:color w:val="auto"/>
              </w:rPr>
              <w:t>Successor Substituted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9</w:t>
            </w:r>
          </w:p>
        </w:tc>
        <w:tc>
          <w:tcPr>
            <w:tcW w:w="9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SUPPLEMENTAL INDENTURES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9.1</w:t>
            </w:r>
          </w:p>
        </w:tc>
        <w:tc>
          <w:tcPr>
            <w:tcW w:w="9100" w:type="dxa"/>
            <w:vAlign w:val="bottom"/>
          </w:tcPr>
          <w:p>
            <w:pPr>
              <w:ind w:left="140"/>
              <w:spacing w:after="0"/>
              <w:rPr>
                <w:sz w:val="20"/>
                <w:szCs w:val="20"/>
                <w:color w:val="auto"/>
              </w:rPr>
            </w:pPr>
            <w:r>
              <w:rPr>
                <w:rFonts w:ascii="Arial" w:cs="Arial" w:eastAsia="Arial" w:hAnsi="Arial"/>
                <w:sz w:val="18"/>
                <w:szCs w:val="18"/>
                <w:color w:val="auto"/>
              </w:rPr>
              <w:t>Supplemental Indentures Without Consent of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9.2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Indentures with Consent of Holders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9.3</w:t>
            </w:r>
          </w:p>
        </w:tc>
        <w:tc>
          <w:tcPr>
            <w:tcW w:w="9100" w:type="dxa"/>
            <w:vAlign w:val="bottom"/>
          </w:tcPr>
          <w:p>
            <w:pPr>
              <w:ind w:left="140"/>
              <w:spacing w:after="0"/>
              <w:rPr>
                <w:sz w:val="20"/>
                <w:szCs w:val="20"/>
                <w:color w:val="auto"/>
              </w:rPr>
            </w:pPr>
            <w:r>
              <w:rPr>
                <w:rFonts w:ascii="Arial" w:cs="Arial" w:eastAsia="Arial" w:hAnsi="Arial"/>
                <w:sz w:val="18"/>
                <w:szCs w:val="18"/>
                <w:color w:val="auto"/>
              </w:rPr>
              <w:t>Execution of Supplemental Indentures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9.4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Supplemental Indentures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9.5</w:t>
            </w:r>
          </w:p>
        </w:tc>
        <w:tc>
          <w:tcPr>
            <w:tcW w:w="9100" w:type="dxa"/>
            <w:vAlign w:val="bottom"/>
          </w:tcPr>
          <w:p>
            <w:pPr>
              <w:ind w:left="140"/>
              <w:spacing w:after="0"/>
              <w:rPr>
                <w:sz w:val="20"/>
                <w:szCs w:val="20"/>
                <w:color w:val="auto"/>
              </w:rPr>
            </w:pPr>
            <w:r>
              <w:rPr>
                <w:rFonts w:ascii="Arial" w:cs="Arial" w:eastAsia="Arial" w:hAnsi="Arial"/>
                <w:sz w:val="18"/>
                <w:szCs w:val="18"/>
                <w:color w:val="auto"/>
              </w:rPr>
              <w:t>Conformity with Trust Indenture Act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Section 9.6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Reference in Securities to Supplemental Indentures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rPr>
              <w:t>Section 9.7</w:t>
            </w:r>
          </w:p>
        </w:tc>
        <w:tc>
          <w:tcPr>
            <w:tcW w:w="9100" w:type="dxa"/>
            <w:vAlign w:val="bottom"/>
          </w:tcPr>
          <w:p>
            <w:pPr>
              <w:ind w:left="140"/>
              <w:spacing w:after="0"/>
              <w:rPr>
                <w:sz w:val="20"/>
                <w:szCs w:val="20"/>
                <w:color w:val="auto"/>
              </w:rPr>
            </w:pPr>
            <w:r>
              <w:rPr>
                <w:rFonts w:ascii="Arial" w:cs="Arial" w:eastAsia="Arial" w:hAnsi="Arial"/>
                <w:sz w:val="18"/>
                <w:szCs w:val="18"/>
                <w:color w:val="auto"/>
              </w:rPr>
              <w:t>Subordination Unimpaired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10</w:t>
            </w:r>
          </w:p>
        </w:tc>
        <w:tc>
          <w:tcPr>
            <w:tcW w:w="9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COVENANTS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10.1</w:t>
            </w:r>
          </w:p>
        </w:tc>
        <w:tc>
          <w:tcPr>
            <w:tcW w:w="9100" w:type="dxa"/>
            <w:vAlign w:val="bottom"/>
          </w:tcPr>
          <w:p>
            <w:pPr>
              <w:ind w:left="14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10.2</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of Office or Agency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10.3</w:t>
            </w:r>
          </w:p>
        </w:tc>
        <w:tc>
          <w:tcPr>
            <w:tcW w:w="9100" w:type="dxa"/>
            <w:vAlign w:val="bottom"/>
          </w:tcPr>
          <w:p>
            <w:pPr>
              <w:ind w:left="140"/>
              <w:spacing w:after="0"/>
              <w:rPr>
                <w:sz w:val="20"/>
                <w:szCs w:val="20"/>
                <w:color w:val="auto"/>
              </w:rPr>
            </w:pPr>
            <w:r>
              <w:rPr>
                <w:rFonts w:ascii="Arial" w:cs="Arial" w:eastAsia="Arial" w:hAnsi="Arial"/>
                <w:sz w:val="18"/>
                <w:szCs w:val="18"/>
                <w:color w:val="auto"/>
              </w:rPr>
              <w:t>Money for Securities Payments to be Held in Trust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10.4</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Statement by Officers as to Default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10.5</w:t>
            </w:r>
          </w:p>
        </w:tc>
        <w:tc>
          <w:tcPr>
            <w:tcW w:w="910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10.6</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of Properties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10.7</w:t>
            </w:r>
          </w:p>
        </w:tc>
        <w:tc>
          <w:tcPr>
            <w:tcW w:w="9100" w:type="dxa"/>
            <w:vAlign w:val="bottom"/>
          </w:tcPr>
          <w:p>
            <w:pPr>
              <w:ind w:left="140"/>
              <w:spacing w:after="0"/>
              <w:rPr>
                <w:sz w:val="20"/>
                <w:szCs w:val="20"/>
                <w:color w:val="auto"/>
              </w:rPr>
            </w:pPr>
            <w:r>
              <w:rPr>
                <w:rFonts w:ascii="Arial" w:cs="Arial" w:eastAsia="Arial" w:hAnsi="Arial"/>
                <w:sz w:val="18"/>
                <w:szCs w:val="18"/>
                <w:color w:val="auto"/>
              </w:rPr>
              <w:t>Payment of Taxes and Other Claims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10.8</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Waiver of Certain Covenants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11</w:t>
            </w:r>
          </w:p>
        </w:tc>
        <w:tc>
          <w:tcPr>
            <w:tcW w:w="9660" w:type="dxa"/>
            <w:vAlign w:val="bottom"/>
            <w:gridSpan w:val="2"/>
          </w:tcPr>
          <w:p>
            <w:pPr>
              <w:ind w:left="220"/>
              <w:spacing w:after="0"/>
              <w:rPr>
                <w:sz w:val="20"/>
                <w:szCs w:val="20"/>
                <w:color w:val="auto"/>
              </w:rPr>
            </w:pPr>
            <w:r>
              <w:rPr>
                <w:rFonts w:ascii="Arial" w:cs="Arial" w:eastAsia="Arial" w:hAnsi="Arial"/>
                <w:sz w:val="18"/>
                <w:szCs w:val="18"/>
                <w:color w:val="auto"/>
              </w:rPr>
              <w:t>REDEMPTION OF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11.1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11.2</w:t>
            </w:r>
          </w:p>
        </w:tc>
        <w:tc>
          <w:tcPr>
            <w:tcW w:w="9100" w:type="dxa"/>
            <w:vAlign w:val="bottom"/>
          </w:tcPr>
          <w:p>
            <w:pPr>
              <w:ind w:left="140"/>
              <w:spacing w:after="0"/>
              <w:rPr>
                <w:sz w:val="20"/>
                <w:szCs w:val="20"/>
                <w:color w:val="auto"/>
              </w:rPr>
            </w:pPr>
            <w:r>
              <w:rPr>
                <w:rFonts w:ascii="Arial" w:cs="Arial" w:eastAsia="Arial" w:hAnsi="Arial"/>
                <w:sz w:val="18"/>
                <w:szCs w:val="18"/>
                <w:color w:val="auto"/>
              </w:rPr>
              <w:t>Election to Redeem; Notice to Trustee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11.3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Selection by Trustee of Securities to Be Redeemed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11.4</w:t>
            </w:r>
          </w:p>
        </w:tc>
        <w:tc>
          <w:tcPr>
            <w:tcW w:w="910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11.5</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 of Redemption Price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11.6</w:t>
            </w:r>
          </w:p>
        </w:tc>
        <w:tc>
          <w:tcPr>
            <w:tcW w:w="9100" w:type="dxa"/>
            <w:vAlign w:val="bottom"/>
          </w:tcPr>
          <w:p>
            <w:pPr>
              <w:ind w:left="140"/>
              <w:spacing w:after="0"/>
              <w:rPr>
                <w:sz w:val="20"/>
                <w:szCs w:val="20"/>
                <w:color w:val="auto"/>
              </w:rPr>
            </w:pPr>
            <w:r>
              <w:rPr>
                <w:rFonts w:ascii="Arial" w:cs="Arial" w:eastAsia="Arial" w:hAnsi="Arial"/>
                <w:sz w:val="18"/>
                <w:szCs w:val="18"/>
                <w:color w:val="auto"/>
              </w:rPr>
              <w:t>Securities Payable on Redemption Date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11.7</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Redeemed in Part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12</w:t>
            </w:r>
          </w:p>
        </w:tc>
        <w:tc>
          <w:tcPr>
            <w:tcW w:w="9660" w:type="dxa"/>
            <w:vAlign w:val="bottom"/>
            <w:gridSpan w:val="2"/>
          </w:tcPr>
          <w:p>
            <w:pPr>
              <w:ind w:left="240"/>
              <w:spacing w:after="0"/>
              <w:rPr>
                <w:sz w:val="20"/>
                <w:szCs w:val="20"/>
                <w:color w:val="auto"/>
              </w:rPr>
            </w:pPr>
            <w:r>
              <w:rPr>
                <w:rFonts w:ascii="Arial" w:cs="Arial" w:eastAsia="Arial" w:hAnsi="Arial"/>
                <w:sz w:val="18"/>
                <w:szCs w:val="18"/>
                <w:color w:val="auto"/>
              </w:rPr>
              <w:t>SINKING FUNDS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12.1</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680" w:type="dxa"/>
            <w:vAlign w:val="bottom"/>
            <w:gridSpan w:val="2"/>
          </w:tcPr>
          <w:p>
            <w:pPr>
              <w:ind w:left="660"/>
              <w:spacing w:after="0"/>
              <w:rPr>
                <w:sz w:val="20"/>
                <w:szCs w:val="20"/>
                <w:color w:val="auto"/>
              </w:rPr>
            </w:pPr>
            <w:r>
              <w:rPr>
                <w:rFonts w:ascii="Arial" w:cs="Arial" w:eastAsia="Arial" w:hAnsi="Arial"/>
                <w:sz w:val="18"/>
                <w:szCs w:val="18"/>
                <w:color w:val="auto"/>
                <w:w w:val="99"/>
              </w:rPr>
              <w:t>Section 12.2</w:t>
            </w:r>
          </w:p>
        </w:tc>
        <w:tc>
          <w:tcPr>
            <w:tcW w:w="9100" w:type="dxa"/>
            <w:vAlign w:val="bottom"/>
          </w:tcPr>
          <w:p>
            <w:pPr>
              <w:ind w:left="14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Section 12.3</w:t>
            </w:r>
          </w:p>
        </w:tc>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40" w:type="dxa"/>
            <w:vAlign w:val="bottom"/>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ARTICLE 13</w:t>
            </w:r>
          </w:p>
        </w:tc>
        <w:tc>
          <w:tcPr>
            <w:tcW w:w="9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DEFEASANCE AND COVENANT DEFEASANCE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13.1</w:t>
            </w:r>
          </w:p>
        </w:tc>
        <w:tc>
          <w:tcPr>
            <w:tcW w:w="9040" w:type="dxa"/>
            <w:vAlign w:val="bottom"/>
          </w:tcPr>
          <w:p>
            <w:pPr>
              <w:ind w:left="80"/>
              <w:spacing w:after="0"/>
              <w:rPr>
                <w:sz w:val="20"/>
                <w:szCs w:val="20"/>
                <w:color w:val="auto"/>
              </w:rPr>
            </w:pPr>
            <w:r>
              <w:rPr>
                <w:rFonts w:ascii="Arial" w:cs="Arial" w:eastAsia="Arial" w:hAnsi="Arial"/>
                <w:sz w:val="18"/>
                <w:szCs w:val="18"/>
                <w:color w:val="auto"/>
              </w:rPr>
              <w:t>Company’s Option to Effect Defeasance or Covenant Defeasance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13.2</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Defeasance and Discharge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13.3</w:t>
            </w:r>
          </w:p>
        </w:tc>
        <w:tc>
          <w:tcPr>
            <w:tcW w:w="9040" w:type="dxa"/>
            <w:vAlign w:val="bottom"/>
          </w:tcPr>
          <w:p>
            <w:pPr>
              <w:ind w:left="80"/>
              <w:spacing w:after="0"/>
              <w:rPr>
                <w:sz w:val="20"/>
                <w:szCs w:val="20"/>
                <w:color w:val="auto"/>
              </w:rPr>
            </w:pPr>
            <w:r>
              <w:rPr>
                <w:rFonts w:ascii="Arial" w:cs="Arial" w:eastAsia="Arial" w:hAnsi="Arial"/>
                <w:sz w:val="18"/>
                <w:szCs w:val="18"/>
                <w:color w:val="auto"/>
              </w:rPr>
              <w:t>Covenant Defeasance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13.4</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Conditions to Defeasance or Covenant Defeasance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Section 13.5</w:t>
            </w:r>
          </w:p>
        </w:tc>
        <w:tc>
          <w:tcPr>
            <w:tcW w:w="9040" w:type="dxa"/>
            <w:vAlign w:val="bottom"/>
          </w:tcPr>
          <w:p>
            <w:pPr>
              <w:ind w:left="80"/>
              <w:spacing w:after="0" w:line="201" w:lineRule="exact"/>
              <w:rPr>
                <w:sz w:val="20"/>
                <w:szCs w:val="20"/>
                <w:color w:val="auto"/>
              </w:rPr>
            </w:pPr>
            <w:r>
              <w:rPr>
                <w:rFonts w:ascii="Arial" w:cs="Arial" w:eastAsia="Arial" w:hAnsi="Arial"/>
                <w:sz w:val="18"/>
                <w:szCs w:val="18"/>
                <w:color w:val="auto"/>
                <w:w w:val="93"/>
              </w:rPr>
              <w:t>Deposited Money, U.S. Government Obligations and Foreign Government Obligations to be Held in Trust; Miscellaneous</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40" w:type="dxa"/>
            <w:vAlign w:val="bottom"/>
            <w:vMerge w:val="restart"/>
          </w:tcPr>
          <w:p>
            <w:pPr>
              <w:ind w:left="80"/>
              <w:spacing w:after="0"/>
              <w:rPr>
                <w:sz w:val="20"/>
                <w:szCs w:val="20"/>
                <w:color w:val="auto"/>
              </w:rPr>
            </w:pPr>
            <w:r>
              <w:rPr>
                <w:rFonts w:ascii="Arial" w:cs="Arial" w:eastAsia="Arial" w:hAnsi="Arial"/>
                <w:sz w:val="18"/>
                <w:szCs w:val="18"/>
                <w:color w:val="auto"/>
              </w:rPr>
              <w:t>Provisions</w:t>
            </w: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13.6</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Reinstatement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ARTICLE 14</w:t>
            </w:r>
          </w:p>
        </w:tc>
        <w:tc>
          <w:tcPr>
            <w:tcW w:w="9620" w:type="dxa"/>
            <w:vAlign w:val="bottom"/>
            <w:gridSpan w:val="2"/>
          </w:tcPr>
          <w:p>
            <w:pPr>
              <w:ind w:left="200"/>
              <w:spacing w:after="0"/>
              <w:rPr>
                <w:sz w:val="20"/>
                <w:szCs w:val="20"/>
                <w:color w:val="auto"/>
              </w:rPr>
            </w:pPr>
            <w:r>
              <w:rPr>
                <w:rFonts w:ascii="Arial" w:cs="Arial" w:eastAsia="Arial" w:hAnsi="Arial"/>
                <w:sz w:val="18"/>
                <w:szCs w:val="18"/>
                <w:color w:val="auto"/>
              </w:rPr>
              <w:t>CONVERSION OF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14.2</w:t>
            </w:r>
          </w:p>
        </w:tc>
        <w:tc>
          <w:tcPr>
            <w:tcW w:w="9040" w:type="dxa"/>
            <w:vAlign w:val="bottom"/>
          </w:tcPr>
          <w:p>
            <w:pPr>
              <w:ind w:left="80"/>
              <w:spacing w:after="0"/>
              <w:rPr>
                <w:sz w:val="20"/>
                <w:szCs w:val="20"/>
                <w:color w:val="auto"/>
              </w:rPr>
            </w:pPr>
            <w:r>
              <w:rPr>
                <w:rFonts w:ascii="Arial" w:cs="Arial" w:eastAsia="Arial" w:hAnsi="Arial"/>
                <w:sz w:val="18"/>
                <w:szCs w:val="18"/>
                <w:color w:val="auto"/>
              </w:rPr>
              <w:t>Exercise of Conversion Privilege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Fractional Shares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14.4</w:t>
            </w:r>
          </w:p>
        </w:tc>
        <w:tc>
          <w:tcPr>
            <w:tcW w:w="9040" w:type="dxa"/>
            <w:vAlign w:val="bottom"/>
          </w:tcPr>
          <w:p>
            <w:pPr>
              <w:ind w:left="80"/>
              <w:spacing w:after="0"/>
              <w:rPr>
                <w:sz w:val="20"/>
                <w:szCs w:val="20"/>
                <w:color w:val="auto"/>
              </w:rPr>
            </w:pPr>
            <w:r>
              <w:rPr>
                <w:rFonts w:ascii="Arial" w:cs="Arial" w:eastAsia="Arial" w:hAnsi="Arial"/>
                <w:sz w:val="18"/>
                <w:szCs w:val="18"/>
                <w:color w:val="auto"/>
              </w:rPr>
              <w:t>Adjustment of Conversion Price or Conversion Rate</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14.5</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 of Certain Corporate Actions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14.6</w:t>
            </w:r>
          </w:p>
        </w:tc>
        <w:tc>
          <w:tcPr>
            <w:tcW w:w="9040" w:type="dxa"/>
            <w:vAlign w:val="bottom"/>
          </w:tcPr>
          <w:p>
            <w:pPr>
              <w:ind w:left="80"/>
              <w:spacing w:after="0"/>
              <w:rPr>
                <w:sz w:val="20"/>
                <w:szCs w:val="20"/>
                <w:color w:val="auto"/>
              </w:rPr>
            </w:pPr>
            <w:r>
              <w:rPr>
                <w:rFonts w:ascii="Arial" w:cs="Arial" w:eastAsia="Arial" w:hAnsi="Arial"/>
                <w:sz w:val="18"/>
                <w:szCs w:val="18"/>
                <w:color w:val="auto"/>
              </w:rPr>
              <w:t>Reservation of Shares of Common Stock</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14.7</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 of Certain Taxes upon Conversion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14.8</w:t>
            </w:r>
          </w:p>
        </w:tc>
        <w:tc>
          <w:tcPr>
            <w:tcW w:w="9040" w:type="dxa"/>
            <w:vAlign w:val="bottom"/>
          </w:tcPr>
          <w:p>
            <w:pPr>
              <w:ind w:left="80"/>
              <w:spacing w:after="0"/>
              <w:rPr>
                <w:sz w:val="20"/>
                <w:szCs w:val="20"/>
                <w:color w:val="auto"/>
              </w:rPr>
            </w:pPr>
            <w:r>
              <w:rPr>
                <w:rFonts w:ascii="Arial" w:cs="Arial" w:eastAsia="Arial" w:hAnsi="Arial"/>
                <w:sz w:val="18"/>
                <w:szCs w:val="18"/>
                <w:color w:val="auto"/>
              </w:rPr>
              <w:t>Nonassessability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14.9</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in Case of Consolidation, Merger or Sale of Assets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w w:val="96"/>
              </w:rPr>
              <w:t>Section 14.10</w:t>
            </w:r>
          </w:p>
        </w:tc>
        <w:tc>
          <w:tcPr>
            <w:tcW w:w="9040" w:type="dxa"/>
            <w:vAlign w:val="bottom"/>
          </w:tcPr>
          <w:p>
            <w:pPr>
              <w:ind w:left="80"/>
              <w:spacing w:after="0"/>
              <w:rPr>
                <w:sz w:val="20"/>
                <w:szCs w:val="20"/>
                <w:color w:val="auto"/>
              </w:rPr>
            </w:pPr>
            <w:r>
              <w:rPr>
                <w:rFonts w:ascii="Arial" w:cs="Arial" w:eastAsia="Arial" w:hAnsi="Arial"/>
                <w:sz w:val="18"/>
                <w:szCs w:val="18"/>
                <w:color w:val="auto"/>
              </w:rPr>
              <w:t>Duties of Trustee Regarding Conversion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Section 14.11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 of Certain Funds upon Conversion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ARTICLE 15</w:t>
            </w:r>
          </w:p>
        </w:tc>
        <w:tc>
          <w:tcPr>
            <w:tcW w:w="9620" w:type="dxa"/>
            <w:vAlign w:val="bottom"/>
            <w:gridSpan w:val="2"/>
          </w:tcPr>
          <w:p>
            <w:pPr>
              <w:ind w:left="200"/>
              <w:spacing w:after="0"/>
              <w:rPr>
                <w:sz w:val="20"/>
                <w:szCs w:val="20"/>
                <w:color w:val="auto"/>
              </w:rPr>
            </w:pPr>
            <w:r>
              <w:rPr>
                <w:rFonts w:ascii="Arial" w:cs="Arial" w:eastAsia="Arial" w:hAnsi="Arial"/>
                <w:sz w:val="18"/>
                <w:szCs w:val="18"/>
                <w:color w:val="auto"/>
              </w:rPr>
              <w:t>SUBORDINATION OF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Agreement of Subordination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15.2</w:t>
            </w:r>
          </w:p>
        </w:tc>
        <w:tc>
          <w:tcPr>
            <w:tcW w:w="9040" w:type="dxa"/>
            <w:vAlign w:val="bottom"/>
          </w:tcPr>
          <w:p>
            <w:pPr>
              <w:ind w:left="80"/>
              <w:spacing w:after="0"/>
              <w:rPr>
                <w:sz w:val="20"/>
                <w:szCs w:val="20"/>
                <w:color w:val="auto"/>
              </w:rPr>
            </w:pPr>
            <w:r>
              <w:rPr>
                <w:rFonts w:ascii="Arial" w:cs="Arial" w:eastAsia="Arial" w:hAnsi="Arial"/>
                <w:sz w:val="18"/>
                <w:szCs w:val="18"/>
                <w:color w:val="auto"/>
              </w:rPr>
              <w:t>Payments to Holders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15.3</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Subrogation of Securities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15.4</w:t>
            </w:r>
          </w:p>
        </w:tc>
        <w:tc>
          <w:tcPr>
            <w:tcW w:w="9040" w:type="dxa"/>
            <w:vAlign w:val="bottom"/>
          </w:tcPr>
          <w:p>
            <w:pPr>
              <w:ind w:left="80"/>
              <w:spacing w:after="0"/>
              <w:rPr>
                <w:sz w:val="20"/>
                <w:szCs w:val="20"/>
                <w:color w:val="auto"/>
              </w:rPr>
            </w:pPr>
            <w:r>
              <w:rPr>
                <w:rFonts w:ascii="Arial" w:cs="Arial" w:eastAsia="Arial" w:hAnsi="Arial"/>
                <w:sz w:val="18"/>
                <w:szCs w:val="18"/>
                <w:color w:val="auto"/>
              </w:rPr>
              <w:t>Authorization to Effect Subordination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15.5</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Notice to Trustee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15.6</w:t>
            </w:r>
          </w:p>
        </w:tc>
        <w:tc>
          <w:tcPr>
            <w:tcW w:w="9040" w:type="dxa"/>
            <w:vAlign w:val="bottom"/>
          </w:tcPr>
          <w:p>
            <w:pPr>
              <w:ind w:left="80"/>
              <w:spacing w:after="0"/>
              <w:rPr>
                <w:sz w:val="20"/>
                <w:szCs w:val="20"/>
                <w:color w:val="auto"/>
              </w:rPr>
            </w:pPr>
            <w:r>
              <w:rPr>
                <w:rFonts w:ascii="Arial" w:cs="Arial" w:eastAsia="Arial" w:hAnsi="Arial"/>
                <w:sz w:val="18"/>
                <w:szCs w:val="18"/>
                <w:color w:val="auto"/>
              </w:rPr>
              <w:t>Trustee’s Relation to Senior Debt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15.7</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Impairment of Subordination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rPr>
              <w:t>Section 15.8</w:t>
            </w:r>
          </w:p>
        </w:tc>
        <w:tc>
          <w:tcPr>
            <w:tcW w:w="9040" w:type="dxa"/>
            <w:vAlign w:val="bottom"/>
          </w:tcPr>
          <w:p>
            <w:pPr>
              <w:ind w:left="80"/>
              <w:spacing w:after="0"/>
              <w:rPr>
                <w:sz w:val="20"/>
                <w:szCs w:val="20"/>
                <w:color w:val="auto"/>
              </w:rPr>
            </w:pPr>
            <w:r>
              <w:rPr>
                <w:rFonts w:ascii="Arial" w:cs="Arial" w:eastAsia="Arial" w:hAnsi="Arial"/>
                <w:sz w:val="18"/>
                <w:szCs w:val="18"/>
                <w:color w:val="auto"/>
              </w:rPr>
              <w:t>Certain Conversions/Exchanges Deemed Payment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15.9</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Article Applicable to Paying Agents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w w:val="96"/>
              </w:rPr>
              <w:t>Section 15.10</w:t>
            </w:r>
          </w:p>
        </w:tc>
        <w:tc>
          <w:tcPr>
            <w:tcW w:w="9040" w:type="dxa"/>
            <w:vAlign w:val="bottom"/>
          </w:tcPr>
          <w:p>
            <w:pPr>
              <w:ind w:left="80"/>
              <w:spacing w:after="0"/>
              <w:rPr>
                <w:sz w:val="20"/>
                <w:szCs w:val="20"/>
                <w:color w:val="auto"/>
              </w:rPr>
            </w:pPr>
            <w:r>
              <w:rPr>
                <w:rFonts w:ascii="Arial" w:cs="Arial" w:eastAsia="Arial" w:hAnsi="Arial"/>
                <w:sz w:val="18"/>
                <w:szCs w:val="18"/>
                <w:color w:val="auto"/>
              </w:rPr>
              <w:t>Senior Debt Entitled to Rely</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Section 15.11</w:t>
            </w:r>
          </w:p>
        </w:tc>
        <w:tc>
          <w:tcPr>
            <w:tcW w:w="9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Reliance on Judicial Order or Certificate of Liquidating Agent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w w:val="96"/>
              </w:rPr>
              <w:t>Section 15.12</w:t>
            </w:r>
          </w:p>
        </w:tc>
        <w:tc>
          <w:tcPr>
            <w:tcW w:w="9040" w:type="dxa"/>
            <w:vAlign w:val="bottom"/>
          </w:tcPr>
          <w:p>
            <w:pPr>
              <w:ind w:left="80"/>
              <w:spacing w:after="0"/>
              <w:rPr>
                <w:sz w:val="20"/>
                <w:szCs w:val="20"/>
                <w:color w:val="auto"/>
              </w:rPr>
            </w:pPr>
            <w:r>
              <w:rPr>
                <w:rFonts w:ascii="Arial" w:cs="Arial" w:eastAsia="Arial" w:hAnsi="Arial"/>
                <w:sz w:val="18"/>
                <w:szCs w:val="18"/>
                <w:color w:val="auto"/>
              </w:rPr>
              <w:t>Trust Monies Not Subordinated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8420" w:type="dxa"/>
            <w:vAlign w:val="bottom"/>
          </w:tcPr>
          <w:p>
            <w:pPr>
              <w:ind w:left="3180"/>
              <w:spacing w:after="0"/>
              <w:rPr>
                <w:sz w:val="20"/>
                <w:szCs w:val="20"/>
                <w:color w:val="auto"/>
              </w:rPr>
            </w:pPr>
            <w:r>
              <w:rPr>
                <w:rFonts w:ascii="Arial" w:cs="Arial" w:eastAsia="Arial" w:hAnsi="Arial"/>
                <w:sz w:val="18"/>
                <w:szCs w:val="18"/>
                <w:color w:val="auto"/>
              </w:rPr>
              <w:t>IMPRIMIS PHARMACEUTICALS, INC.</w:t>
            </w:r>
          </w:p>
        </w:tc>
        <w:tc>
          <w:tcPr>
            <w:tcW w:w="2000" w:type="dxa"/>
            <w:vAlign w:val="bottom"/>
          </w:tcPr>
          <w:p>
            <w:pPr>
              <w:spacing w:after="0"/>
              <w:rPr>
                <w:sz w:val="20"/>
                <w:szCs w:val="20"/>
                <w:color w:val="auto"/>
              </w:rPr>
            </w:pPr>
          </w:p>
        </w:tc>
      </w:tr>
      <w:tr>
        <w:trPr>
          <w:trHeight w:val="432"/>
        </w:trPr>
        <w:tc>
          <w:tcPr>
            <w:tcW w:w="9420" w:type="dxa"/>
            <w:vAlign w:val="bottom"/>
            <w:gridSpan w:val="2"/>
          </w:tcPr>
          <w:p>
            <w:pPr>
              <w:spacing w:after="0"/>
              <w:rPr>
                <w:sz w:val="20"/>
                <w:szCs w:val="20"/>
                <w:color w:val="auto"/>
              </w:rPr>
            </w:pPr>
            <w:r>
              <w:rPr>
                <w:rFonts w:ascii="Arial" w:cs="Arial" w:eastAsia="Arial" w:hAnsi="Arial"/>
                <w:sz w:val="18"/>
                <w:szCs w:val="18"/>
                <w:color w:val="auto"/>
              </w:rPr>
              <w:t>Certain Sections of this Indenture relating to Sections 3.10 through 3.18, inclusive, of the Trust Indenture Act of 1939:</w:t>
            </w:r>
          </w:p>
        </w:tc>
        <w:tc>
          <w:tcPr>
            <w:tcW w:w="2000" w:type="dxa"/>
            <w:vAlign w:val="bottom"/>
          </w:tcPr>
          <w:p>
            <w:pPr>
              <w:spacing w:after="0"/>
              <w:rPr>
                <w:sz w:val="24"/>
                <w:szCs w:val="24"/>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Section 310</w:t>
            </w:r>
          </w:p>
        </w:tc>
        <w:tc>
          <w:tcPr>
            <w:tcW w:w="8420" w:type="dxa"/>
            <w:vAlign w:val="bottom"/>
          </w:tcPr>
          <w:p>
            <w:pPr>
              <w:ind w:left="160"/>
              <w:spacing w:after="0"/>
              <w:rPr>
                <w:sz w:val="20"/>
                <w:szCs w:val="20"/>
                <w:color w:val="auto"/>
              </w:rPr>
            </w:pPr>
            <w:r>
              <w:rPr>
                <w:rFonts w:ascii="Arial" w:cs="Arial" w:eastAsia="Arial" w:hAnsi="Arial"/>
                <w:sz w:val="18"/>
                <w:szCs w:val="18"/>
                <w:color w:val="auto"/>
              </w:rPr>
              <w:t>(a)(1)</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(a)(2)</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(a)(3)</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(a)(4)</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6.8, 6.10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311</w:t>
            </w:r>
          </w:p>
        </w:tc>
        <w:tc>
          <w:tcPr>
            <w:tcW w:w="8420" w:type="dxa"/>
            <w:vAlign w:val="bottom"/>
          </w:tcPr>
          <w:p>
            <w:pPr>
              <w:ind w:left="16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312</w:t>
            </w:r>
          </w:p>
        </w:tc>
        <w:tc>
          <w:tcPr>
            <w:tcW w:w="8420" w:type="dxa"/>
            <w:vAlign w:val="bottom"/>
          </w:tcPr>
          <w:p>
            <w:pPr>
              <w:ind w:left="16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7.1, 7.2</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w:t>
            </w: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313</w:t>
            </w:r>
          </w:p>
        </w:tc>
        <w:tc>
          <w:tcPr>
            <w:tcW w:w="8420" w:type="dxa"/>
            <w:vAlign w:val="bottom"/>
          </w:tcPr>
          <w:p>
            <w:pPr>
              <w:ind w:left="16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314</w:t>
            </w:r>
          </w:p>
        </w:tc>
        <w:tc>
          <w:tcPr>
            <w:tcW w:w="8420" w:type="dxa"/>
            <w:vAlign w:val="bottom"/>
          </w:tcPr>
          <w:p>
            <w:pPr>
              <w:ind w:left="16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(a)(4)</w:t>
            </w:r>
          </w:p>
        </w:tc>
        <w:tc>
          <w:tcPr>
            <w:tcW w:w="2000" w:type="dxa"/>
            <w:vAlign w:val="bottom"/>
          </w:tcPr>
          <w:p>
            <w:pPr>
              <w:jc w:val="right"/>
              <w:spacing w:after="0"/>
              <w:rPr>
                <w:sz w:val="20"/>
                <w:szCs w:val="20"/>
                <w:color w:val="auto"/>
              </w:rPr>
            </w:pPr>
            <w:r>
              <w:rPr>
                <w:rFonts w:ascii="Arial" w:cs="Arial" w:eastAsia="Arial" w:hAnsi="Arial"/>
                <w:sz w:val="18"/>
                <w:szCs w:val="18"/>
                <w:color w:val="auto"/>
              </w:rPr>
              <w:t>1.1, 10.4</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(c)(1)</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(c)(2)</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(c)(3)</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(e)</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315</w:t>
            </w:r>
          </w:p>
        </w:tc>
        <w:tc>
          <w:tcPr>
            <w:tcW w:w="8420" w:type="dxa"/>
            <w:vAlign w:val="bottom"/>
          </w:tcPr>
          <w:p>
            <w:pPr>
              <w:ind w:left="16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(d)</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(e)</w:t>
            </w:r>
          </w:p>
        </w:tc>
        <w:tc>
          <w:tcPr>
            <w:tcW w:w="20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316</w:t>
            </w:r>
          </w:p>
        </w:tc>
        <w:tc>
          <w:tcPr>
            <w:tcW w:w="8420" w:type="dxa"/>
            <w:vAlign w:val="bottom"/>
          </w:tcPr>
          <w:p>
            <w:pPr>
              <w:ind w:left="16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(a)(1)(A)</w:t>
            </w:r>
          </w:p>
        </w:tc>
        <w:tc>
          <w:tcPr>
            <w:tcW w:w="2000" w:type="dxa"/>
            <w:vAlign w:val="bottom"/>
          </w:tcPr>
          <w:p>
            <w:pPr>
              <w:jc w:val="right"/>
              <w:spacing w:after="0"/>
              <w:rPr>
                <w:sz w:val="20"/>
                <w:szCs w:val="20"/>
                <w:color w:val="auto"/>
              </w:rPr>
            </w:pPr>
            <w:r>
              <w:rPr>
                <w:rFonts w:ascii="Arial" w:cs="Arial" w:eastAsia="Arial" w:hAnsi="Arial"/>
                <w:sz w:val="18"/>
                <w:szCs w:val="18"/>
                <w:color w:val="auto"/>
              </w:rPr>
              <w:t>5.2, 5.12</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(a)(1)(B)</w:t>
            </w:r>
          </w:p>
        </w:tc>
        <w:tc>
          <w:tcPr>
            <w:tcW w:w="20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(a)(2)</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(c)</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Section 317</w:t>
            </w:r>
          </w:p>
        </w:tc>
        <w:tc>
          <w:tcPr>
            <w:tcW w:w="8420" w:type="dxa"/>
            <w:vAlign w:val="bottom"/>
          </w:tcPr>
          <w:p>
            <w:pPr>
              <w:ind w:left="160"/>
              <w:spacing w:after="0"/>
              <w:rPr>
                <w:sz w:val="20"/>
                <w:szCs w:val="20"/>
                <w:color w:val="auto"/>
              </w:rPr>
            </w:pPr>
            <w:r>
              <w:rPr>
                <w:rFonts w:ascii="Arial" w:cs="Arial" w:eastAsia="Arial" w:hAnsi="Arial"/>
                <w:sz w:val="18"/>
                <w:szCs w:val="18"/>
                <w:color w:val="auto"/>
              </w:rPr>
              <w:t>(a)(1)</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(a)(2)</w:t>
            </w:r>
          </w:p>
        </w:tc>
        <w:tc>
          <w:tcPr>
            <w:tcW w:w="2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0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318</w:t>
            </w:r>
          </w:p>
        </w:tc>
        <w:tc>
          <w:tcPr>
            <w:tcW w:w="8420" w:type="dxa"/>
            <w:vAlign w:val="bottom"/>
          </w:tcPr>
          <w:p>
            <w:pPr>
              <w:ind w:left="16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jc w:val="both"/>
        <w:ind w:firstLine="648"/>
        <w:spacing w:after="0" w:line="274" w:lineRule="auto"/>
        <w:rPr>
          <w:sz w:val="20"/>
          <w:szCs w:val="20"/>
          <w:color w:val="auto"/>
        </w:rPr>
      </w:pPr>
      <w:r>
        <w:rPr>
          <w:rFonts w:ascii="Arial" w:cs="Arial" w:eastAsia="Arial" w:hAnsi="Arial"/>
          <w:sz w:val="17"/>
          <w:szCs w:val="17"/>
          <w:color w:val="auto"/>
        </w:rPr>
        <w:t>INDENTURE, dated as of , 20 , between IMPRIMIS PHARMACEUTICALS, INC., a corporation duly organized and existing under the laws of the State of Delaware (herein called the “Company”), having its principal executive office at 12264 El Camino Real, Suite 350, San Diego, CA 92130</w:t>
      </w:r>
    </w:p>
    <w:p>
      <w:pPr>
        <w:spacing w:after="0"/>
        <w:tabs>
          <w:tab w:leader="none" w:pos="88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as Trustee (herein called the “Trustee”).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subordinated debentures, notes or other evidences of indebtedness (herein called the “Securities”), to be issued in one or more series as provided in this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560" w:hanging="255"/>
        <w:spacing w:after="0"/>
        <w:tabs>
          <w:tab w:leader="none" w:pos="1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660" w:firstLine="645"/>
        <w:spacing w:after="0" w:line="277" w:lineRule="auto"/>
        <w:tabs>
          <w:tab w:leader="none" w:pos="15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all accounting terms not otherwise defined herein have the meanings assigned to them in accordance with generally accepted accounting principles in the United States of America, and, except as otherwise herein expressly </w:t>
      </w:r>
      <w:r>
        <w:rPr>
          <w:rFonts w:ascii="Arial" w:cs="Arial" w:eastAsia="Arial" w:hAnsi="Arial"/>
          <w:sz w:val="18"/>
          <w:szCs w:val="18"/>
          <w:u w:val="single" w:color="auto"/>
          <w:color w:val="auto"/>
        </w:rPr>
        <w:t>provided</w:t>
      </w:r>
      <w:r>
        <w:rPr>
          <w:rFonts w:ascii="Arial" w:cs="Arial" w:eastAsia="Arial" w:hAnsi="Arial"/>
          <w:sz w:val="18"/>
          <w:szCs w:val="18"/>
          <w:color w:val="auto"/>
        </w:rPr>
        <w:t>,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25" w:lineRule="exact"/>
        <w:rPr>
          <w:rFonts w:ascii="Arial" w:cs="Arial" w:eastAsia="Arial" w:hAnsi="Arial"/>
          <w:sz w:val="18"/>
          <w:szCs w:val="18"/>
          <w:color w:val="auto"/>
        </w:rPr>
      </w:pPr>
    </w:p>
    <w:p>
      <w:pPr>
        <w:ind w:left="660" w:firstLine="645"/>
        <w:spacing w:after="0" w:line="277" w:lineRule="auto"/>
        <w:tabs>
          <w:tab w:leader="none" w:pos="15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5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Holder, has the meaning specified in Section 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Interest” has the meaning specified in Section 5.2(b).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jc w:val="both"/>
        <w:ind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14.9.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Trust Office” means the corporate trust office of the Trustee at , Attention: Corporate Trust Department, or such other office, designated by the Trustee by written notice to the Company, at which at any particular time its corporate trust business shall be administered.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5" w:name="page106"/>
    <w:bookmarkEnd w:id="105"/>
    <w:p>
      <w:pPr>
        <w:jc w:val="both"/>
        <w:ind w:firstLine="648"/>
        <w:spacing w:after="0" w:line="277" w:lineRule="auto"/>
        <w:rPr>
          <w:sz w:val="20"/>
          <w:szCs w:val="20"/>
          <w:color w:val="auto"/>
        </w:rPr>
      </w:pPr>
      <w:r>
        <w:rPr>
          <w:rFonts w:ascii="Arial" w:cs="Arial" w:eastAsia="Arial" w:hAnsi="Arial"/>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instrument, agreement or other document may place limitations and conditions on the right of such Senior Debt to exercise the rights of Designated Senior Debt). If any payment made to any holder of any Designated Senior Debt or its Representative with respect to such Designated Senior Debt is rescinded or must otherwise be returned by such holder or Representative upon the insolvency, bankruptcy or reorganization of the Company or otherwise, the reinstated Indebtedness of the Company arising as a result of such rescission or return shall constitute Designated Senior Debt effective as of the date of such rescission or return.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 has the meaning specified in Section 1.4.</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timely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both"/>
        <w:ind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“Indebtedness” means, with respect to any Person, and without duplication, whether absolute or contingent, secured or unsecured, due or to become due, (a) all indebtedness, obligations and other liabilities (contingent or otherwise) of such Person evidenced by a credit or loan agreement, note, bond, debenture, or other written obligation (whether or not the recourse of the lender is to the whole of the assets of such person or to only a portion thereof) or for money borrowed (including obligations of such Person in respect of overdrafts, foreign exchange contracts, currency exchange agreements, interest rate protection agreements, and any loans or advances from banks, whether or not evidenced by notes or similar instruments); (b) all obligations and liabilities (contingent or otherwise) of such Person evidenced by a note or similar instrument given in connection with the acquisition of any businesses, properties or assets of any kind; (c) all obligations and liabilities (contingent or otherwise) in respect of leases of such Person required, in conformity with generally accepted accounting principles, to be accounted for as capitalized lease obligations on the balance sheet of such Person and all obligations and other liabilities (contingent or otherwise) or as lessee under any leases or related documents for facilities, capital equipment or related assets, whether or not capitalized, entered into or leased for financing purposes; (d) all obligations of such Person (contingent or otherwise) with respect to interest rate and currency swaps, caps, floors, collars, hedge agreements, forward contracts or similar agreements or arrangements; (e) all obligations and other liabilities (contingent or otherwise) of such Person with respect to letters of credit, bankers’ acceptances or similar facilities, including reimbursement obligations with respect to the foregoing; (f) all obligations and liabilities of such Person or assumed as the deferred purchase price of property or services, but excluding trade accounts payable and accrued liabilities arising in the ordinary course of business; (g) all obligations of the type referred to in (a) through (f) above of another Person the payment of which, in either case, such Person has assumed or guaranteed or for which such Person is responsible or liable directly or indirectly, jointly or severally, as obligor, guarantor or otherwise, or which are secured by a lien on such Person’s property; and (h) any and all renewals, extensions, modifications, replacements, restatements and refundings of, or, any indebtedness or obligation issued in exchange for, any such indebtedness or obligation of the kind described in clauses (a) through (g) above.</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“Interest Payment Date,” when used with respect to any Security, means the Stated Maturity of an installment of interest on such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“Maturity,” when used with respect to any Security, means the date on which the principal of such Security or an installment of principal becomes due and payable as therein or herein </w:t>
      </w:r>
      <w:r>
        <w:rPr>
          <w:rFonts w:ascii="Arial" w:cs="Arial" w:eastAsia="Arial" w:hAnsi="Arial"/>
          <w:sz w:val="18"/>
          <w:szCs w:val="18"/>
          <w:u w:val="single" w:color="auto"/>
          <w:color w:val="auto"/>
        </w:rPr>
        <w:t>provided</w:t>
      </w:r>
      <w:r>
        <w:rPr>
          <w:rFonts w:ascii="Arial" w:cs="Arial" w:eastAsia="Arial" w:hAnsi="Arial"/>
          <w:sz w:val="18"/>
          <w:szCs w:val="18"/>
          <w:color w:val="auto"/>
        </w:rPr>
        <w:t>, whether at the Stated Maturity or by declaration of acceleration, repurchase at the option of the Holder, upon redemption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“Non-electing Share” has the meaning specified in Section 14.9.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“Non-Payment Default” has the meaning specified in Section 15.2.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920" w:hanging="264"/>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0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24"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non-U.S. dollar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8" w:name="page109"/>
    <w:bookmarkEnd w:id="108"/>
    <w:p>
      <w:pPr>
        <w:jc w:val="both"/>
        <w:ind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Blockage Notice” has the meaning specified in Section 15.2.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Default” has the meaning specified in Section 15.2.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“Senior Debt”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Indebtedness of the Company, whether outstanding on the date of this Indenture or thereafter created, incurred, assumed, guaranteed or in effect guaranteed by the Company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Securities or expressly provides that such Indebtedness is “</w:t>
      </w:r>
      <w:r>
        <w:rPr>
          <w:rFonts w:ascii="Arial" w:cs="Arial" w:eastAsia="Arial" w:hAnsi="Arial"/>
          <w:sz w:val="17"/>
          <w:szCs w:val="17"/>
          <w:i w:val="1"/>
          <w:iCs w:val="1"/>
          <w:color w:val="auto"/>
        </w:rPr>
        <w:t>pari passu</w:t>
      </w:r>
      <w:r>
        <w:rPr>
          <w:rFonts w:ascii="Arial" w:cs="Arial" w:eastAsia="Arial" w:hAnsi="Arial"/>
          <w:sz w:val="17"/>
          <w:szCs w:val="17"/>
          <w:color w:val="auto"/>
        </w:rPr>
        <w:t>” or ” junior” to the Securities. Notwithstanding the foregoing, the term Senior Debt shall not include any Indebtedness of the Company to any Subsidiary of the Company. If any payment made to any holder of any Senior Debt or its Representative with respect to such Senior Debt is rescinded or must otherwise be returned by such holder or Representative upon the insolvency, bankruptcy or reorganization of the Company or otherwise, the reinstated Indebtedness of the Company arising as a result of such rescission or return shall constitute Senior Debt effective as of the date of such rescission or return.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0" w:name="page111"/>
    <w:bookmarkEnd w:id="110"/>
    <w:p>
      <w:pPr>
        <w:jc w:val="both"/>
        <w:ind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660" w:firstLine="645"/>
        <w:spacing w:after="0" w:line="277" w:lineRule="auto"/>
        <w:tabs>
          <w:tab w:leader="none" w:pos="15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8"/>
          <w:szCs w:val="18"/>
          <w:color w:val="auto"/>
        </w:rPr>
      </w:pPr>
    </w:p>
    <w:p>
      <w:pPr>
        <w:ind w:left="660" w:firstLine="645"/>
        <w:spacing w:after="0" w:line="277" w:lineRule="auto"/>
        <w:tabs>
          <w:tab w:leader="none" w:pos="15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5"/>
        <w:spacing w:after="0" w:line="308" w:lineRule="auto"/>
        <w:tabs>
          <w:tab w:leader="none" w:pos="1571"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Documents Delivered to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Section 1.4 Acts of Holders; Record Dates.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2" w:name="page113"/>
    <w:bookmarkEnd w:id="112"/>
    <w:p>
      <w:pPr>
        <w:jc w:val="both"/>
        <w:ind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Any request, demand, authorization, direction, notice, consent, waiver or Act of Holders or other document provided or permitted by this Indenture to be made upon, given or furnished to, or filed with, (1) the Trustee by any Holder or by the Company shall be sufficient for every purpose hereunder if made, given, furnished or filed in writing (or by facsimile transmissions,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oral confirmation of receipt shall have been received) to or with the Trustee at its Corporate Trust Office, Attention: Corporate Trust Department, or (2) 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Conflict with Trust Indenture Act.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Section 1.8 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Legal Holidays.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Indenture and Securities Solely Corporate Obligations.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Section 1.15 Indenture May be Executed in 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Face of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20" w:type="dxa"/>
            <w:vAlign w:val="bottom"/>
          </w:tcPr>
          <w:p>
            <w:pPr>
              <w:ind w:left="1200"/>
              <w:spacing w:after="0"/>
              <w:rPr>
                <w:sz w:val="20"/>
                <w:szCs w:val="20"/>
                <w:color w:val="auto"/>
              </w:rPr>
            </w:pPr>
            <w:r>
              <w:rPr>
                <w:rFonts w:ascii="Arial" w:cs="Arial" w:eastAsia="Arial" w:hAnsi="Arial"/>
                <w:sz w:val="18"/>
                <w:szCs w:val="18"/>
                <w:b w:val="1"/>
                <w:bCs w:val="1"/>
                <w:color w:val="auto"/>
              </w:rPr>
              <w:t>IMPRIMIS PHARMACEUTICALS, INC.</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NO</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CUSIP:</w:t>
            </w:r>
          </w:p>
        </w:tc>
        <w:tc>
          <w:tcPr>
            <w:tcW w:w="8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r>
      <w:tr>
        <w:trPr>
          <w:trHeight w:val="634"/>
        </w:trPr>
        <w:tc>
          <w:tcPr>
            <w:tcW w:w="340" w:type="dxa"/>
            <w:vAlign w:val="bottom"/>
          </w:tcPr>
          <w:p>
            <w:pPr>
              <w:spacing w:after="0"/>
              <w:rPr>
                <w:sz w:val="24"/>
                <w:szCs w:val="24"/>
                <w:color w:val="auto"/>
              </w:rPr>
            </w:pPr>
          </w:p>
        </w:tc>
        <w:tc>
          <w:tcPr>
            <w:tcW w:w="11080" w:type="dxa"/>
            <w:vAlign w:val="bottom"/>
            <w:gridSpan w:val="9"/>
          </w:tcPr>
          <w:p>
            <w:pPr>
              <w:jc w:val="right"/>
              <w:spacing w:after="0"/>
              <w:rPr>
                <w:sz w:val="20"/>
                <w:szCs w:val="20"/>
                <w:color w:val="auto"/>
              </w:rPr>
            </w:pPr>
            <w:r>
              <w:rPr>
                <w:rFonts w:ascii="Arial" w:cs="Arial" w:eastAsia="Arial" w:hAnsi="Arial"/>
                <w:sz w:val="18"/>
                <w:szCs w:val="18"/>
                <w:color w:val="auto"/>
                <w:w w:val="99"/>
              </w:rPr>
              <w:t>IMPRIMIS PHARMACEUTICALS, INC., a corporation duly organized and existing under the laws of Delaware (herein called the “Company,”</w:t>
            </w:r>
          </w:p>
        </w:tc>
      </w:tr>
      <w:tr>
        <w:trPr>
          <w:trHeight w:val="212"/>
        </w:trPr>
        <w:tc>
          <w:tcPr>
            <w:tcW w:w="10280" w:type="dxa"/>
            <w:vAlign w:val="bottom"/>
            <w:gridSpan w:val="7"/>
          </w:tcPr>
          <w:p>
            <w:pPr>
              <w:spacing w:after="0"/>
              <w:rPr>
                <w:sz w:val="20"/>
                <w:szCs w:val="20"/>
                <w:color w:val="auto"/>
              </w:rPr>
            </w:pPr>
            <w:r>
              <w:rPr>
                <w:rFonts w:ascii="Arial" w:cs="Arial" w:eastAsia="Arial" w:hAnsi="Arial"/>
                <w:sz w:val="18"/>
                <w:szCs w:val="18"/>
                <w:color w:val="auto"/>
                <w:w w:val="97"/>
              </w:rPr>
              <w:t>which term includes any successor Person under the Indenture hereinafter referred to), for value received, hereby promises to pay to</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or registered</w:t>
            </w:r>
          </w:p>
        </w:tc>
      </w:tr>
      <w:tr>
        <w:trPr>
          <w:trHeight w:val="220"/>
        </w:trPr>
        <w:tc>
          <w:tcPr>
            <w:tcW w:w="2880" w:type="dxa"/>
            <w:vAlign w:val="bottom"/>
            <w:gridSpan w:val="4"/>
          </w:tcPr>
          <w:p>
            <w:pPr>
              <w:spacing w:after="0"/>
              <w:rPr>
                <w:sz w:val="20"/>
                <w:szCs w:val="20"/>
                <w:color w:val="auto"/>
              </w:rPr>
            </w:pPr>
            <w:r>
              <w:rPr>
                <w:rFonts w:ascii="Arial" w:cs="Arial" w:eastAsia="Arial" w:hAnsi="Arial"/>
                <w:sz w:val="18"/>
                <w:szCs w:val="18"/>
                <w:color w:val="auto"/>
                <w:w w:val="92"/>
              </w:rPr>
              <w:t>assigns, the principal sum of dollars on</w:t>
            </w:r>
          </w:p>
        </w:tc>
        <w:tc>
          <w:tcPr>
            <w:tcW w:w="8260" w:type="dxa"/>
            <w:vAlign w:val="bottom"/>
            <w:gridSpan w:val="5"/>
          </w:tcPr>
          <w:p>
            <w:pPr>
              <w:ind w:left="58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color w:val="auto"/>
                <w:w w:val="98"/>
              </w:rPr>
              <w:t>if the Security is to bear interest prior to Maturity, insert —</w:t>
            </w:r>
            <w:r>
              <w:rPr>
                <w:rFonts w:ascii="Arial" w:cs="Arial" w:eastAsia="Arial" w:hAnsi="Arial"/>
                <w:sz w:val="18"/>
                <w:szCs w:val="18"/>
                <w:color w:val="auto"/>
                <w:w w:val="98"/>
              </w:rPr>
              <w:t xml:space="preserve"> , and to pay interest thereon from</w:t>
            </w:r>
          </w:p>
        </w:tc>
        <w:tc>
          <w:tcPr>
            <w:tcW w:w="280" w:type="dxa"/>
            <w:vAlign w:val="bottom"/>
          </w:tcPr>
          <w:p>
            <w:pPr>
              <w:jc w:val="right"/>
              <w:spacing w:after="0"/>
              <w:rPr>
                <w:sz w:val="20"/>
                <w:szCs w:val="20"/>
                <w:color w:val="auto"/>
              </w:rPr>
            </w:pPr>
            <w:r>
              <w:rPr>
                <w:rFonts w:ascii="Arial" w:cs="Arial" w:eastAsia="Arial" w:hAnsi="Arial"/>
                <w:sz w:val="18"/>
                <w:szCs w:val="18"/>
                <w:color w:val="auto"/>
              </w:rPr>
              <w:t>or</w:t>
            </w:r>
          </w:p>
        </w:tc>
      </w:tr>
      <w:tr>
        <w:trPr>
          <w:trHeight w:val="212"/>
        </w:trPr>
        <w:tc>
          <w:tcPr>
            <w:tcW w:w="8700" w:type="dxa"/>
            <w:vAlign w:val="bottom"/>
            <w:gridSpan w:val="5"/>
          </w:tcPr>
          <w:p>
            <w:pPr>
              <w:spacing w:after="0"/>
              <w:rPr>
                <w:sz w:val="20"/>
                <w:szCs w:val="20"/>
                <w:color w:val="auto"/>
              </w:rPr>
            </w:pPr>
            <w:r>
              <w:rPr>
                <w:rFonts w:ascii="Arial" w:cs="Arial" w:eastAsia="Arial" w:hAnsi="Arial"/>
                <w:sz w:val="18"/>
                <w:szCs w:val="18"/>
                <w:color w:val="auto"/>
                <w:w w:val="95"/>
              </w:rPr>
              <w:t>from the most recent Interest Payment Date to which interest has been paid or duly provided for, semi-annually on</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9"/>
              </w:rPr>
              <w:t>in each year,</w:t>
            </w:r>
          </w:p>
        </w:tc>
      </w:tr>
      <w:tr>
        <w:trPr>
          <w:trHeight w:val="194"/>
        </w:trPr>
        <w:tc>
          <w:tcPr>
            <w:tcW w:w="1160" w:type="dxa"/>
            <w:vAlign w:val="bottom"/>
            <w:gridSpan w:val="2"/>
          </w:tcPr>
          <w:p>
            <w:pPr>
              <w:spacing w:after="0" w:line="194" w:lineRule="exact"/>
              <w:rPr>
                <w:sz w:val="20"/>
                <w:szCs w:val="20"/>
                <w:color w:val="auto"/>
              </w:rPr>
            </w:pPr>
            <w:r>
              <w:rPr>
                <w:rFonts w:ascii="Arial" w:cs="Arial" w:eastAsia="Arial" w:hAnsi="Arial"/>
                <w:sz w:val="18"/>
                <w:szCs w:val="18"/>
                <w:color w:val="auto"/>
              </w:rPr>
              <w:t>commencing</w:t>
            </w:r>
          </w:p>
        </w:tc>
        <w:tc>
          <w:tcPr>
            <w:tcW w:w="1720" w:type="dxa"/>
            <w:vAlign w:val="bottom"/>
            <w:gridSpan w:val="2"/>
          </w:tcPr>
          <w:p>
            <w:pPr>
              <w:ind w:left="340"/>
              <w:spacing w:after="0" w:line="194" w:lineRule="exact"/>
              <w:rPr>
                <w:sz w:val="20"/>
                <w:szCs w:val="20"/>
                <w:color w:val="auto"/>
              </w:rPr>
            </w:pPr>
            <w:r>
              <w:rPr>
                <w:rFonts w:ascii="Arial" w:cs="Arial" w:eastAsia="Arial" w:hAnsi="Arial"/>
                <w:sz w:val="18"/>
                <w:szCs w:val="18"/>
                <w:color w:val="auto"/>
              </w:rPr>
              <w:t>, at the rate of</w:t>
            </w:r>
          </w:p>
        </w:tc>
        <w:tc>
          <w:tcPr>
            <w:tcW w:w="8540" w:type="dxa"/>
            <w:vAlign w:val="bottom"/>
            <w:gridSpan w:val="6"/>
          </w:tcPr>
          <w:p>
            <w:pPr>
              <w:jc w:val="right"/>
              <w:spacing w:after="0" w:line="194" w:lineRule="exact"/>
              <w:rPr>
                <w:sz w:val="20"/>
                <w:szCs w:val="20"/>
                <w:color w:val="auto"/>
              </w:rPr>
            </w:pPr>
            <w:r>
              <w:rPr>
                <w:rFonts w:ascii="Arial" w:cs="Arial" w:eastAsia="Arial" w:hAnsi="Arial"/>
                <w:sz w:val="18"/>
                <w:szCs w:val="18"/>
                <w:color w:val="auto"/>
                <w:w w:val="91"/>
              </w:rPr>
              <w:t>% per annum, until the principal hereof is paid or made available for payment [</w:t>
            </w:r>
            <w:r>
              <w:rPr>
                <w:rFonts w:ascii="Arial" w:cs="Arial" w:eastAsia="Arial" w:hAnsi="Arial"/>
                <w:sz w:val="18"/>
                <w:szCs w:val="18"/>
                <w:b w:val="1"/>
                <w:bCs w:val="1"/>
                <w:color w:val="auto"/>
                <w:w w:val="91"/>
              </w:rPr>
              <w:t>if applicable, insert —</w:t>
            </w:r>
            <w:r>
              <w:rPr>
                <w:rFonts w:ascii="Arial" w:cs="Arial" w:eastAsia="Arial" w:hAnsi="Arial"/>
                <w:sz w:val="18"/>
                <w:szCs w:val="18"/>
                <w:color w:val="auto"/>
                <w:w w:val="91"/>
              </w:rPr>
              <w:t xml:space="preserve"> , provided that</w:t>
            </w: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5" w:name="page116"/>
    <w:bookmarkEnd w:id="115"/>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to bear interest prior to Maturity, insert —</w:t>
      </w:r>
      <w:r>
        <w:rPr>
          <w:rFonts w:ascii="Arial" w:cs="Arial" w:eastAsia="Arial" w:hAnsi="Arial"/>
          <w:sz w:val="16"/>
          <w:szCs w:val="16"/>
          <w:color w:val="auto"/>
        </w:rPr>
        <w:t xml:space="preserve"> The principal of this Security shall not bear interest except in the case of a default in payment of principal upon acceleration, upon redemption or at Stated Maturity and in such case the overdue principal and any overdue premium</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 Payment of the principal of (and premium, if any) and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any such] interest on this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Security will be made at the office or agency of the Company maintained for that purpose in , in such coin or currency of the United States of America as at the time of payment is legal tender for payment of public and private debts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Dated: ___________________</w:t>
            </w:r>
          </w:p>
        </w:tc>
        <w:tc>
          <w:tcPr>
            <w:tcW w:w="7360" w:type="dxa"/>
            <w:vAlign w:val="bottom"/>
            <w:gridSpan w:val="2"/>
          </w:tcPr>
          <w:p>
            <w:pPr>
              <w:ind w:left="1900"/>
              <w:spacing w:after="0"/>
              <w:rPr>
                <w:sz w:val="20"/>
                <w:szCs w:val="20"/>
                <w:color w:val="auto"/>
              </w:rPr>
            </w:pPr>
            <w:r>
              <w:rPr>
                <w:rFonts w:ascii="Arial" w:cs="Arial" w:eastAsia="Arial" w:hAnsi="Arial"/>
                <w:sz w:val="18"/>
                <w:szCs w:val="18"/>
                <w:color w:val="auto"/>
              </w:rPr>
              <w:t>IMPRIMIS PHARMACEUTICALS, INC.</w:t>
            </w:r>
          </w:p>
        </w:tc>
      </w:tr>
      <w:tr>
        <w:trPr>
          <w:trHeight w:val="466"/>
        </w:trPr>
        <w:tc>
          <w:tcPr>
            <w:tcW w:w="4060" w:type="dxa"/>
            <w:vAlign w:val="bottom"/>
          </w:tcPr>
          <w:p>
            <w:pPr>
              <w:spacing w:after="0"/>
              <w:rPr>
                <w:sz w:val="24"/>
                <w:szCs w:val="24"/>
                <w:color w:val="auto"/>
              </w:rPr>
            </w:pPr>
          </w:p>
        </w:tc>
        <w:tc>
          <w:tcPr>
            <w:tcW w:w="2220" w:type="dxa"/>
            <w:vAlign w:val="bottom"/>
          </w:tcPr>
          <w:p>
            <w:pPr>
              <w:ind w:left="18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ATTEST:</w:t>
            </w:r>
          </w:p>
        </w:tc>
        <w:tc>
          <w:tcPr>
            <w:tcW w:w="2220" w:type="dxa"/>
            <w:vAlign w:val="bottom"/>
          </w:tcPr>
          <w:p>
            <w:pPr>
              <w:ind w:left="1840"/>
              <w:spacing w:after="0"/>
              <w:rPr>
                <w:sz w:val="20"/>
                <w:szCs w:val="20"/>
                <w:color w:val="auto"/>
              </w:rPr>
            </w:pPr>
            <w:r>
              <w:rPr>
                <w:rFonts w:ascii="Arial" w:cs="Arial" w:eastAsia="Arial" w:hAnsi="Arial"/>
                <w:sz w:val="18"/>
                <w:szCs w:val="18"/>
                <w:color w:val="auto"/>
                <w:w w:val="92"/>
              </w:rPr>
              <w:t>Title:</w:t>
            </w:r>
          </w:p>
        </w:tc>
        <w:tc>
          <w:tcPr>
            <w:tcW w:w="5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36017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017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Form of Reverse of Security.</w:t>
      </w:r>
    </w:p>
    <w:p>
      <w:pPr>
        <w:spacing w:after="0" w:line="22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 200 (herein called the “Indenture,” which term shall have the meaning assigned to it in such instrument), between the</w:t>
      </w:r>
    </w:p>
    <w:p>
      <w:pPr>
        <w:jc w:val="both"/>
        <w:spacing w:after="0" w:line="281" w:lineRule="auto"/>
        <w:rPr>
          <w:sz w:val="20"/>
          <w:szCs w:val="20"/>
          <w:color w:val="auto"/>
        </w:rPr>
      </w:pPr>
      <w:r>
        <w:rPr>
          <w:rFonts w:ascii="Arial" w:cs="Arial" w:eastAsia="Arial" w:hAnsi="Arial"/>
          <w:sz w:val="16"/>
          <w:szCs w:val="16"/>
          <w:color w:val="auto"/>
        </w:rPr>
        <w:t>Company and ,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limited in aggregate principal amount to</w:t>
      </w:r>
    </w:p>
    <w:p>
      <w:pPr>
        <w:spacing w:after="0" w:line="3" w:lineRule="exact"/>
        <w:rPr>
          <w:sz w:val="20"/>
          <w:szCs w:val="20"/>
          <w:color w:val="auto"/>
        </w:rPr>
      </w:pPr>
    </w:p>
    <w:p>
      <w:pPr>
        <w:ind w:left="600" w:hanging="59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Securities of this series are subject to redemption upon not less than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30] days’ notice by mail,</w:t>
      </w:r>
    </w:p>
    <w:p>
      <w:pPr>
        <w:spacing w:after="0" w:line="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 (1) on in any year commencing with the year and ending with the year through operation of the sinking fund for this series at a Redemption Price equal to 100% of the principal amount, and (2)] at any time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on or after , 20 ], as a whole or in part, at the election of the Company, at the following Redemption Prices (expressed as percentages of the principal amount): If redeemed </w:t>
      </w:r>
      <w:r>
        <w:rPr>
          <w:rFonts w:ascii="Arial" w:cs="Arial" w:eastAsia="Arial" w:hAnsi="Arial"/>
          <w:sz w:val="17"/>
          <w:szCs w:val="17"/>
          <w:b w:val="1"/>
          <w:bCs w:val="1"/>
          <w:color w:val="auto"/>
        </w:rPr>
        <w:t>[if applicable,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insert — </w:t>
            </w:r>
            <w:r>
              <w:rPr>
                <w:rFonts w:ascii="Arial" w:cs="Arial" w:eastAsia="Arial" w:hAnsi="Arial"/>
                <w:sz w:val="18"/>
                <w:szCs w:val="18"/>
                <w:color w:val="auto"/>
              </w:rPr>
              <w:t>on or before</w:t>
            </w:r>
          </w:p>
        </w:tc>
        <w:tc>
          <w:tcPr>
            <w:tcW w:w="5160" w:type="dxa"/>
            <w:vAlign w:val="bottom"/>
            <w:gridSpan w:val="5"/>
          </w:tcPr>
          <w:p>
            <w:pPr>
              <w:ind w:left="220"/>
              <w:spacing w:after="0"/>
              <w:rPr>
                <w:sz w:val="20"/>
                <w:szCs w:val="20"/>
                <w:color w:val="auto"/>
              </w:rPr>
            </w:pPr>
            <w:r>
              <w:rPr>
                <w:rFonts w:ascii="Arial" w:cs="Arial" w:eastAsia="Arial" w:hAnsi="Arial"/>
                <w:sz w:val="18"/>
                <w:szCs w:val="18"/>
                <w:color w:val="auto"/>
              </w:rPr>
              <w:t>,   %, and if redeemed] during the 12-month period beginning</w:t>
            </w:r>
          </w:p>
        </w:tc>
        <w:tc>
          <w:tcPr>
            <w:tcW w:w="3600" w:type="dxa"/>
            <w:vAlign w:val="bottom"/>
            <w:gridSpan w:val="3"/>
          </w:tcPr>
          <w:p>
            <w:pPr>
              <w:ind w:left="120"/>
              <w:spacing w:after="0"/>
              <w:rPr>
                <w:sz w:val="20"/>
                <w:szCs w:val="20"/>
                <w:color w:val="auto"/>
              </w:rPr>
            </w:pPr>
            <w:r>
              <w:rPr>
                <w:rFonts w:ascii="Arial" w:cs="Arial" w:eastAsia="Arial" w:hAnsi="Arial"/>
                <w:sz w:val="18"/>
                <w:szCs w:val="18"/>
                <w:color w:val="auto"/>
              </w:rPr>
              <w:t>of the years indicated,</w:t>
            </w:r>
          </w:p>
        </w:tc>
      </w:tr>
      <w:tr>
        <w:trPr>
          <w:trHeight w:val="421"/>
        </w:trPr>
        <w:tc>
          <w:tcPr>
            <w:tcW w:w="580" w:type="dxa"/>
            <w:vAlign w:val="bottom"/>
          </w:tcPr>
          <w:p>
            <w:pPr>
              <w:spacing w:after="0"/>
              <w:rPr>
                <w:sz w:val="24"/>
                <w:szCs w:val="24"/>
                <w:color w:val="auto"/>
              </w:rPr>
            </w:pPr>
          </w:p>
        </w:tc>
        <w:tc>
          <w:tcPr>
            <w:tcW w:w="1520" w:type="dxa"/>
            <w:vAlign w:val="bottom"/>
          </w:tcPr>
          <w:p>
            <w:pPr>
              <w:ind w:left="960"/>
              <w:spacing w:after="0"/>
              <w:rPr>
                <w:sz w:val="20"/>
                <w:szCs w:val="20"/>
                <w:color w:val="auto"/>
              </w:rPr>
            </w:pPr>
            <w:r>
              <w:rPr>
                <w:rFonts w:ascii="Arial" w:cs="Arial" w:eastAsia="Arial" w:hAnsi="Arial"/>
                <w:sz w:val="18"/>
                <w:szCs w:val="18"/>
                <w:b w:val="1"/>
                <w:bCs w:val="1"/>
                <w:color w:val="auto"/>
              </w:rPr>
              <w:t>Year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2"/>
          </w:tcPr>
          <w:p>
            <w:pPr>
              <w:ind w:left="520"/>
              <w:spacing w:after="0"/>
              <w:rPr>
                <w:sz w:val="20"/>
                <w:szCs w:val="20"/>
                <w:color w:val="auto"/>
              </w:rPr>
            </w:pPr>
            <w:r>
              <w:rPr>
                <w:rFonts w:ascii="Arial" w:cs="Arial" w:eastAsia="Arial" w:hAnsi="Arial"/>
                <w:sz w:val="18"/>
                <w:szCs w:val="18"/>
                <w:b w:val="1"/>
                <w:bCs w:val="1"/>
                <w:color w:val="auto"/>
              </w:rPr>
              <w:t>Redemption Price</w:t>
            </w:r>
          </w:p>
        </w:tc>
        <w:tc>
          <w:tcPr>
            <w:tcW w:w="1520" w:type="dxa"/>
            <w:vAlign w:val="bottom"/>
          </w:tcPr>
          <w:p>
            <w:pPr>
              <w:ind w:left="1040"/>
              <w:spacing w:after="0"/>
              <w:rPr>
                <w:sz w:val="20"/>
                <w:szCs w:val="20"/>
                <w:color w:val="auto"/>
              </w:rPr>
            </w:pPr>
            <w:r>
              <w:rPr>
                <w:rFonts w:ascii="Arial" w:cs="Arial" w:eastAsia="Arial" w:hAnsi="Arial"/>
                <w:sz w:val="18"/>
                <w:szCs w:val="18"/>
                <w:b w:val="1"/>
                <w:bCs w:val="1"/>
                <w:color w:val="auto"/>
              </w:rPr>
              <w:t>Year</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ind w:left="520"/>
              <w:spacing w:after="0"/>
              <w:rPr>
                <w:sz w:val="20"/>
                <w:szCs w:val="20"/>
                <w:color w:val="auto"/>
              </w:rPr>
            </w:pPr>
            <w:r>
              <w:rPr>
                <w:rFonts w:ascii="Arial" w:cs="Arial" w:eastAsia="Arial" w:hAnsi="Arial"/>
                <w:sz w:val="18"/>
                <w:szCs w:val="18"/>
                <w:b w:val="1"/>
                <w:bCs w:val="1"/>
                <w:color w:val="auto"/>
              </w:rPr>
              <w:t>Redemption Price</w:t>
            </w:r>
          </w:p>
        </w:tc>
      </w:tr>
      <w:tr>
        <w:trPr>
          <w:trHeight w:val="216"/>
        </w:trPr>
        <w:tc>
          <w:tcPr>
            <w:tcW w:w="580" w:type="dxa"/>
            <w:vAlign w:val="bottom"/>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Securities of this series are subject to redemption upon not less than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 30] days’ notice by mail, (1) on in any year commencing with the year and ending with the year through operation of the sinking fund for this series at the</w:t>
      </w:r>
    </w:p>
    <w:p>
      <w:pPr>
        <w:spacing w:after="0"/>
        <w:rPr>
          <w:sz w:val="20"/>
          <w:szCs w:val="20"/>
          <w:color w:val="auto"/>
        </w:rPr>
      </w:pPr>
      <w:r>
        <w:rPr>
          <w:rFonts w:ascii="Arial" w:cs="Arial" w:eastAsia="Arial" w:hAnsi="Arial"/>
          <w:sz w:val="16"/>
          <w:szCs w:val="16"/>
          <w:color w:val="auto"/>
        </w:rPr>
        <w:t>Redemption Prices for redemption through operation of the sinking fund (expressed as percentages of the principal amount) set forth in the table below, and</w:t>
      </w:r>
    </w:p>
    <w:p>
      <w:pPr>
        <w:spacing w:after="0" w:line="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(2) at any time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on or after ], as a whole or in part, at the election of the Company, at the Redemption Prices for redemption otherwise than through operation of the sinking fund (expressed as percentages of the principal amount) set forth in the table below: If redeemed during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12-month period beginning</w:t>
            </w:r>
          </w:p>
        </w:tc>
        <w:tc>
          <w:tcPr>
            <w:tcW w:w="2940" w:type="dxa"/>
            <w:vAlign w:val="bottom"/>
            <w:gridSpan w:val="3"/>
          </w:tcPr>
          <w:p>
            <w:pPr>
              <w:ind w:left="80"/>
              <w:spacing w:after="0"/>
              <w:rPr>
                <w:sz w:val="20"/>
                <w:szCs w:val="20"/>
                <w:color w:val="auto"/>
              </w:rPr>
            </w:pPr>
            <w:r>
              <w:rPr>
                <w:rFonts w:ascii="Arial" w:cs="Arial" w:eastAsia="Arial" w:hAnsi="Arial"/>
                <w:sz w:val="18"/>
                <w:szCs w:val="18"/>
                <w:color w:val="auto"/>
              </w:rPr>
              <w:t>of the years indicated,</w:t>
            </w: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00"/>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 For</w:t>
            </w:r>
          </w:p>
        </w:tc>
      </w:tr>
      <w:tr>
        <w:trPr>
          <w:trHeight w:val="216"/>
        </w:trPr>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Redemption Price For</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r>
      <w:tr>
        <w:trPr>
          <w:trHeight w:val="216"/>
        </w:trPr>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Redemption Through</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Otherwise Than Through</w:t>
            </w:r>
          </w:p>
        </w:tc>
      </w:tr>
      <w:tr>
        <w:trPr>
          <w:trHeight w:val="216"/>
        </w:trPr>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 of the Sinking</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 of the Sinking</w:t>
            </w:r>
          </w:p>
        </w:tc>
      </w:tr>
      <w:tr>
        <w:trPr>
          <w:trHeight w:val="241"/>
        </w:trPr>
        <w:tc>
          <w:tcPr>
            <w:tcW w:w="580" w:type="dxa"/>
            <w:vAlign w:val="bottom"/>
          </w:tcPr>
          <w:p>
            <w:pPr>
              <w:spacing w:after="0"/>
              <w:rPr>
                <w:sz w:val="20"/>
                <w:szCs w:val="20"/>
                <w:color w:val="auto"/>
              </w:rPr>
            </w:pPr>
          </w:p>
        </w:tc>
        <w:tc>
          <w:tcPr>
            <w:tcW w:w="2220" w:type="dxa"/>
            <w:vAlign w:val="bottom"/>
          </w:tcPr>
          <w:p>
            <w:pPr>
              <w:ind w:left="92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2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Fund</w:t>
            </w:r>
          </w:p>
        </w:tc>
        <w:tc>
          <w:tcPr>
            <w:tcW w:w="2660" w:type="dxa"/>
            <w:vAlign w:val="bottom"/>
            <w:gridSpan w:val="2"/>
          </w:tcPr>
          <w:p>
            <w:pPr>
              <w:ind w:left="1020"/>
              <w:spacing w:after="0"/>
              <w:rPr>
                <w:sz w:val="20"/>
                <w:szCs w:val="20"/>
                <w:color w:val="auto"/>
              </w:rPr>
            </w:pPr>
            <w:r>
              <w:rPr>
                <w:rFonts w:ascii="Arial" w:cs="Arial" w:eastAsia="Arial" w:hAnsi="Arial"/>
                <w:sz w:val="18"/>
                <w:szCs w:val="18"/>
                <w:b w:val="1"/>
                <w:bCs w:val="1"/>
                <w:color w:val="auto"/>
              </w:rPr>
              <w:t>Year</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Fund</w:t>
            </w:r>
          </w:p>
        </w:tc>
      </w:tr>
      <w:tr>
        <w:trPr>
          <w:trHeight w:val="216"/>
        </w:trPr>
        <w:tc>
          <w:tcPr>
            <w:tcW w:w="58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Notwithstanding the foregoing, the Company may not, prior to , redeem any Securities of this series as contemplated by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sinking fund for this series provides for the redemption on , in each year beginning with the year and ending with the year of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 less than $ (“mandatory sinking fund”) and not more than] $ aggregate principal amount of</w:t>
      </w:r>
    </w:p>
    <w:p>
      <w:pPr>
        <w:jc w:val="both"/>
        <w:spacing w:after="0" w:line="255" w:lineRule="auto"/>
        <w:rPr>
          <w:sz w:val="20"/>
          <w:szCs w:val="20"/>
          <w:color w:val="auto"/>
        </w:rPr>
      </w:pPr>
      <w:r>
        <w:rPr>
          <w:rFonts w:ascii="Arial" w:cs="Arial" w:eastAsia="Arial" w:hAnsi="Arial"/>
          <w:sz w:val="18"/>
          <w:szCs w:val="18"/>
          <w:color w:val="auto"/>
        </w:rPr>
        <w:t>Securities of this series. Securities of this series acquired or redeemed by the Company otherwise than through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insert —</w:t>
      </w:r>
      <w:r>
        <w:rPr>
          <w:rFonts w:ascii="Arial" w:cs="Arial" w:eastAsia="Arial" w:hAnsi="Arial"/>
          <w:sz w:val="18"/>
          <w:szCs w:val="18"/>
          <w:color w:val="auto"/>
        </w:rPr>
        <w:t>, in the inverse order in which they become due].]</w:t>
      </w:r>
    </w:p>
    <w:p>
      <w:pPr>
        <w:spacing w:after="0" w:line="18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7" w:name="page118"/>
    <w:bookmarkEnd w:id="117"/>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1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[If the Security is convertible into other securities of the Company, specify the conversion features.] </w:t>
      </w:r>
      <w:r>
        <w:rPr>
          <w:rFonts w:ascii="Arial" w:cs="Arial" w:eastAsia="Arial" w:hAnsi="Arial"/>
          <w:sz w:val="16"/>
          <w:szCs w:val="16"/>
          <w:color w:val="auto"/>
        </w:rPr>
        <w:t>The indebtedness evidenced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5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an Original Issue Discount Security, insert —</w:t>
      </w:r>
      <w:r>
        <w:rPr>
          <w:rFonts w:ascii="Arial" w:cs="Arial" w:eastAsia="Arial" w:hAnsi="Arial"/>
          <w:sz w:val="16"/>
          <w:szCs w:val="16"/>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 </w:t>
      </w:r>
      <w:r>
        <w:rPr>
          <w:rFonts w:ascii="Arial" w:cs="Arial" w:eastAsia="Arial" w:hAnsi="Arial"/>
          <w:sz w:val="18"/>
          <w:szCs w:val="18"/>
          <w:b w:val="1"/>
          <w:bCs w:val="1"/>
          <w:color w:val="auto"/>
        </w:rPr>
        <w:t>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8" w:name="page119"/>
    <w:bookmarkEnd w:id="118"/>
    <w:p>
      <w:pPr>
        <w:jc w:val="both"/>
        <w:ind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that are defined in the Indenture shall have the meanings assigned to them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Form of Legend for Global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Form of 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34048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Section 2.6 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IMPRIMIS PHARMACEUTICALS,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Signature(s) must be guaranteed by an eligible guarantor institution (banks,</w:t>
      </w:r>
    </w:p>
    <w:p>
      <w:pPr>
        <w:spacing w:after="0" w:line="35" w:lineRule="exact"/>
        <w:rPr>
          <w:sz w:val="20"/>
          <w:szCs w:val="20"/>
          <w:color w:val="auto"/>
        </w:rPr>
      </w:pPr>
    </w:p>
    <w:p>
      <w:pPr>
        <w:ind w:left="5720"/>
        <w:spacing w:after="0"/>
        <w:tabs>
          <w:tab w:leader="none" w:pos="6220" w:val="left"/>
          <w:tab w:leader="none" w:pos="6960" w:val="left"/>
          <w:tab w:leader="none" w:pos="7640" w:val="left"/>
          <w:tab w:leader="none" w:pos="8040" w:val="left"/>
          <w:tab w:leader="none" w:pos="8480" w:val="left"/>
          <w:tab w:leader="none" w:pos="9500" w:val="left"/>
          <w:tab w:leader="none" w:pos="9900" w:val="left"/>
          <w:tab w:leader="none" w:pos="10460" w:val="left"/>
          <w:tab w:leader="none" w:pos="11080" w:val="left"/>
        </w:tabs>
        <w:rPr>
          <w:sz w:val="20"/>
          <w:szCs w:val="20"/>
          <w:color w:val="auto"/>
        </w:rPr>
      </w:pPr>
      <w:r>
        <w:rPr>
          <w:rFonts w:ascii="Arial" w:cs="Arial" w:eastAsia="Arial" w:hAnsi="Arial"/>
          <w:sz w:val="18"/>
          <w:szCs w:val="18"/>
          <w:color w:val="auto"/>
        </w:rPr>
        <w:t>stock</w:t>
        <w:tab/>
        <w:t>brokers,</w:t>
        <w:tab/>
        <w:t>savings</w:t>
        <w:tab/>
        <w:t>and</w:t>
        <w:tab/>
        <w:t>loan</w:t>
        <w:tab/>
        <w:t>associations</w:t>
        <w:tab/>
        <w:t>and</w:t>
        <w:tab/>
        <w:t>credit</w:t>
        <w:tab/>
        <w:t>unions</w:t>
      </w:r>
      <w:r>
        <w:rPr>
          <w:sz w:val="20"/>
          <w:szCs w:val="20"/>
          <w:color w:val="auto"/>
        </w:rPr>
        <w:tab/>
      </w:r>
      <w:r>
        <w:rPr>
          <w:rFonts w:ascii="Arial" w:cs="Arial" w:eastAsia="Arial" w:hAnsi="Arial"/>
          <w:sz w:val="17"/>
          <w:szCs w:val="17"/>
          <w:color w:val="auto"/>
        </w:rPr>
        <w:t>with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membership in an approved signature guarantee medallion program) pursuant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 Securities and Exchange Commission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280035</wp:posOffset>
            </wp:positionV>
            <wp:extent cx="36188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348170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348170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0" w:name="page121"/>
    <w:bookmarkEnd w:id="120"/>
    <w:p>
      <w:pPr>
        <w:ind w:left="620" w:hanging="252"/>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w:t>
      </w:r>
    </w:p>
    <w:p>
      <w:pPr>
        <w:spacing w:after="0" w:line="225" w:lineRule="exact"/>
        <w:rPr>
          <w:rFonts w:ascii="Arial" w:cs="Arial" w:eastAsia="Arial" w:hAnsi="Arial"/>
          <w:sz w:val="18"/>
          <w:szCs w:val="18"/>
          <w:color w:val="auto"/>
        </w:rPr>
      </w:pPr>
    </w:p>
    <w:p>
      <w:pPr>
        <w:jc w:val="both"/>
        <w:ind w:firstLine="368"/>
        <w:spacing w:after="0" w:line="259" w:lineRule="auto"/>
        <w:tabs>
          <w:tab w:leader="none" w:pos="6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firstLine="368"/>
        <w:spacing w:after="0" w:line="277" w:lineRule="auto"/>
        <w:tabs>
          <w:tab w:leader="none" w:pos="62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70" w:lineRule="exact"/>
        <w:rPr>
          <w:rFonts w:ascii="Arial" w:cs="Arial" w:eastAsia="Arial" w:hAnsi="Arial"/>
          <w:sz w:val="18"/>
          <w:szCs w:val="18"/>
          <w:color w:val="auto"/>
        </w:rPr>
      </w:pPr>
    </w:p>
    <w:p>
      <w:pPr>
        <w:ind w:left="620" w:hanging="252"/>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firstLine="368"/>
        <w:spacing w:after="0" w:line="264" w:lineRule="auto"/>
        <w:tabs>
          <w:tab w:leader="none" w:pos="6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jc w:val="both"/>
        <w:ind w:firstLine="368"/>
        <w:spacing w:after="0" w:line="264" w:lineRule="auto"/>
        <w:tabs>
          <w:tab w:leader="none" w:pos="6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jc w:val="both"/>
        <w:ind w:firstLine="368"/>
        <w:spacing w:after="0" w:line="264" w:lineRule="auto"/>
        <w:tabs>
          <w:tab w:leader="none" w:pos="6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289" w:lineRule="exact"/>
        <w:rPr>
          <w:rFonts w:ascii="Arial" w:cs="Arial" w:eastAsia="Arial" w:hAnsi="Arial"/>
          <w:sz w:val="18"/>
          <w:szCs w:val="18"/>
          <w:color w:val="auto"/>
        </w:rPr>
      </w:pPr>
    </w:p>
    <w:p>
      <w:pPr>
        <w:ind w:left="660" w:hanging="292"/>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other than denominations of $1,000 and any integral multiple thereof, the denominations in which any Securities of the series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issuable;</w:t>
      </w:r>
    </w:p>
    <w:p>
      <w:pPr>
        <w:spacing w:after="0" w:line="210" w:lineRule="exact"/>
        <w:rPr>
          <w:rFonts w:ascii="Arial" w:cs="Arial" w:eastAsia="Arial" w:hAnsi="Arial"/>
          <w:sz w:val="17"/>
          <w:szCs w:val="17"/>
          <w:color w:val="auto"/>
        </w:rPr>
      </w:pPr>
    </w:p>
    <w:p>
      <w:pPr>
        <w:ind w:right="20" w:firstLine="368"/>
        <w:spacing w:after="0" w:line="277" w:lineRule="auto"/>
        <w:tabs>
          <w:tab w:leader="none" w:pos="7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firstLine="368"/>
        <w:spacing w:after="0" w:line="264" w:lineRule="auto"/>
        <w:tabs>
          <w:tab w:leader="none" w:pos="7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81" w:lineRule="exact"/>
        <w:rPr>
          <w:rFonts w:ascii="Arial" w:cs="Arial" w:eastAsia="Arial" w:hAnsi="Arial"/>
          <w:sz w:val="18"/>
          <w:szCs w:val="18"/>
          <w:color w:val="auto"/>
        </w:rPr>
      </w:pPr>
    </w:p>
    <w:p>
      <w:pPr>
        <w:jc w:val="both"/>
        <w:ind w:firstLine="368"/>
        <w:spacing w:after="0" w:line="257" w:lineRule="auto"/>
        <w:tabs>
          <w:tab w:leader="none" w:pos="7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8" w:lineRule="exact"/>
        <w:rPr>
          <w:rFonts w:ascii="Arial" w:cs="Arial" w:eastAsia="Arial" w:hAnsi="Arial"/>
          <w:sz w:val="18"/>
          <w:szCs w:val="18"/>
          <w:color w:val="auto"/>
        </w:rPr>
      </w:pPr>
    </w:p>
    <w:p>
      <w:pPr>
        <w:ind w:firstLine="368"/>
        <w:spacing w:after="0" w:line="277" w:lineRule="auto"/>
        <w:tabs>
          <w:tab w:leader="none" w:pos="70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600" w:top="665" w:right="239" w:bottom="1440" w:gutter="0" w:footer="0" w:header="0"/>
        </w:sectPr>
      </w:pPr>
    </w:p>
    <w:bookmarkStart w:id="121" w:name="page122"/>
    <w:bookmarkEnd w:id="121"/>
    <w:p>
      <w:pPr>
        <w:jc w:val="both"/>
        <w:ind w:left="360" w:firstLine="368"/>
        <w:spacing w:after="0" w:line="257" w:lineRule="auto"/>
        <w:tabs>
          <w:tab w:leader="none" w:pos="10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jc w:val="both"/>
        <w:ind w:left="360" w:firstLine="368"/>
        <w:spacing w:after="0" w:line="264" w:lineRule="auto"/>
        <w:tabs>
          <w:tab w:leader="none" w:pos="10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1" w:lineRule="exact"/>
        <w:rPr>
          <w:rFonts w:ascii="Arial" w:cs="Arial" w:eastAsia="Arial" w:hAnsi="Arial"/>
          <w:sz w:val="18"/>
          <w:szCs w:val="18"/>
          <w:color w:val="auto"/>
        </w:rPr>
      </w:pPr>
    </w:p>
    <w:p>
      <w:pPr>
        <w:ind w:left="360" w:firstLine="368"/>
        <w:spacing w:after="0" w:line="277" w:lineRule="auto"/>
        <w:tabs>
          <w:tab w:leader="none" w:pos="108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jc w:val="both"/>
        <w:ind w:left="360" w:firstLine="368"/>
        <w:spacing w:after="0" w:line="255" w:lineRule="auto"/>
        <w:tabs>
          <w:tab w:leader="none" w:pos="1078"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Form of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93" w:lineRule="exact"/>
        <w:rPr>
          <w:rFonts w:ascii="Arial" w:cs="Arial" w:eastAsia="Arial" w:hAnsi="Arial"/>
          <w:sz w:val="18"/>
          <w:szCs w:val="18"/>
          <w:color w:val="auto"/>
        </w:rPr>
      </w:pPr>
    </w:p>
    <w:p>
      <w:pPr>
        <w:ind w:left="360" w:firstLine="368"/>
        <w:spacing w:after="0" w:line="277" w:lineRule="auto"/>
        <w:tabs>
          <w:tab w:leader="none" w:pos="10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70" w:lineRule="exact"/>
        <w:rPr>
          <w:rFonts w:ascii="Arial" w:cs="Arial" w:eastAsia="Arial" w:hAnsi="Arial"/>
          <w:sz w:val="18"/>
          <w:szCs w:val="18"/>
          <w:color w:val="auto"/>
        </w:rPr>
      </w:pPr>
    </w:p>
    <w:p>
      <w:pPr>
        <w:ind w:left="1080" w:hanging="35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left="360" w:firstLine="368"/>
        <w:spacing w:after="0" w:line="277" w:lineRule="auto"/>
        <w:tabs>
          <w:tab w:leader="none" w:pos="10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left="360" w:right="20" w:firstLine="368"/>
        <w:spacing w:after="0" w:line="277" w:lineRule="auto"/>
        <w:tabs>
          <w:tab w:leader="none" w:pos="107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360" w:right="20" w:firstLine="368"/>
        <w:spacing w:after="0" w:line="277" w:lineRule="auto"/>
        <w:tabs>
          <w:tab w:leader="none" w:pos="10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terms of any guaranties for the Securities and any circumstances under which there may be additional obligors on the Securities;</w:t>
      </w:r>
    </w:p>
    <w:p>
      <w:pPr>
        <w:spacing w:after="0" w:line="170" w:lineRule="exact"/>
        <w:rPr>
          <w:rFonts w:ascii="Arial" w:cs="Arial" w:eastAsia="Arial" w:hAnsi="Arial"/>
          <w:sz w:val="18"/>
          <w:szCs w:val="18"/>
          <w:color w:val="auto"/>
        </w:rPr>
      </w:pPr>
    </w:p>
    <w:p>
      <w:pPr>
        <w:jc w:val="both"/>
        <w:ind w:left="360" w:firstLine="368"/>
        <w:spacing w:after="0" w:line="264" w:lineRule="auto"/>
        <w:tabs>
          <w:tab w:leader="none" w:pos="107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addition to or change in or modification to the subordinated provisions of this Indenture relating to the Securities of that series (including the provisions of Article 15), or different subordination provisions, including a different definition of “Senior Debt” or “Designated Senior Debt,” will apply to Securities of the series; and</w:t>
      </w:r>
    </w:p>
    <w:p>
      <w:pPr>
        <w:spacing w:after="0" w:line="181" w:lineRule="exact"/>
        <w:rPr>
          <w:rFonts w:ascii="Arial" w:cs="Arial" w:eastAsia="Arial" w:hAnsi="Arial"/>
          <w:sz w:val="18"/>
          <w:szCs w:val="18"/>
          <w:color w:val="auto"/>
        </w:rPr>
      </w:pPr>
    </w:p>
    <w:p>
      <w:pPr>
        <w:ind w:left="1100" w:hanging="372"/>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other terms of the series (which terms shall not be inconsistent with the provisions of this Indenture, except as permitted by Section</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9.1(5)).</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2" w:name="page123"/>
    <w:bookmarkEnd w:id="122"/>
    <w:p>
      <w:pPr>
        <w:jc w:val="both"/>
        <w:ind w:firstLine="648"/>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Securities shall be subordinated in right of payment to Senior Debt as provided in Article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Denominations.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89" w:lineRule="exact"/>
        <w:rPr>
          <w:sz w:val="20"/>
          <w:szCs w:val="20"/>
          <w:color w:val="auto"/>
        </w:rPr>
      </w:pPr>
    </w:p>
    <w:p>
      <w:pPr>
        <w:ind w:left="660" w:firstLine="645"/>
        <w:spacing w:after="0" w:line="277" w:lineRule="auto"/>
        <w:tabs>
          <w:tab w:leader="none" w:pos="15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firstLine="645"/>
        <w:spacing w:after="0" w:line="277" w:lineRule="auto"/>
        <w:tabs>
          <w:tab w:leader="none" w:pos="15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3" w:name="page124"/>
    <w:bookmarkEnd w:id="123"/>
    <w:p>
      <w:pPr>
        <w:jc w:val="both"/>
        <w:ind w:firstLine="648"/>
        <w:spacing w:after="0" w:line="259"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4" w:name="page125"/>
    <w:bookmarkEnd w:id="124"/>
    <w:p>
      <w:pPr>
        <w:jc w:val="both"/>
        <w:ind w:firstLine="648"/>
        <w:spacing w:after="0" w:line="297" w:lineRule="auto"/>
        <w:rPr>
          <w:sz w:val="20"/>
          <w:szCs w:val="20"/>
          <w:color w:val="auto"/>
        </w:rPr>
      </w:pPr>
      <w:r>
        <w:rPr>
          <w:rFonts w:ascii="Arial" w:cs="Arial" w:eastAsia="Arial" w:hAnsi="Arial"/>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 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jc w:val="both"/>
        <w:ind w:left="660" w:right="20" w:firstLine="645"/>
        <w:spacing w:after="0" w:line="264" w:lineRule="auto"/>
        <w:tabs>
          <w:tab w:leader="none" w:pos="15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602"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571"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Mutilated, Destroyed, Lost and Stolen Securities.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5" w:name="page126"/>
    <w:bookmarkEnd w:id="125"/>
    <w:p>
      <w:pPr>
        <w:jc w:val="both"/>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3.7Payment of Interest; Interest Rights Preserved.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jc w:val="both"/>
        <w:ind w:left="660" w:firstLine="645"/>
        <w:spacing w:after="0" w:line="286" w:lineRule="auto"/>
        <w:tabs>
          <w:tab w:leader="none" w:pos="156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6" w:name="page127"/>
    <w:bookmarkEnd w:id="126"/>
    <w:p>
      <w:pPr>
        <w:jc w:val="both"/>
        <w:ind w:left="660" w:firstLine="645"/>
        <w:spacing w:after="0" w:line="259" w:lineRule="auto"/>
        <w:tabs>
          <w:tab w:leader="none" w:pos="15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SDISCHARGE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Satisfaction and Discharge of Indenture.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7" w:name="page128"/>
    <w:bookmarkEnd w:id="127"/>
    <w:p>
      <w:pPr>
        <w:ind w:left="1560" w:hanging="255"/>
        <w:spacing w:after="0"/>
        <w:tabs>
          <w:tab w:leader="none" w:pos="1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980" w:firstLine="649"/>
        <w:spacing w:after="0" w:line="259" w:lineRule="auto"/>
        <w:tabs>
          <w:tab w:leader="none" w:pos="19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6" w:lineRule="exact"/>
        <w:rPr>
          <w:rFonts w:ascii="Arial" w:cs="Arial" w:eastAsia="Arial" w:hAnsi="Arial"/>
          <w:sz w:val="18"/>
          <w:szCs w:val="18"/>
          <w:color w:val="auto"/>
        </w:rPr>
      </w:pPr>
    </w:p>
    <w:p>
      <w:pPr>
        <w:ind w:left="1920" w:hanging="291"/>
        <w:spacing w:after="0"/>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2"/>
          <w:numId w:val="89"/>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300" w:firstLine="653"/>
        <w:spacing w:after="0" w:line="277" w:lineRule="auto"/>
        <w:tabs>
          <w:tab w:leader="none" w:pos="2287" w:val="left"/>
        </w:tabs>
        <w:numPr>
          <w:ilvl w:val="2"/>
          <w:numId w:val="89"/>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560" w:hanging="255"/>
        <w:spacing w:after="0"/>
        <w:tabs>
          <w:tab w:leader="none" w:pos="1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5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Application of Trust Money.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“Event of Default,” wherever used herein with respect to Securities of any series, means any one of the following events (whatever the reason for such Event of Default and whether it shall be occasioned by the provisions of Article 15 or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series shall not have the benefit of said Event of Default: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8" w:name="page129"/>
    <w:bookmarkEnd w:id="128"/>
    <w:p>
      <w:pPr>
        <w:ind w:left="660" w:firstLine="645"/>
        <w:spacing w:after="0" w:line="277" w:lineRule="auto"/>
        <w:tabs>
          <w:tab w:leader="none" w:pos="1563"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60 days; or</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1568" w:val="left"/>
        </w:tabs>
        <w:numPr>
          <w:ilvl w:val="0"/>
          <w:numId w:val="91"/>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15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9" w:lineRule="exact"/>
        <w:rPr>
          <w:rFonts w:ascii="Arial" w:cs="Arial" w:eastAsia="Arial" w:hAnsi="Arial"/>
          <w:sz w:val="18"/>
          <w:szCs w:val="18"/>
          <w:color w:val="auto"/>
        </w:rPr>
      </w:pPr>
    </w:p>
    <w:p>
      <w:pPr>
        <w:jc w:val="both"/>
        <w:ind w:left="660" w:firstLine="645"/>
        <w:spacing w:after="0" w:line="253" w:lineRule="auto"/>
        <w:tabs>
          <w:tab w:leader="none" w:pos="157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7" w:lineRule="exact"/>
        <w:rPr>
          <w:rFonts w:ascii="Arial" w:cs="Arial" w:eastAsia="Arial" w:hAnsi="Arial"/>
          <w:sz w:val="18"/>
          <w:szCs w:val="18"/>
          <w:color w:val="auto"/>
        </w:rPr>
      </w:pPr>
    </w:p>
    <w:p>
      <w:pPr>
        <w:ind w:left="660" w:right="20" w:firstLine="645"/>
        <w:spacing w:after="0" w:line="277" w:lineRule="auto"/>
        <w:tabs>
          <w:tab w:leader="none" w:pos="1563"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Acceleration of Maturity; Rescission and Annulment.</w:t>
      </w:r>
    </w:p>
    <w:p>
      <w:pPr>
        <w:spacing w:after="0" w:line="229" w:lineRule="exact"/>
        <w:rPr>
          <w:sz w:val="20"/>
          <w:szCs w:val="20"/>
          <w:color w:val="auto"/>
        </w:rPr>
      </w:pPr>
    </w:p>
    <w:p>
      <w:pPr>
        <w:jc w:val="both"/>
        <w:ind w:firstLine="656"/>
        <w:spacing w:after="0" w:line="287" w:lineRule="auto"/>
        <w:tabs>
          <w:tab w:leader="none" w:pos="902" w:val="left"/>
        </w:tabs>
        <w:numPr>
          <w:ilvl w:val="0"/>
          <w:numId w:val="92"/>
        </w:numPr>
        <w:rPr>
          <w:rFonts w:ascii="Arial" w:cs="Arial" w:eastAsia="Arial" w:hAnsi="Arial"/>
          <w:sz w:val="16"/>
          <w:szCs w:val="16"/>
          <w:color w:val="auto"/>
        </w:rPr>
      </w:pPr>
      <w:r>
        <w:rPr>
          <w:rFonts w:ascii="Arial" w:cs="Arial" w:eastAsia="Arial" w:hAnsi="Arial"/>
          <w:sz w:val="16"/>
          <w:szCs w:val="16"/>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 Any payments by the Company on the Securities following any such acceleration will be subject to the subordination provisions of Article 15 to the extent provided therein.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9" w:name="page130"/>
    <w:bookmarkEnd w:id="129"/>
    <w:p>
      <w:pPr>
        <w:jc w:val="both"/>
        <w:ind w:firstLine="656"/>
        <w:spacing w:after="0" w:line="269" w:lineRule="auto"/>
        <w:tabs>
          <w:tab w:leader="none" w:pos="931"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181st day after such Reporting Default (if such violation is not cured or waived prior to such 181st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3" w:lineRule="exact"/>
        <w:rPr>
          <w:sz w:val="20"/>
          <w:szCs w:val="20"/>
          <w:color w:val="auto"/>
        </w:rPr>
      </w:pPr>
    </w:p>
    <w:p>
      <w:pPr>
        <w:jc w:val="both"/>
        <w:ind w:firstLine="656"/>
        <w:spacing w:after="0" w:line="312" w:lineRule="auto"/>
        <w:tabs>
          <w:tab w:leader="none" w:pos="904" w:val="left"/>
        </w:tabs>
        <w:numPr>
          <w:ilvl w:val="0"/>
          <w:numId w:val="94"/>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6" w:lineRule="exact"/>
        <w:rPr>
          <w:rFonts w:ascii="Arial" w:cs="Arial" w:eastAsia="Arial" w:hAnsi="Arial"/>
          <w:sz w:val="16"/>
          <w:szCs w:val="16"/>
          <w:color w:val="auto"/>
        </w:rPr>
      </w:pPr>
    </w:p>
    <w:p>
      <w:pPr>
        <w:ind w:left="1560" w:hanging="255"/>
        <w:spacing w:after="0"/>
        <w:tabs>
          <w:tab w:leader="none" w:pos="15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240" w:hanging="287"/>
        <w:spacing w:after="0"/>
        <w:tabs>
          <w:tab w:leader="none" w:pos="22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1300" w:firstLine="653"/>
        <w:spacing w:after="0" w:line="277" w:lineRule="auto"/>
        <w:tabs>
          <w:tab w:leader="none" w:pos="2266" w:val="left"/>
        </w:tabs>
        <w:numPr>
          <w:ilvl w:val="2"/>
          <w:numId w:val="94"/>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1300" w:firstLine="653"/>
        <w:spacing w:after="0" w:line="277" w:lineRule="auto"/>
        <w:tabs>
          <w:tab w:leader="none" w:pos="2248" w:val="left"/>
        </w:tabs>
        <w:numPr>
          <w:ilvl w:val="2"/>
          <w:numId w:val="94"/>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170" w:lineRule="exact"/>
        <w:rPr>
          <w:rFonts w:ascii="Arial" w:cs="Arial" w:eastAsia="Arial" w:hAnsi="Arial"/>
          <w:sz w:val="18"/>
          <w:szCs w:val="18"/>
          <w:color w:val="auto"/>
        </w:rPr>
      </w:pPr>
    </w:p>
    <w:p>
      <w:pPr>
        <w:ind w:left="1300" w:firstLine="653"/>
        <w:spacing w:after="0" w:line="277" w:lineRule="auto"/>
        <w:tabs>
          <w:tab w:leader="none" w:pos="2253" w:val="left"/>
        </w:tabs>
        <w:numPr>
          <w:ilvl w:val="2"/>
          <w:numId w:val="94"/>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56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5"/>
        <w:spacing w:after="0" w:line="277" w:lineRule="auto"/>
        <w:tabs>
          <w:tab w:leader="none" w:pos="15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5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 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Section 5.6 Application of Money Collected.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Subject to Article 15,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Limitation on Suits.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such Holder has previously given written notice to the Trustee of a continuing Event of Default with respect to the Securities of that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right="20" w:firstLine="645"/>
        <w:spacing w:after="0" w:line="277" w:lineRule="auto"/>
        <w:tabs>
          <w:tab w:leader="none" w:pos="15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5"/>
        <w:spacing w:after="0" w:line="277" w:lineRule="auto"/>
        <w:tabs>
          <w:tab w:leader="none" w:pos="1582"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left="660" w:firstLine="645"/>
        <w:spacing w:after="0" w:line="277" w:lineRule="auto"/>
        <w:tabs>
          <w:tab w:leader="none" w:pos="1566"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Unconditional Right of Holders to Receive Principal, Premium and Interest and to Convert.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Section 5.9 Restoration of Rights and Remedies.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660" w:right="20" w:firstLine="645"/>
        <w:spacing w:after="0" w:line="308" w:lineRule="auto"/>
        <w:tabs>
          <w:tab w:leader="none" w:pos="1582"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that is not inconsistent with such direction or this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jc w:val="both"/>
        <w:ind w:left="660" w:firstLine="645"/>
        <w:spacing w:after="0" w:line="264" w:lineRule="auto"/>
        <w:tabs>
          <w:tab w:leader="none" w:pos="15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660" w:firstLine="645"/>
        <w:spacing w:after="0" w:line="277" w:lineRule="auto"/>
        <w:tabs>
          <w:tab w:leader="none" w:pos="156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3" w:name="page134"/>
    <w:bookmarkEnd w:id="133"/>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5.15 Waiver of Usury, Stay or Extension 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Notice of Defaults.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in the case of any default of the character specified in Section 5.1(4) with respect to Securities of such series, no such notice to Holders shall be given until at least 60 days after the occurrence thereof. For the purpose of this Section, the term “default” means any event that is, or after notice or lapse of time or both would become, an Event of Default with respect to Securities of such series.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4" w:name="page135"/>
    <w:bookmarkEnd w:id="134"/>
    <w:p>
      <w:pPr>
        <w:jc w:val="both"/>
        <w:ind w:firstLine="648"/>
        <w:spacing w:after="0" w:line="259" w:lineRule="auto"/>
        <w:rPr>
          <w:sz w:val="20"/>
          <w:szCs w:val="20"/>
          <w:color w:val="auto"/>
        </w:rPr>
      </w:pPr>
      <w:r>
        <w:rPr>
          <w:rFonts w:ascii="Arial" w:cs="Arial" w:eastAsia="Arial" w:hAnsi="Arial"/>
          <w:sz w:val="18"/>
          <w:szCs w:val="18"/>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Certain Rights of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left="660" w:firstLine="645"/>
        <w:spacing w:after="0" w:line="312" w:lineRule="auto"/>
        <w:tabs>
          <w:tab w:leader="none" w:pos="1564"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20" w:firstLine="645"/>
        <w:spacing w:after="0" w:line="277" w:lineRule="auto"/>
        <w:tabs>
          <w:tab w:leader="none" w:pos="15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181" w:lineRule="exact"/>
        <w:rPr>
          <w:rFonts w:ascii="Arial" w:cs="Arial" w:eastAsia="Arial" w:hAnsi="Arial"/>
          <w:sz w:val="18"/>
          <w:szCs w:val="18"/>
          <w:color w:val="auto"/>
        </w:rPr>
      </w:pPr>
    </w:p>
    <w:p>
      <w:pPr>
        <w:ind w:left="660" w:right="20" w:firstLine="645"/>
        <w:spacing w:after="0" w:line="308" w:lineRule="auto"/>
        <w:tabs>
          <w:tab w:leader="none" w:pos="1585"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left="660" w:firstLine="645"/>
        <w:spacing w:after="0" w:line="264" w:lineRule="auto"/>
        <w:tabs>
          <w:tab w:leader="none" w:pos="15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59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Not Responsible for Recitals or Issuance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Section 6.5 May Hold Securities and Act as Trustee under Other Indentures.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 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Money Held in Trust.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firstLine="645"/>
        <w:spacing w:after="0" w:line="277" w:lineRule="auto"/>
        <w:tabs>
          <w:tab w:leader="none" w:pos="15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56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Conflicting Interests.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Section 6.9 Corporate Trustee Required; Eligibility.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6.11. 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5"/>
        <w:spacing w:after="0" w:line="277" w:lineRule="auto"/>
        <w:tabs>
          <w:tab w:leader="none" w:pos="157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firstLine="645"/>
        <w:spacing w:after="0" w:line="277" w:lineRule="auto"/>
        <w:tabs>
          <w:tab w:leader="none" w:pos="15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thes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7" w:name="page138"/>
    <w:bookmarkEnd w:id="137"/>
    <w:p>
      <w:pPr>
        <w:jc w:val="both"/>
        <w:ind w:firstLine="648"/>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-36-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No successor Trustee shall accept its appointment unless at the time of such acceptance such successor Trustee shall be qualified and eligible under this Article.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a predecessor Trustee, with the full force and effect which this Indenture provides for the certificate of authentication of the Trustee.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9" w:name="page140"/>
    <w:bookmarkEnd w:id="139"/>
    <w:p>
      <w:pPr>
        <w:ind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both"/>
        <w:ind w:left="660" w:firstLine="645"/>
        <w:spacing w:after="0" w:line="264" w:lineRule="auto"/>
        <w:tabs>
          <w:tab w:leader="none" w:pos="15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56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list need be furnished by the Company to the Trustee so long as the Trustee is acting as Security Registrar.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Preservation of Information; Communications to 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rights of Holders to communicate with other Holders with respect to their rights under this Indenture or under the Securities, and the corresponding rights and privileges of the Trustee, shall be as provided by the Trust Indenture Act. 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Reports by Trustee.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1" w:name="page142"/>
    <w:bookmarkEnd w:id="141"/>
    <w:p>
      <w:pPr>
        <w:jc w:val="both"/>
        <w:ind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Reports by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Company May Consolidate, etc., Only on Certain Terms.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1" w:lineRule="exact"/>
        <w:rPr>
          <w:sz w:val="20"/>
          <w:szCs w:val="20"/>
          <w:color w:val="auto"/>
        </w:rPr>
      </w:pPr>
    </w:p>
    <w:p>
      <w:pPr>
        <w:jc w:val="both"/>
        <w:ind w:left="660" w:firstLine="645"/>
        <w:spacing w:after="0" w:line="269" w:lineRule="auto"/>
        <w:tabs>
          <w:tab w:leader="none" w:pos="157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82" w:lineRule="exact"/>
        <w:rPr>
          <w:rFonts w:ascii="Arial" w:cs="Arial" w:eastAsia="Arial" w:hAnsi="Arial"/>
          <w:sz w:val="17"/>
          <w:szCs w:val="17"/>
          <w:color w:val="auto"/>
        </w:rPr>
      </w:pPr>
    </w:p>
    <w:p>
      <w:pPr>
        <w:jc w:val="both"/>
        <w:ind w:left="660" w:firstLine="645"/>
        <w:spacing w:after="0" w:line="312" w:lineRule="auto"/>
        <w:tabs>
          <w:tab w:leader="none" w:pos="157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6" w:lineRule="exact"/>
        <w:rPr>
          <w:rFonts w:ascii="Arial" w:cs="Arial" w:eastAsia="Arial" w:hAnsi="Arial"/>
          <w:sz w:val="16"/>
          <w:szCs w:val="16"/>
          <w:color w:val="auto"/>
        </w:rPr>
      </w:pPr>
    </w:p>
    <w:p>
      <w:pPr>
        <w:jc w:val="both"/>
        <w:ind w:left="660" w:firstLine="645"/>
        <w:spacing w:after="0" w:line="286" w:lineRule="auto"/>
        <w:tabs>
          <w:tab w:leader="none" w:pos="158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Section 8.2 Successor Substituted.</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Supplemental Indentures Without Consent of 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ind w:left="660" w:right="20" w:firstLine="645"/>
        <w:spacing w:after="0" w:line="277" w:lineRule="auto"/>
        <w:tabs>
          <w:tab w:leader="none" w:pos="157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7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jc w:val="both"/>
        <w:ind w:left="660" w:firstLine="645"/>
        <w:spacing w:after="0" w:line="288" w:lineRule="auto"/>
        <w:tabs>
          <w:tab w:leader="none" w:pos="157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to add to, change or eliminate any of the provisions of this Indenture in respect of one or more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ind w:left="940" w:hanging="284"/>
        <w:spacing w:after="0"/>
        <w:tabs>
          <w:tab w:leader="none" w:pos="9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210" w:lineRule="exact"/>
        <w:rPr>
          <w:rFonts w:ascii="Arial" w:cs="Arial" w:eastAsia="Arial" w:hAnsi="Arial"/>
          <w:sz w:val="18"/>
          <w:szCs w:val="18"/>
          <w:color w:val="auto"/>
        </w:rPr>
      </w:pPr>
    </w:p>
    <w:p>
      <w:pPr>
        <w:ind w:left="1560" w:hanging="255"/>
        <w:spacing w:after="0"/>
        <w:tabs>
          <w:tab w:leader="none" w:pos="15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 or</w:t>
      </w:r>
    </w:p>
    <w:p>
      <w:pPr>
        <w:spacing w:after="0" w:line="248" w:lineRule="exact"/>
        <w:rPr>
          <w:rFonts w:ascii="Arial" w:cs="Arial" w:eastAsia="Arial" w:hAnsi="Arial"/>
          <w:sz w:val="16"/>
          <w:szCs w:val="16"/>
          <w:color w:val="auto"/>
        </w:rPr>
      </w:pPr>
    </w:p>
    <w:p>
      <w:pPr>
        <w:ind w:left="1560" w:hanging="255"/>
        <w:spacing w:after="0"/>
        <w:tabs>
          <w:tab w:leader="none" w:pos="15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58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3" w:name="page144"/>
    <w:bookmarkEnd w:id="143"/>
    <w:p>
      <w:pPr>
        <w:jc w:val="both"/>
        <w:ind w:left="660" w:firstLine="645"/>
        <w:spacing w:after="0" w:line="286" w:lineRule="auto"/>
        <w:tabs>
          <w:tab w:leader="none" w:pos="166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166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Supplemental Indentures with Consent of Holders.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3" w:lineRule="exact"/>
        <w:rPr>
          <w:sz w:val="20"/>
          <w:szCs w:val="20"/>
          <w:color w:val="auto"/>
        </w:rPr>
      </w:pPr>
    </w:p>
    <w:p>
      <w:pPr>
        <w:jc w:val="both"/>
        <w:ind w:left="660" w:firstLine="645"/>
        <w:spacing w:after="0" w:line="253" w:lineRule="auto"/>
        <w:tabs>
          <w:tab w:leader="none" w:pos="15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such series of Securities in a manner materially adverse to the Holders of Securities of such series, or,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97"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8" w:lineRule="exact"/>
        <w:rPr>
          <w:rFonts w:ascii="Arial" w:cs="Arial" w:eastAsia="Arial" w:hAnsi="Arial"/>
          <w:sz w:val="18"/>
          <w:szCs w:val="18"/>
          <w:color w:val="auto"/>
        </w:rPr>
      </w:pPr>
    </w:p>
    <w:p>
      <w:pPr>
        <w:ind w:left="660" w:firstLine="645"/>
        <w:spacing w:after="0" w:line="277" w:lineRule="auto"/>
        <w:tabs>
          <w:tab w:leader="none" w:pos="157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applicable, make any change that adversely affects the right to convert any security as provided in Article 14 or pursuant to Section 3.1 (except as permitted by Section 9.1(9)).</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It shall not be necessary for any Act of Holders under this Section to approve the particular form of any proposed supplemental indenture, but it shall be sufficient if such Act shall approve the substance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Section 9.3 Execution of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Effect of Supplemental Indentures.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Reference in Securities to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Subordination Unimpaired.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provision in any supplemental indenture that affects the superior position of the holders of Senior Debt shall be effective against holders of Senior Debt.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Payment of Principal, Premium and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Maintenance of Office or Agency.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5" w:name="page146"/>
    <w:bookmarkEnd w:id="145"/>
    <w:p>
      <w:pPr>
        <w:jc w:val="both"/>
        <w:ind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Money for Securities Payments to be Held in Trust.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Section 10.4 Statement by Officers as to Default.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Maintenance of Properties.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Payment of Taxes and Other Claims.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Waiver of Certain Covenants.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Election to Redeem; Notice to Trustee.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Selection by Trustee of Securities to Be Redeemed.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Section 11.4 Notice of Redemption.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of redemption shall be given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60" w:hanging="255"/>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57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such Security, the Holder of such Security will receive, without charge, a new Security or Securities of authorized denominations for the principal amount thereof remaining unredeemed,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59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660" w:firstLine="645"/>
        <w:spacing w:after="0" w:line="342" w:lineRule="auto"/>
        <w:tabs>
          <w:tab w:leader="none" w:pos="15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applicable, the conversion price or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560" w:hanging="255"/>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Deposit of Redemption Price.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Section 11.6 Securities Payable on Redemption Date.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Securities Redeemed in Part.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Satisfaction of Sinking Fund Payments with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Section 12.3 Redemption of Securities for Sinking Fund.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Company’s Option to Effect Defeasance or Covenant Defeasance.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13.2 Defeasance and Discharge.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Company’s exercise of its option (if any) to have this Section applied to any Securities or any series of Securities, as the case may be, the Company shall be deemed to have been discharged from its obligations, and the provisions of Article 15 shall cease to be effective,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89" w:lineRule="exact"/>
        <w:rPr>
          <w:sz w:val="20"/>
          <w:szCs w:val="20"/>
          <w:color w:val="auto"/>
        </w:rPr>
      </w:pPr>
    </w:p>
    <w:p>
      <w:pPr>
        <w:ind w:left="660" w:firstLine="645"/>
        <w:spacing w:after="0" w:line="277" w:lineRule="auto"/>
        <w:tabs>
          <w:tab w:leader="none" w:pos="15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Company’s obligations with respect to such Securities under Sections 3.4, 3.5, 3.6, 10.2 and 10.3, and, if applicable, Article 14,</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Section 13.3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maybe,</w:t>
      </w:r>
    </w:p>
    <w:p>
      <w:pPr>
        <w:spacing w:after="0" w:line="237" w:lineRule="exact"/>
        <w:rPr>
          <w:sz w:val="20"/>
          <w:szCs w:val="20"/>
          <w:color w:val="auto"/>
        </w:rPr>
      </w:pPr>
    </w:p>
    <w:p>
      <w:pPr>
        <w:ind w:left="660" w:firstLine="645"/>
        <w:spacing w:after="0" w:line="277" w:lineRule="auto"/>
        <w:tabs>
          <w:tab w:leader="none" w:pos="15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occurrence of any event specified in Sections 5.1(4) (with respect to any of Sections 10.6 and 10.7 and any such covenants provided pursuant to Section 3.1(19), 9.1(2) or 9.1(7)) and the occurrence of any Event of Default specified pursuant to Section 3.1, shall be deemed not to be or result in an Event of Default,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of Article 15 shall cease to be effective,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each case with respect to such Securities or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Event of Default specified pursuant to Section 3.1) or Article 15,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13.4 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jc w:val="both"/>
        <w:ind w:left="660" w:firstLine="645"/>
        <w:spacing w:after="0" w:line="259" w:lineRule="auto"/>
        <w:tabs>
          <w:tab w:leader="none" w:pos="159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7" w:lineRule="exact"/>
        <w:rPr>
          <w:sz w:val="20"/>
          <w:szCs w:val="20"/>
          <w:color w:val="auto"/>
        </w:rPr>
      </w:pPr>
    </w:p>
    <w:p>
      <w:pPr>
        <w:ind w:left="1600" w:hanging="295"/>
        <w:spacing w:after="0"/>
        <w:tabs>
          <w:tab w:leader="none" w:pos="16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2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1580" w:hanging="275"/>
        <w:spacing w:after="0"/>
        <w:tabs>
          <w:tab w:leader="none" w:pos="1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rFonts w:ascii="Arial" w:cs="Arial" w:eastAsia="Arial" w:hAnsi="Arial"/>
          <w:sz w:val="18"/>
          <w:szCs w:val="18"/>
          <w:color w:val="auto"/>
        </w:rPr>
      </w:pPr>
    </w:p>
    <w:p>
      <w:pPr>
        <w:ind w:left="1300" w:firstLine="653"/>
        <w:spacing w:after="0" w:line="277" w:lineRule="auto"/>
        <w:tabs>
          <w:tab w:leader="none" w:pos="226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2" w:name="page153"/>
    <w:bookmarkEnd w:id="152"/>
    <w:p>
      <w:pPr>
        <w:ind w:firstLine="645"/>
        <w:spacing w:after="0" w:line="277" w:lineRule="auto"/>
        <w:tabs>
          <w:tab w:leader="none" w:pos="90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w:t>
      </w:r>
    </w:p>
    <w:p>
      <w:pPr>
        <w:spacing w:after="0" w:line="170" w:lineRule="exact"/>
        <w:rPr>
          <w:rFonts w:ascii="Arial" w:cs="Arial" w:eastAsia="Arial" w:hAnsi="Arial"/>
          <w:sz w:val="18"/>
          <w:szCs w:val="18"/>
          <w:color w:val="auto"/>
        </w:rPr>
      </w:pPr>
    </w:p>
    <w:p>
      <w:pPr>
        <w:ind w:left="1580" w:hanging="287"/>
        <w:spacing w:after="0"/>
        <w:tabs>
          <w:tab w:leader="none" w:pos="15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25" w:lineRule="exact"/>
        <w:rPr>
          <w:rFonts w:ascii="Arial" w:cs="Arial" w:eastAsia="Arial" w:hAnsi="Arial"/>
          <w:sz w:val="18"/>
          <w:szCs w:val="18"/>
          <w:color w:val="auto"/>
        </w:rPr>
      </w:pPr>
    </w:p>
    <w:p>
      <w:pPr>
        <w:ind w:left="1580" w:hanging="287"/>
        <w:spacing w:after="0"/>
        <w:tabs>
          <w:tab w:leader="none" w:pos="15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since the date of this instrument, there has been a change in the applicable Federal income tax law,</w:t>
      </w:r>
    </w:p>
    <w:p>
      <w:pPr>
        <w:spacing w:after="0" w:line="225" w:lineRule="exact"/>
        <w:rPr>
          <w:rFonts w:ascii="Arial" w:cs="Arial" w:eastAsia="Arial" w:hAnsi="Arial"/>
          <w:sz w:val="18"/>
          <w:szCs w:val="18"/>
          <w:color w:val="auto"/>
        </w:rPr>
      </w:pPr>
    </w:p>
    <w:p>
      <w:pPr>
        <w:jc w:val="both"/>
        <w:ind w:left="640" w:firstLine="653"/>
        <w:spacing w:after="0" w:line="259" w:lineRule="auto"/>
        <w:tabs>
          <w:tab w:leader="none" w:pos="158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6" w:lineRule="exact"/>
        <w:rPr>
          <w:rFonts w:ascii="Arial" w:cs="Arial" w:eastAsia="Arial" w:hAnsi="Arial"/>
          <w:sz w:val="18"/>
          <w:szCs w:val="18"/>
          <w:color w:val="auto"/>
        </w:rPr>
      </w:pPr>
    </w:p>
    <w:p>
      <w:pPr>
        <w:jc w:val="both"/>
        <w:ind w:firstLine="645"/>
        <w:spacing w:after="0" w:line="257" w:lineRule="auto"/>
        <w:tabs>
          <w:tab w:leader="none" w:pos="90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Arial" w:cs="Arial" w:eastAsia="Arial" w:hAnsi="Arial"/>
          <w:sz w:val="18"/>
          <w:szCs w:val="18"/>
          <w:color w:val="auto"/>
        </w:rPr>
      </w:pPr>
    </w:p>
    <w:p>
      <w:pPr>
        <w:ind w:firstLine="645"/>
        <w:spacing w:after="0" w:line="277" w:lineRule="auto"/>
        <w:tabs>
          <w:tab w:leader="none" w:pos="93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jc w:val="both"/>
        <w:ind w:firstLine="645"/>
        <w:spacing w:after="0" w:line="291" w:lineRule="auto"/>
        <w:tabs>
          <w:tab w:leader="none" w:pos="91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w:t>
      </w:r>
    </w:p>
    <w:p>
      <w:pPr>
        <w:spacing w:after="0" w:line="261" w:lineRule="auto"/>
        <w:rPr>
          <w:rFonts w:ascii="Arial" w:cs="Arial" w:eastAsia="Arial" w:hAnsi="Arial"/>
          <w:sz w:val="16"/>
          <w:szCs w:val="16"/>
          <w:color w:val="auto"/>
        </w:rPr>
      </w:pPr>
      <w:r>
        <w:rPr>
          <w:rFonts w:ascii="Arial" w:cs="Arial" w:eastAsia="Arial" w:hAnsi="Arial"/>
          <w:sz w:val="18"/>
          <w:szCs w:val="18"/>
          <w:color w:val="auto"/>
        </w:rPr>
        <w:t>(6), at any time on or prior to the 90th day after the date of such deposit (it being understood that this condition shall not be deemed satisfied until after such 90th day).</w:t>
      </w:r>
    </w:p>
    <w:p>
      <w:pPr>
        <w:spacing w:after="0" w:line="183" w:lineRule="exact"/>
        <w:rPr>
          <w:rFonts w:ascii="Arial" w:cs="Arial" w:eastAsia="Arial" w:hAnsi="Arial"/>
          <w:sz w:val="16"/>
          <w:szCs w:val="16"/>
          <w:color w:val="auto"/>
        </w:rPr>
      </w:pPr>
    </w:p>
    <w:p>
      <w:pPr>
        <w:ind w:firstLine="645"/>
        <w:spacing w:after="0" w:line="277" w:lineRule="auto"/>
        <w:tabs>
          <w:tab w:leader="none" w:pos="92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right="20" w:firstLine="645"/>
        <w:spacing w:after="0" w:line="277" w:lineRule="auto"/>
        <w:tabs>
          <w:tab w:leader="none" w:pos="9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53" w:name="page154"/>
    <w:bookmarkEnd w:id="153"/>
    <w:p>
      <w:pPr>
        <w:ind w:left="660" w:firstLine="645"/>
        <w:spacing w:after="0" w:line="342" w:lineRule="auto"/>
        <w:tabs>
          <w:tab w:leader="none" w:pos="15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23" w:lineRule="exact"/>
        <w:rPr>
          <w:rFonts w:ascii="Arial" w:cs="Arial" w:eastAsia="Arial" w:hAnsi="Arial"/>
          <w:sz w:val="16"/>
          <w:szCs w:val="16"/>
          <w:color w:val="auto"/>
        </w:rPr>
      </w:pPr>
    </w:p>
    <w:p>
      <w:pPr>
        <w:ind w:left="1560" w:hanging="255"/>
        <w:spacing w:after="0"/>
        <w:tabs>
          <w:tab w:leader="none" w:pos="1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the time of such deposit,</w:t>
      </w:r>
    </w:p>
    <w:p>
      <w:pPr>
        <w:spacing w:after="0" w:line="225" w:lineRule="exact"/>
        <w:rPr>
          <w:rFonts w:ascii="Arial" w:cs="Arial" w:eastAsia="Arial" w:hAnsi="Arial"/>
          <w:sz w:val="18"/>
          <w:szCs w:val="18"/>
          <w:color w:val="auto"/>
        </w:rPr>
      </w:pPr>
    </w:p>
    <w:p>
      <w:pPr>
        <w:ind w:left="2240" w:hanging="287"/>
        <w:spacing w:after="0"/>
        <w:tabs>
          <w:tab w:leader="none" w:pos="224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 default in the payment of any principal of or premium or interest on any Senior Debt shall have occurred and be continuing,</w:t>
      </w:r>
    </w:p>
    <w:p>
      <w:pPr>
        <w:spacing w:after="0" w:line="248" w:lineRule="exact"/>
        <w:rPr>
          <w:rFonts w:ascii="Arial" w:cs="Arial" w:eastAsia="Arial" w:hAnsi="Arial"/>
          <w:sz w:val="16"/>
          <w:szCs w:val="16"/>
          <w:color w:val="auto"/>
        </w:rPr>
      </w:pPr>
    </w:p>
    <w:p>
      <w:pPr>
        <w:jc w:val="both"/>
        <w:ind w:left="1300" w:firstLine="653"/>
        <w:spacing w:after="0" w:line="264" w:lineRule="auto"/>
        <w:tabs>
          <w:tab w:leader="none" w:pos="224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w:t>
      </w:r>
    </w:p>
    <w:p>
      <w:pPr>
        <w:spacing w:after="0" w:line="181" w:lineRule="exact"/>
        <w:rPr>
          <w:rFonts w:ascii="Arial" w:cs="Arial" w:eastAsia="Arial" w:hAnsi="Arial"/>
          <w:sz w:val="18"/>
          <w:szCs w:val="18"/>
          <w:color w:val="auto"/>
        </w:rPr>
      </w:pPr>
    </w:p>
    <w:p>
      <w:pPr>
        <w:jc w:val="both"/>
        <w:ind w:left="1300" w:firstLine="653"/>
        <w:spacing w:after="0" w:line="264" w:lineRule="auto"/>
        <w:tabs>
          <w:tab w:leader="none" w:pos="225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81" w:lineRule="exact"/>
        <w:rPr>
          <w:rFonts w:ascii="Arial" w:cs="Arial" w:eastAsia="Arial" w:hAnsi="Arial"/>
          <w:sz w:val="18"/>
          <w:szCs w:val="18"/>
          <w:color w:val="auto"/>
        </w:rPr>
      </w:pPr>
    </w:p>
    <w:p>
      <w:pPr>
        <w:ind w:left="660" w:firstLine="645"/>
        <w:spacing w:after="0" w:line="277" w:lineRule="auto"/>
        <w:tabs>
          <w:tab w:leader="none" w:pos="16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U.S. Government Obligations and Foreign Government Obligations so held in trust shall not be subject to the provisions of Article 15.</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13.6 Reinstatement.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 Applicability of Article.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14.2 Exercise of Conversion Privilege.</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5" w:name="page156"/>
    <w:bookmarkEnd w:id="155"/>
    <w:p>
      <w:pPr>
        <w:jc w:val="both"/>
        <w:ind w:firstLine="648"/>
        <w:spacing w:after="0" w:line="264" w:lineRule="auto"/>
        <w:rPr>
          <w:sz w:val="20"/>
          <w:szCs w:val="20"/>
          <w:color w:val="auto"/>
        </w:rPr>
      </w:pPr>
      <w:r>
        <w:rPr>
          <w:rFonts w:ascii="Arial" w:cs="Arial" w:eastAsia="Arial" w:hAnsi="Arial"/>
          <w:sz w:val="18"/>
          <w:szCs w:val="18"/>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14.3 No Fractional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principal exchange or market on which the Common Stock is then traded or quoted.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14.4 Adjustment of Conversion Price or Conversion 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mailed, first class postage prepaid, to each Holder of Securities of such series at its address appearing on the Security Register and to any conversion agent other than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14.5 Notice of Certain Corporate 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w:t>
      </w:r>
    </w:p>
    <w:p>
      <w:pPr>
        <w:spacing w:after="0" w:line="225" w:lineRule="exact"/>
        <w:rPr>
          <w:sz w:val="20"/>
          <w:szCs w:val="20"/>
          <w:color w:val="auto"/>
        </w:rPr>
      </w:pPr>
    </w:p>
    <w:p>
      <w:pPr>
        <w:jc w:val="both"/>
        <w:ind w:left="660" w:firstLine="645"/>
        <w:spacing w:after="0" w:line="264" w:lineRule="auto"/>
        <w:tabs>
          <w:tab w:leader="none" w:pos="156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6" w:name="page157"/>
    <w:bookmarkEnd w:id="156"/>
    <w:p>
      <w:pPr>
        <w:jc w:val="both"/>
        <w:ind w:left="660" w:firstLine="645"/>
        <w:spacing w:after="0" w:line="264" w:lineRule="auto"/>
        <w:tabs>
          <w:tab w:leader="none" w:pos="15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w:t>
      </w:r>
    </w:p>
    <w:p>
      <w:pPr>
        <w:jc w:val="both"/>
        <w:ind w:firstLine="8"/>
        <w:spacing w:after="0" w:line="290" w:lineRule="auto"/>
        <w:tabs>
          <w:tab w:leader="none" w:pos="21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14.6 Reservation of Shares of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14.7 Payment of Certain Taxes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14.8 Nonassessability.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Section 14.9 Provision in Case of Consolidation, Merger or Sale of Assets.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14.10 Duties of Trustee Regarding Conversion.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14.11 Repayment of Certain Funds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 Agreement of 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 supplemental indenture or pursuant to Section 3.1, the Company covenants and agrees, and each Holder of Securities issued hereunder by its acceptance thereof likewise covenants and agrees, that all Securities shall be issued subject to the provisions of this Article 15; and each Person holding any Security, whether upon original issue or upon transfer, assignment or exchange thereof, accepts and agrees to be bound by such provisions.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payment of the principal of, premium, if any, and interest on all Securities (including, but not limited to, the redemption price with respect to the Securities called for redemption in accordance with Article 11 as provided in the Indenture) issued hereunder shall, to the extent and in the manner hereinafter set forth, be subordinated and subject in right of payment to the prior payment in full of all Senior Debt, whether outstanding at the date of this Indenture or thereafter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15 shall prevent the occurrence of any default or Event of Default hereunder.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15.2 Payments to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payment shall be made with respect to the principal of, or premium, if any, or interest on the Securities (including, but not limited to, the redemption price with respect to the Securities to be called for redemption in accordance with Article 11 as provided in the Indenture), except payments and distributions made by the Trustee as permitted by the first or second paragraph of Section 15.5, if:</w:t>
      </w:r>
    </w:p>
    <w:p>
      <w:pPr>
        <w:spacing w:after="0" w:line="181" w:lineRule="exact"/>
        <w:rPr>
          <w:sz w:val="20"/>
          <w:szCs w:val="20"/>
          <w:color w:val="auto"/>
        </w:rPr>
      </w:pPr>
    </w:p>
    <w:p>
      <w:pPr>
        <w:jc w:val="both"/>
        <w:ind w:left="1300" w:right="20" w:firstLine="653"/>
        <w:spacing w:after="0" w:line="259" w:lineRule="auto"/>
        <w:tabs>
          <w:tab w:leader="none" w:pos="217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default in the payment of principal, premium, if any, interest, rent or other obligations due on any Senior Debt occurs and is continuing (or, in the case of Senior Debt for which there is a period of grace, in the event of such a default that continues beyond the period of grace, if any, specified in the instrument or lease evidencing such Senior Debt) (a “Payment Default”), unless and until such default shall have been cured or waived or shall have ceased to exist; or</w:t>
      </w:r>
    </w:p>
    <w:p>
      <w:pPr>
        <w:spacing w:after="0" w:line="186" w:lineRule="exact"/>
        <w:rPr>
          <w:rFonts w:ascii="Arial" w:cs="Arial" w:eastAsia="Arial" w:hAnsi="Arial"/>
          <w:sz w:val="18"/>
          <w:szCs w:val="18"/>
          <w:color w:val="auto"/>
        </w:rPr>
      </w:pPr>
    </w:p>
    <w:p>
      <w:pPr>
        <w:jc w:val="both"/>
        <w:ind w:left="1300" w:right="20" w:firstLine="653"/>
        <w:spacing w:after="0" w:line="312" w:lineRule="auto"/>
        <w:tabs>
          <w:tab w:leader="none" w:pos="222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a holder of Designated Senior Debt, a Representative of Designated Senior Debt or the Company (a “Non-Payment Default”).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and shall resume payments on and distributions in respect of the Securities upon the earlier of:</w:t>
      </w:r>
    </w:p>
    <w:p>
      <w:pPr>
        <w:spacing w:after="0" w:line="225" w:lineRule="exact"/>
        <w:rPr>
          <w:sz w:val="20"/>
          <w:szCs w:val="20"/>
          <w:color w:val="auto"/>
        </w:rPr>
      </w:pPr>
    </w:p>
    <w:p>
      <w:pPr>
        <w:ind w:left="1560" w:hanging="255"/>
        <w:spacing w:after="0"/>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any Payment Default, the date upon which the Payment Default is cured or waived or ceases to exist, or</w:t>
      </w:r>
    </w:p>
    <w:p>
      <w:pPr>
        <w:spacing w:after="0" w:line="22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9" w:name="page160"/>
    <w:bookmarkEnd w:id="159"/>
    <w:p>
      <w:pPr>
        <w:ind w:left="660" w:firstLine="645"/>
        <w:spacing w:after="0" w:line="277" w:lineRule="auto"/>
        <w:tabs>
          <w:tab w:leader="none" w:pos="15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case of a Non-Payment Default, the earlier of (a) the date upon which such Non-Payment Default is cured, waived or ceases to exist or (b) 179 days after the date on which the applicable Payment Blockage Notice is received by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this Article 15 otherwise prohibits the payment or distribution at such time.</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Upon any payment or distribution of assets of the Company of any kind or character, whether in cash, property or securities, to creditors upon any dissolution or winding-up or liquidation or reorganization of the Company, whether voluntary or involuntary or in bankruptcy, insolvency, reorganization, liquidation, receivership or other proceedings, or upon an assignment for the benefit of creditors or any marshalling of the assets and liabilities of the Company, or otherwise, all amounts due or to become due upon all Senior Debt shall first be paid in full in cash or other payment satisfactory to the holders of such Senior Debt, or payment thereof in accordance with its terms provided for in cash or other payment satisfactory to the holders of such Senior Debt, before any payment is made on account of the principal of, premium, if any, or interest on the Securities (except payments made pursuant to Article 4 from monies deposited with the Trustee pursuant thereto prior to commencement of proceedings for such dissolution, winding-up, liquidation, reorganization, assignment for the benefit of creditors or the marshalling of assets and liabilities of the Company); and upon any such dissolution, winding-up, liquidation, reorganization, assignment for the benefit of creditors or marshalling of assets and liabilities of the Company or bankruptcy, insolvency, receivership or other proceeding, any payment by the Company, or distribution of assets of the Company of any kind or character, whether in cash, property or securities, to which the Holders of the Securities or the Trustee would be entitled, except for the provision of this Article 15, shall (except as aforesaid) be paid by the Company or by any receiver, trustee in bankruptcy, liquidating trustee, agent or other Person making such payment or distribution, or by the Holders of the Securities or by the Trustee under this Indenture if received by them or it, directly to the holders of Senior Debt (pro rata to such holders on the basis of the respective amounts of Senior Debt held by such holders, or as otherwise required by law or a court order) or their Representative or Representatives, or to the trustee or trustees under any indenture pursuant to which any instruments evidencing any Senior Debt may have been issued, as their respective interests may appear, to the extent necessary to pay all Senior Debt in full, in cash or other payment satisfactory to the holders of such Senior Debt, after giving effect to any concurrent payment or distribution to or for the holders of Senior Debt, before any payment or distribution or provision therefor is made to the Holders of the Securities or to the Trustee.</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For purposes of this Article 15,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15 with respect to the Securities to the payment of all Senior Debt which may at the time be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Senior Debt is assumed by the new corporation, if any, resulting from any reorganization or readjustment, and (ii) the rights of the holders of Senior Debt (other than leases which are not assumed by the Company or the new corporation, as the case may be) are not, without the consent of such holders, altered by such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for in Article 8 shall not be deemed a dissolution, winding-up, liquidation or reorganization for the purposes of this Section 15.2 if such other corporation shall, as a part of such consolidation, merger, conveyance or transfer, comply with the conditions stated in Article 8.</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of the acceleration of the Securities because of an Event of Default, no payment or distribution shall be made to the Trustee or any Holder of Securities in respect of the principal of, premium, if any, or interest on the Securities (including, but not limited to, the redemption price with respect to the Securities called for redemption in accordance with Article 11 as provided in the Indenture), except payments and distributions made by the Trustee as permitted by the first or second paragraph of Section 15.5, until all Senior Debt has been paid in full in cash or other payment satisfactory to the holders of Senior Debt or such acceleration is rescinded in accordance with the terms of this Indenture. If payment of the Securities is accelerated because of an Event of Default, the Company shall promptly notify holders of Senior Debt of the acceleration.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0" w:name="page161"/>
    <w:bookmarkEnd w:id="160"/>
    <w:p>
      <w:pPr>
        <w:jc w:val="both"/>
        <w:ind w:firstLine="648"/>
        <w:spacing w:after="0" w:line="270" w:lineRule="auto"/>
        <w:rPr>
          <w:sz w:val="20"/>
          <w:szCs w:val="20"/>
          <w:color w:val="auto"/>
        </w:rPr>
      </w:pPr>
      <w:r>
        <w:rPr>
          <w:rFonts w:ascii="Arial" w:cs="Arial" w:eastAsia="Arial" w:hAnsi="Arial"/>
          <w:sz w:val="17"/>
          <w:szCs w:val="17"/>
          <w:color w:val="auto"/>
        </w:rPr>
        <w:t>In the event that, notwithstanding the foregoing provisions, any payment or distribution of assets of the Company of any kind or character, whether in cash, property or securities (including, without limitation, by way of setoff or otherwise), prohibited by the foregoing, shall be received by the Trustee or the Holders of the Securities before all Senior Debt is paid in full in cash or other payment satisfactory to the holders of such Senior Debt, or provision is made for such payment thereof in accordance with its terms in cash or other payment satisfactory to the holders of such Senior Debt, such payment or distribution shall be held in trust for the benefit of and shall be paid over or delivered to the holders of Senior Debt or their Representative or Representatives, or to the trustee or trustees under any indenture pursuant to which any instruments evidencing any Senior Debt may have been issued, as their respective interests may appear, as calculated by the Company, for application to the payment of all Senior Debt remaining unpaid to the extent necessary to pay all Senior Debt in full in cash or other payment satisfactory to the holders of such Senior Debt, after giving effect to any concurrent payment or distribution to or for the holders of such Senior Debt.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Section 15.2 shall apply to claims of, or payments to, the Trustee under or pursuant to Section 6.7. This Section 15.2 shall be subject to the further provisions of Section 15.5.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15.3 Subrogation of Securities.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payment in full of all Senior Debt, the rights of the Holders of the Securities shall be subrogated to the extent of the payments or distributions made to the holders of such Senior Debt pursuant to the provisions of this Article 15 (equally and ratably with the holders of all indebtedness of the Company which by its express terms is subordinated to other indebtedness of the Company to substantially the same extent as the Securities are subordinated and is entitled to like rights of subrogation) to the rights of the holders of Senior Debt to receive payments or distributions of cash, property or securities of the Company applicable to the Senior Debt until the principal, premium, if any, and interest on the Securities shall be paid in full; and, for the purposes of such subrogation, no payments or distributions to the holders of the Senior Debt of any cash, property or securities to which the Holders of the Securities or the Trustee would be entitled except for the provisions of this Article 15, and no payment over pursuant to the provisions of this Article 15, to or for the benefit of the holders of Senior Debt by Holders of the Securities or the Trustee, shall, as between the Company, its creditors other than holders of Senior Debt, and the Holders of the Securities, be deemed to be a payment by the Company to or on account of the Senior Debt; and no payments or distributions of cash, property or securities to or for the benefit of the Holders of the Securities pursuant to the subrogation provisions of this Article 15, which would otherwise have been paid to the holders of Senior Debt shall be deemed to be a payment by the Company to or for the account of the Securities. It is understood that the provisions of this Article 15 are and are intended solely for the purposes of defining the relative rights of the Holders of the Securities, on the one hand, and the holders of the Senior Debt, on the other hand.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Nothing contained in this Article 15 or elsewhere in this Indenture or in the Securities is intended to or shall impair, as among the Company, its creditors other than the holders of Senior Debt,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anything herein or therein prevent the Trustee or the Holder of any Security from exercising all remedies otherwise permitted by applicable law upon default under this Indenture, subject to the rights, if any, under this Article 15 of the holders of Senior Debt in respect of cash, property or securities of the Company received upon the exercise of any such remedy.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15, the Trustee, subject to the provisions of Section 6.1, and the Holders of the Securities shall be entitled to rely upon any order or decree made by any court of competent jurisdiction in which such bankruptcy,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Debt and other indebtedness of the Company, the amount thereof or payable thereon and all other facts pertinent thereto or to this Article 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Section 15.4 Authorization to Effect Subordination.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Holder of a Security by the holder’s acceptance thereof authorizes and directs the Trustee on the holder’s behalf to take such action as may be necessary or appropriate to effectuate the subordination as provided in this Article 15 and appoints the Trustee to act as the holder’s attorney-in-fact for any and all such purposes. If the Trustee does not file a proper proof of claim or proof of debt in the form required in any proceeding referred to in Section 5.4 hereof at least 30 days before the expiration of the time to file such claim, the holders of any Senior Debt or their representatives are hereby authorized to file an appropriate claim for and on behalf of the Holders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15.5 Notice to Trustee.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shall give prompt written notice in the form of an Officers’ Certificate to a Responsible Officer of the Trustee and to any Paying Agent of any fact known to the Company which would prohibit the making of any payment of monies to or by the Trustee or any Paying Agent in respect of the Securities pursuant to the provisions of this Article 15. Notwithstanding the provisions of this Article 15 or any other provision of this Indenture, the Trustee shall not be charged with knowledge of the existence of any facts which would prohibit the making of any payment of monies to or by the Trustee in respect of the Securities pursuant to the provisions of this Article 15, unless and until a Responsible Officer of the Trustee shall have received written notice thereof at the Corporate Trust Office from the Company (in the form of an Officers’ Certificate) or a Representative or a holder or holders of Senior Debt or from any trustee therefor; and before the receipt of any such written notice, the Trustee, subject to the provisions of Section 6.1, shall be entitled in all respects to assume that no such facts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 date not fewer than two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15.5,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in this Article 15 to the contrary, nothing shall prevent any payment by the Trustee to the Holders of monies deposited with it pursuant to Section 4.1, and any such payment shall not be subject to the provisions of Section 15.1 or 15.2.</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Trustee, subject to the provisions of Section 6.1, shall be entitled to rely on the delivery to it of a written notice by a Representative or a person representing himself to be a holder of Senior Debt (or a trustee on behalf of such holder) to establish that such notice has been given by a Representative or a holder of Senior Debt or a trustee on behalf of any such holder or holders. The Trustee shall not be required to make any payment or distribution to or on behalf of a holder of Senior Debt pursuant to this Article 15 unless it has received satisfactory evidence as to the amount of Senior Debt held by such person, the extent to which such person is entitled to participate in such payment or distribution and any other facts pertinent to the rights of such person under this Article 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15.6 Trustee’s Relation to Senior Debt.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Trustee in its individual capacity shall be entitled to all the rights set forth in this Article 15 in respect of any Senior Debt at any time held by it, to the same extent as any other holder of Senior Debt, and nothing in this Indenture shall deprive the Trustee of any of its rights as such holder.</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the holders of Senior Debt, the Trustee undertakes to perform or to observe only such of its covenants and obligations as are specifically set forth in this Article 15, and no implied covenants or obligations with respect to the holders of Senior Debt shall be read into this Indenture against the Trustee. The Trustee shall not be deemed to owe any fiduciary duty to the holders of Senior Debt and, subject to the provisions of Section 6.1, the Trustee shall not be liable to any holder of Senior Debt (i) for any failure to make any payments or distributions to such holders or (ii) if it shall pay over or deliver to Holders of Securities, the Company or any other Person money or assets to which any holder of Senior Debt shall be entitled by virtue of this Article 15 or otherwise.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Section 15.7 No Impairment of 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the Trustee or any Holder of Securities with the terms, provisions and covenants of this Indenture, regardless of any knowledge thereof which any such holder may have or otherwise be charged with.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15.8 Certain Conversions/Exchanges Deemed Payment.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purposes of this Article 15 only, (1) the issuance and delivery of junior securities upon conversion or exchange of Securities in accordance with Article 14 or otherwise (except upon conversion of the Securities in accordance with their terms) shall not be deemed to constitute a payment or distribution on account of the principal of (or premium, if any) or interest on Securities or on account of the purchase or other acquisition of Securities, and</w:t>
      </w:r>
    </w:p>
    <w:p>
      <w:pPr>
        <w:jc w:val="both"/>
        <w:ind w:firstLine="8"/>
        <w:spacing w:after="0" w:line="288" w:lineRule="auto"/>
        <w:tabs>
          <w:tab w:leader="none" w:pos="27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payment, issuance or delivery of cash (except in satisfaction of fractional shares pursuant to Section 14.3), property or securities (other than junior securities) upon conversion or exchange of a Security shall be deemed to constitute payment on account of the principal of such Security. For the purposes of this Section 15.8, the term “junior securities” means (a) shares of any stock of any class of the Company, or (b) securities of the Company which are subordinated in right of payment to all Senior Debt which may be outstanding at the time of issuance or delivery of such securities to substantially the same extent as, or to a greater extent than, the Securities are so subordinated as provided in this Article. Nothing contained in this Article 15 or elsewhere in this Indenture or in the Securities is intended to or shall impair, as among the Company, its creditors other than holders of Senior Debt and the Holders of Securities, the right, which is absolute and unconditional, of the Holder of any Security to convert such Security in accordance with Article 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15.9 Article Applicable to Paying Agents.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at any time any Paying Agent other than the Trustee shall have been appointed by the Company and be then acting hereunder, the term “Trustee” as used in this Article shall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first paragraph of Section 15.5 shall not apply to the Company or any Affiliate of the Company if the Company or such Affiliate acts as Paying Agent. The Trustee shall not be responsible for the actions or inactions of any other Paying Agents (including the Company if acting as its own Paying Agent) and shall have no control of any funds held by such other Paying Agents.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15.10 Senior Debt Entitled to Rely.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Senior Debt (including, without limitation, Designated Senior Debt) shall have the right to rely upon this Article 15, and no amendment or modification of the provisions contained herein shall diminish the rights of such holders unless such holders shall have agreed in writing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15.11 Reliance on Judicial Order or Certificate of Liquidating Agent.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the Trustee and the Holders shall be entitled to rely upon any order or decree entered by any court of competent jurisdiction in which such dissolution, winding up, liquidation, reorganization, assignment for the benefit of creditors or marshalling of assets and liabilities of the Company or bankruptcy, insolvency, receivership or other like proceeding is pending, or a certificate of the trustee in bankruptcy, liquidating trustee, custodian, receiver, assignee for the benefit of creditors, agent or other person making such payment or distribution, delivered to the Trustee or to the Holders, for the purpose of ascertaining the persons entitled to participate in such payment or distribution, the holders of Senior Debt and other indebtedness of the Company, the amount thereof or payable thereon, the amount or amounts paid or distributed thereon and all other facts pertinent thereto or to this Article.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15.12 Trust Monies Not Subordinated.</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Notwithstanding anything contained herein to the contrary, payments from money, U.S. Government Obligations and/or Foreign Government Obligations held in trust under Article 4 or Article 13 by the Trustee for the payment of the principal of, premium, if any, and interest on the Securities shall not be subordinated to the prior payment in full of any Senior Debt of the Company or subject to the restrictions set forth in this Article 15, and none of the Holders shall be obligated to pay over any such amount to the Company or any holder of Senior Debt of the Company or any other creditor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IMPRIMIS PHARMACEUTICALS, INC.</w:t>
      </w:r>
    </w:p>
    <w:p>
      <w:pPr>
        <w:spacing w:after="0" w:line="200" w:lineRule="exact"/>
        <w:rPr>
          <w:sz w:val="20"/>
          <w:szCs w:val="20"/>
          <w:color w:val="auto"/>
        </w:rPr>
      </w:pPr>
    </w:p>
    <w:p>
      <w:pPr>
        <w:spacing w:after="0" w:line="26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6350</wp:posOffset>
            </wp:positionV>
            <wp:extent cx="32588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297815</wp:posOffset>
            </wp:positionV>
            <wp:extent cx="36188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6350</wp:posOffset>
            </wp:positionV>
            <wp:extent cx="32588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6350</wp:posOffset>
            </wp:positionV>
            <wp:extent cx="32588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6350</wp:posOffset>
            </wp:positionV>
            <wp:extent cx="32588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314960</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80"/>
          </w:cols>
          <w:pgMar w:left="900" w:top="666" w:right="1319" w:bottom="1440" w:gutter="0" w:footer="0" w:header="0"/>
        </w:sectPr>
      </w:pPr>
    </w:p>
    <w:bookmarkStart w:id="164" w:name="page165"/>
    <w:bookmarkEnd w:id="1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M O R R I S ON | F O E R S T E R</w:t>
            </w:r>
          </w:p>
        </w:tc>
        <w:tc>
          <w:tcPr>
            <w:tcW w:w="3800" w:type="dxa"/>
            <w:vAlign w:val="bottom"/>
          </w:tcPr>
          <w:p>
            <w:pPr>
              <w:ind w:left="220"/>
              <w:spacing w:after="0"/>
              <w:rPr>
                <w:sz w:val="20"/>
                <w:szCs w:val="20"/>
                <w:color w:val="auto"/>
              </w:rPr>
            </w:pPr>
            <w:r>
              <w:rPr>
                <w:rFonts w:ascii="Arial" w:cs="Arial" w:eastAsia="Arial" w:hAnsi="Arial"/>
                <w:sz w:val="18"/>
                <w:szCs w:val="18"/>
                <w:color w:val="auto"/>
              </w:rPr>
              <w:t>12531 HIGH BLUFF DRIVE</w:t>
            </w:r>
          </w:p>
        </w:tc>
        <w:tc>
          <w:tcPr>
            <w:tcW w:w="4120" w:type="dxa"/>
            <w:vAlign w:val="bottom"/>
          </w:tcPr>
          <w:p>
            <w:pPr>
              <w:ind w:left="520"/>
              <w:spacing w:after="0"/>
              <w:rPr>
                <w:sz w:val="20"/>
                <w:szCs w:val="20"/>
                <w:color w:val="auto"/>
              </w:rPr>
            </w:pPr>
            <w:r>
              <w:rPr>
                <w:rFonts w:ascii="Arial" w:cs="Arial" w:eastAsia="Arial" w:hAnsi="Arial"/>
                <w:sz w:val="18"/>
                <w:szCs w:val="18"/>
                <w:color w:val="auto"/>
              </w:rPr>
              <w:t>MORRISON &amp; FOERSTER LLP</w:t>
            </w:r>
          </w:p>
        </w:tc>
        <w:tc>
          <w:tcPr>
            <w:tcW w:w="0" w:type="dxa"/>
            <w:vAlign w:val="bottom"/>
          </w:tcPr>
          <w:p>
            <w:pPr>
              <w:spacing w:after="0"/>
              <w:rPr>
                <w:sz w:val="1"/>
                <w:szCs w:val="1"/>
                <w:color w:val="auto"/>
              </w:rPr>
            </w:pPr>
          </w:p>
        </w:tc>
      </w:tr>
      <w:tr>
        <w:trPr>
          <w:trHeight w:val="230"/>
        </w:trPr>
        <w:tc>
          <w:tcPr>
            <w:tcW w:w="3220" w:type="dxa"/>
            <w:vAlign w:val="bottom"/>
            <w:vMerge w:val="continue"/>
          </w:tcPr>
          <w:p>
            <w:pPr>
              <w:spacing w:after="0"/>
              <w:rPr>
                <w:sz w:val="20"/>
                <w:szCs w:val="20"/>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SAN DIEGO, CALIFORNIA 92130-2040</w:t>
            </w:r>
          </w:p>
        </w:tc>
        <w:tc>
          <w:tcPr>
            <w:tcW w:w="4120" w:type="dxa"/>
            <w:vAlign w:val="bottom"/>
            <w:vMerge w:val="restart"/>
          </w:tcPr>
          <w:p>
            <w:pPr>
              <w:ind w:left="520"/>
              <w:spacing w:after="0"/>
              <w:rPr>
                <w:sz w:val="20"/>
                <w:szCs w:val="20"/>
                <w:color w:val="auto"/>
              </w:rPr>
            </w:pPr>
            <w:r>
              <w:rPr>
                <w:rFonts w:ascii="Arial" w:cs="Arial" w:eastAsia="Arial" w:hAnsi="Arial"/>
                <w:sz w:val="18"/>
                <w:szCs w:val="18"/>
                <w:color w:val="auto"/>
              </w:rPr>
              <w:t>BEIJING, BERLIN, BRUSSELS, DENVER,</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TELEPHONE: 858.720.5100</w:t>
            </w:r>
          </w:p>
        </w:tc>
        <w:tc>
          <w:tcPr>
            <w:tcW w:w="4120" w:type="dxa"/>
            <w:vAlign w:val="bottom"/>
          </w:tcPr>
          <w:p>
            <w:pPr>
              <w:ind w:left="520"/>
              <w:spacing w:after="0"/>
              <w:rPr>
                <w:sz w:val="20"/>
                <w:szCs w:val="20"/>
                <w:color w:val="auto"/>
              </w:rPr>
            </w:pPr>
            <w:r>
              <w:rPr>
                <w:rFonts w:ascii="Arial" w:cs="Arial" w:eastAsia="Arial" w:hAnsi="Arial"/>
                <w:sz w:val="18"/>
                <w:szCs w:val="18"/>
                <w:color w:val="auto"/>
              </w:rPr>
              <w:t>HONG KONG, LONDON, LOS ANGELES,</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FACSIMILE: 858.720.5125</w:t>
            </w:r>
          </w:p>
        </w:tc>
        <w:tc>
          <w:tcPr>
            <w:tcW w:w="4120" w:type="dxa"/>
            <w:vAlign w:val="bottom"/>
          </w:tcPr>
          <w:p>
            <w:pPr>
              <w:ind w:left="520"/>
              <w:spacing w:after="0"/>
              <w:rPr>
                <w:sz w:val="20"/>
                <w:szCs w:val="20"/>
                <w:color w:val="auto"/>
              </w:rPr>
            </w:pPr>
            <w:r>
              <w:rPr>
                <w:rFonts w:ascii="Arial" w:cs="Arial" w:eastAsia="Arial" w:hAnsi="Arial"/>
                <w:sz w:val="18"/>
                <w:szCs w:val="18"/>
                <w:color w:val="auto"/>
              </w:rPr>
              <w:t>NEW YORK, NORTHERN VIRGINIA,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120" w:type="dxa"/>
            <w:vAlign w:val="bottom"/>
          </w:tcPr>
          <w:p>
            <w:pPr>
              <w:ind w:left="520"/>
              <w:spacing w:after="0"/>
              <w:rPr>
                <w:sz w:val="20"/>
                <w:szCs w:val="20"/>
                <w:color w:val="auto"/>
              </w:rPr>
            </w:pPr>
            <w:r>
              <w:rPr>
                <w:rFonts w:ascii="Arial" w:cs="Arial" w:eastAsia="Arial" w:hAnsi="Arial"/>
                <w:sz w:val="18"/>
                <w:szCs w:val="18"/>
                <w:color w:val="auto"/>
              </w:rPr>
              <w:t>PALO ALTO, SACRAMENTO, SAN DIEGO,</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WWW.MOFO.COM</w:t>
            </w:r>
          </w:p>
        </w:tc>
        <w:tc>
          <w:tcPr>
            <w:tcW w:w="4120" w:type="dxa"/>
            <w:vAlign w:val="bottom"/>
          </w:tcPr>
          <w:p>
            <w:pPr>
              <w:ind w:left="520"/>
              <w:spacing w:after="0"/>
              <w:rPr>
                <w:sz w:val="20"/>
                <w:szCs w:val="20"/>
                <w:color w:val="auto"/>
              </w:rPr>
            </w:pPr>
            <w:r>
              <w:rPr>
                <w:rFonts w:ascii="Arial" w:cs="Arial" w:eastAsia="Arial" w:hAnsi="Arial"/>
                <w:sz w:val="18"/>
                <w:szCs w:val="18"/>
                <w:color w:val="auto"/>
                <w:w w:val="95"/>
              </w:rPr>
              <w:t>SAN FRANCISCO, SHANGHAI, SINGAPORE,</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120" w:type="dxa"/>
            <w:vAlign w:val="bottom"/>
          </w:tcPr>
          <w:p>
            <w:pPr>
              <w:ind w:left="520"/>
              <w:spacing w:after="0"/>
              <w:rPr>
                <w:sz w:val="20"/>
                <w:szCs w:val="20"/>
                <w:color w:val="auto"/>
              </w:rPr>
            </w:pPr>
            <w:r>
              <w:rPr>
                <w:rFonts w:ascii="Arial" w:cs="Arial" w:eastAsia="Arial" w:hAnsi="Arial"/>
                <w:sz w:val="18"/>
                <w:szCs w:val="18"/>
                <w:color w:val="auto"/>
              </w:rPr>
              <w:t>TOKYO, WASHINGTON, D.C.</w:t>
            </w:r>
          </w:p>
        </w:tc>
        <w:tc>
          <w:tcPr>
            <w:tcW w:w="0" w:type="dxa"/>
            <w:vAlign w:val="bottom"/>
          </w:tcPr>
          <w:p>
            <w:pPr>
              <w:spacing w:after="0"/>
              <w:rPr>
                <w:sz w:val="1"/>
                <w:szCs w:val="1"/>
                <w:color w:val="auto"/>
              </w:rPr>
            </w:pP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September 10, 2014</w:t>
            </w:r>
          </w:p>
        </w:tc>
        <w:tc>
          <w:tcPr>
            <w:tcW w:w="38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Imprimis Pharmaceuticals, Inc.</w:t>
            </w:r>
          </w:p>
        </w:tc>
        <w:tc>
          <w:tcPr>
            <w:tcW w:w="38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12264 El Camino Real, Suite 350</w:t>
            </w:r>
          </w:p>
        </w:tc>
        <w:tc>
          <w:tcPr>
            <w:tcW w:w="38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San Diego, CA 92130</w:t>
            </w:r>
          </w:p>
        </w:tc>
        <w:tc>
          <w:tcPr>
            <w:tcW w:w="38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w w:val="98"/>
              </w:rPr>
              <w:t>Re:  Registration Statement on Form S-3</w:t>
            </w:r>
          </w:p>
        </w:tc>
        <w:tc>
          <w:tcPr>
            <w:tcW w:w="38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Ladies and Gentlemen:</w:t>
            </w:r>
          </w:p>
        </w:tc>
        <w:tc>
          <w:tcPr>
            <w:tcW w:w="38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your request, we have examined the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Imprimis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in connection with the registration pursuant to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of the Securities (as defined below).</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Registration Statement relates to the proposed issuance and sale, from time to time, pursuant to Rule 415 under the Act, as set forth in the Registration Statement, the prospectus contained therein (the “</w:t>
      </w:r>
      <w:r>
        <w:rPr>
          <w:rFonts w:ascii="Arial" w:cs="Arial" w:eastAsia="Arial" w:hAnsi="Arial"/>
          <w:sz w:val="17"/>
          <w:szCs w:val="17"/>
          <w:u w:val="single" w:color="auto"/>
          <w:color w:val="auto"/>
        </w:rPr>
        <w:t>Prospectus</w:t>
      </w:r>
      <w:r>
        <w:rPr>
          <w:rFonts w:ascii="Arial" w:cs="Arial" w:eastAsia="Arial" w:hAnsi="Arial"/>
          <w:sz w:val="17"/>
          <w:szCs w:val="17"/>
          <w:color w:val="auto"/>
        </w:rPr>
        <w:t>”) and the supplements to the prospectus referred to therein (each a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of up to an aggregate offering price of $75,000,000, or the equivalent thereof, of shares of the Company’s common stock, $0.001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shares of the Company’s preferred stock, $0.001 par value per share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Company’s senior and subordinated debt securities (the “</w:t>
      </w:r>
      <w:r>
        <w:rPr>
          <w:rFonts w:ascii="Arial" w:cs="Arial" w:eastAsia="Arial" w:hAnsi="Arial"/>
          <w:sz w:val="17"/>
          <w:szCs w:val="17"/>
          <w:u w:val="single" w:color="auto"/>
          <w:color w:val="auto"/>
        </w:rPr>
        <w:t>Debt Securities</w:t>
      </w:r>
      <w:r>
        <w:rPr>
          <w:rFonts w:ascii="Arial" w:cs="Arial" w:eastAsia="Arial" w:hAnsi="Arial"/>
          <w:sz w:val="17"/>
          <w:szCs w:val="17"/>
          <w:color w:val="auto"/>
        </w:rPr>
        <w:t>”), warrants to purchase any of the securities described above (the “</w:t>
      </w:r>
      <w:r>
        <w:rPr>
          <w:rFonts w:ascii="Arial" w:cs="Arial" w:eastAsia="Arial" w:hAnsi="Arial"/>
          <w:sz w:val="17"/>
          <w:szCs w:val="17"/>
          <w:u w:val="single" w:color="auto"/>
          <w:color w:val="auto"/>
        </w:rPr>
        <w:t>Warrants</w:t>
      </w:r>
      <w:r>
        <w:rPr>
          <w:rFonts w:ascii="Arial" w:cs="Arial" w:eastAsia="Arial" w:hAnsi="Arial"/>
          <w:sz w:val="17"/>
          <w:szCs w:val="17"/>
          <w:color w:val="auto"/>
        </w:rPr>
        <w:t>”), and depositary shares (the “</w:t>
      </w:r>
      <w:r>
        <w:rPr>
          <w:rFonts w:ascii="Arial" w:cs="Arial" w:eastAsia="Arial" w:hAnsi="Arial"/>
          <w:sz w:val="17"/>
          <w:szCs w:val="17"/>
          <w:u w:val="single" w:color="auto"/>
          <w:color w:val="auto"/>
        </w:rPr>
        <w:t>Depositary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representing a fractional interest in a share of Preferred Stock of the Company (the Common Stock, the Preferred Stock, the Debt Securities, the Warrants and the Depositary Shares are collectively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are to be sold from time to time as set forth in the Registration Statement, the Prospectus contained therein and the Prospectus Supplements. The Debt Securities are to be issued pursuant to a senior debt securities indenture (the “</w:t>
      </w:r>
      <w:r>
        <w:rPr>
          <w:rFonts w:ascii="Arial" w:cs="Arial" w:eastAsia="Arial" w:hAnsi="Arial"/>
          <w:sz w:val="18"/>
          <w:szCs w:val="18"/>
          <w:u w:val="single" w:color="auto"/>
          <w:color w:val="auto"/>
        </w:rPr>
        <w:t>Senior Indenture</w:t>
      </w:r>
      <w:r>
        <w:rPr>
          <w:rFonts w:ascii="Arial" w:cs="Arial" w:eastAsia="Arial" w:hAnsi="Arial"/>
          <w:sz w:val="18"/>
          <w:szCs w:val="18"/>
          <w:color w:val="auto"/>
        </w:rPr>
        <w:t>”) and a subordinated debt securities indenture (the “</w:t>
      </w:r>
      <w:r>
        <w:rPr>
          <w:rFonts w:ascii="Arial" w:cs="Arial" w:eastAsia="Arial" w:hAnsi="Arial"/>
          <w:sz w:val="18"/>
          <w:szCs w:val="18"/>
          <w:u w:val="single" w:color="auto"/>
          <w:color w:val="auto"/>
        </w:rPr>
        <w:t>Subordinated Indenture</w:t>
      </w:r>
      <w:r>
        <w:rPr>
          <w:rFonts w:ascii="Arial" w:cs="Arial" w:eastAsia="Arial" w:hAnsi="Arial"/>
          <w:sz w:val="18"/>
          <w:szCs w:val="18"/>
          <w:color w:val="auto"/>
        </w:rPr>
        <w:t>” and taken with the Senior Indenture, the “</w:t>
      </w:r>
      <w:r>
        <w:rPr>
          <w:rFonts w:ascii="Arial" w:cs="Arial" w:eastAsia="Arial" w:hAnsi="Arial"/>
          <w:sz w:val="18"/>
          <w:szCs w:val="18"/>
          <w:u w:val="single" w:color="auto"/>
          <w:color w:val="auto"/>
        </w:rPr>
        <w:t>Indentures</w:t>
      </w:r>
      <w:r>
        <w:rPr>
          <w:rFonts w:ascii="Arial" w:cs="Arial" w:eastAsia="Arial" w:hAnsi="Arial"/>
          <w:sz w:val="18"/>
          <w:szCs w:val="18"/>
          <w:color w:val="auto"/>
        </w:rPr>
        <w:t>”), as applicable, both of which have been filed as exhibits to the Registration Statement and are to be entered into, in each case, between the Company and a trustee to be named in a Prospectus Supplement to the Registration Statement. The Securities are to be sold pursuant to a purchase, underwriting or similar agreement in substantially the form to be filed under a Current Report on Form 8-K. The Debt Securities are to be issued in the forms set forth in the Indentures. Each Indenture may be supplemented, as applicable, in connection with the issuance of each such series of Debt Securities, by a supplemental indenture or other appropriate action of the Company creating such series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M O R R I S ON | F O E R S T E 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under the Act; (v) that a Prospectus Supplement will have been filed with the Commission describing the Securities offered thereby; (vi) that all Securities will be issued and sold in compliance with applicable U.S. federal and state securities laws and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with respect to shares of Common Stock or Preferred Stock offered, that there will be sufficient shares of Common Stock or Preferred Stock authorized under the Company’s organizational documents that are not otherwise reserved for issuance; and (x)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Based on such examination, we are of the opinion that:</w:t>
      </w:r>
    </w:p>
    <w:p>
      <w:pPr>
        <w:spacing w:after="0" w:line="225" w:lineRule="exact"/>
        <w:rPr>
          <w:sz w:val="20"/>
          <w:szCs w:val="20"/>
          <w:color w:val="auto"/>
        </w:rPr>
      </w:pPr>
    </w:p>
    <w:p>
      <w:pPr>
        <w:jc w:val="both"/>
        <w:ind w:firstLine="8"/>
        <w:spacing w:after="0" w:line="271" w:lineRule="auto"/>
        <w:tabs>
          <w:tab w:leader="none" w:pos="18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With respect to shares of Common Stock, when both: (a) the Board of Directors of the Company or a duly constituted and acting committee thereof (such Board of Directors or committee being hereinafter referred to as the “</w:t>
      </w:r>
      <w:r>
        <w:rPr>
          <w:rFonts w:ascii="Arial" w:cs="Arial" w:eastAsia="Arial" w:hAnsi="Arial"/>
          <w:sz w:val="17"/>
          <w:szCs w:val="17"/>
          <w:u w:val="single" w:color="auto"/>
          <w:color w:val="auto"/>
        </w:rPr>
        <w:t>Board</w:t>
      </w:r>
      <w:r>
        <w:rPr>
          <w:rFonts w:ascii="Arial" w:cs="Arial" w:eastAsia="Arial" w:hAnsi="Arial"/>
          <w:sz w:val="17"/>
          <w:szCs w:val="17"/>
          <w:color w:val="auto"/>
        </w:rPr>
        <w:t>”) has taken all necessary corporate action to approve the issuance and the terms of the offering of the shares of Common Stock and related matters; and (b)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M O R R I S ON | F O E R S T E 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11" w:lineRule="exact"/>
        <w:rPr>
          <w:sz w:val="20"/>
          <w:szCs w:val="20"/>
          <w:color w:val="auto"/>
        </w:rPr>
      </w:pPr>
    </w:p>
    <w:p>
      <w:pPr>
        <w:jc w:val="both"/>
        <w:ind w:firstLine="8"/>
        <w:spacing w:after="0" w:line="290" w:lineRule="auto"/>
        <w:tabs>
          <w:tab w:leader="none" w:pos="17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(a “</w:t>
      </w:r>
      <w:r>
        <w:rPr>
          <w:rFonts w:ascii="Arial" w:cs="Arial" w:eastAsia="Arial" w:hAnsi="Arial"/>
          <w:sz w:val="16"/>
          <w:szCs w:val="16"/>
          <w:u w:val="single" w:color="auto"/>
          <w:color w:val="auto"/>
        </w:rPr>
        <w:t>Certificate</w:t>
      </w:r>
      <w:r>
        <w:rPr>
          <w:rFonts w:ascii="Arial" w:cs="Arial" w:eastAsia="Arial" w:hAnsi="Arial"/>
          <w:sz w:val="16"/>
          <w:szCs w:val="16"/>
          <w:color w:val="auto"/>
        </w:rPr>
        <w:t>”) relating to such Preferred Stock conforming to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66" w:lineRule="exact"/>
        <w:rPr>
          <w:rFonts w:ascii="Arial" w:cs="Arial" w:eastAsia="Arial" w:hAnsi="Arial"/>
          <w:sz w:val="16"/>
          <w:szCs w:val="16"/>
          <w:color w:val="auto"/>
        </w:rPr>
      </w:pPr>
    </w:p>
    <w:p>
      <w:pPr>
        <w:jc w:val="both"/>
        <w:ind w:firstLine="8"/>
        <w:spacing w:after="0" w:line="291" w:lineRule="auto"/>
        <w:tabs>
          <w:tab w:leader="none" w:pos="17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With respect to Debt Securities to be issued under either the Senior Indenture or Subordinated Indenture, when: (a) the Trustee is qualified to act as Trustee under the Senior Indenture or Subordinated Indenture, as applicable, and the Company has filed respective Form T-1s for the Trustee with the Commission;</w:t>
      </w: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(b) the Trustee has duly executed and delivered the Subordinated Indenture or Senior Indenture, as applicable; (c) the Senior Indenture or Subordinated Indenture, as applicable, has been duly authorized and validly executed and delivered by the Company to the Trustee; (d) the Senior Indenture or Subordinated Indenture, as applicable,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Senior Indenture or Subordinated Indenture, as applicable, and the applicable definitive purchase, underwriting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applicable Indenture;</w:t>
      </w:r>
    </w:p>
    <w:p>
      <w:pPr>
        <w:spacing w:after="0" w:line="170" w:lineRule="exact"/>
        <w:rPr>
          <w:rFonts w:ascii="Arial" w:cs="Arial" w:eastAsia="Arial" w:hAnsi="Arial"/>
          <w:sz w:val="16"/>
          <w:szCs w:val="16"/>
          <w:color w:val="auto"/>
        </w:rPr>
      </w:pPr>
    </w:p>
    <w:p>
      <w:pPr>
        <w:jc w:val="both"/>
        <w:ind w:firstLine="8"/>
        <w:spacing w:after="0" w:line="276" w:lineRule="auto"/>
        <w:tabs>
          <w:tab w:leader="none" w:pos="19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M O R R I S ON | F O E R S T E 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211" w:lineRule="exact"/>
        <w:rPr>
          <w:sz w:val="20"/>
          <w:szCs w:val="20"/>
          <w:color w:val="auto"/>
        </w:rPr>
      </w:pPr>
    </w:p>
    <w:p>
      <w:pPr>
        <w:jc w:val="both"/>
        <w:ind w:firstLine="8"/>
        <w:spacing w:after="0" w:line="289" w:lineRule="auto"/>
        <w:tabs>
          <w:tab w:leader="none" w:pos="17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w:t>
      </w:r>
      <w:r>
        <w:rPr>
          <w:rFonts w:ascii="Arial" w:cs="Arial" w:eastAsia="Arial" w:hAnsi="Arial"/>
          <w:sz w:val="16"/>
          <w:szCs w:val="16"/>
          <w:u w:val="single" w:color="auto"/>
          <w:color w:val="auto"/>
        </w:rPr>
        <w:t>Deposit Agreement</w:t>
      </w:r>
      <w:r>
        <w:rPr>
          <w:rFonts w:ascii="Arial" w:cs="Arial" w:eastAsia="Arial" w:hAnsi="Arial"/>
          <w:sz w:val="16"/>
          <w:szCs w:val="16"/>
          <w:color w:val="auto"/>
        </w:rPr>
        <w:t>”) or agreements relating to the Depositary Shares and the related Depositary Receipts (the “</w:t>
      </w:r>
      <w:r>
        <w:rPr>
          <w:rFonts w:ascii="Arial" w:cs="Arial" w:eastAsia="Arial" w:hAnsi="Arial"/>
          <w:sz w:val="16"/>
          <w:szCs w:val="16"/>
          <w:u w:val="single" w:color="auto"/>
          <w:color w:val="auto"/>
        </w:rPr>
        <w:t>Depository Receipts</w:t>
      </w:r>
      <w:r>
        <w:rPr>
          <w:rFonts w:ascii="Arial" w:cs="Arial" w:eastAsia="Arial" w:hAnsi="Arial"/>
          <w:sz w:val="16"/>
          <w:szCs w:val="16"/>
          <w:color w:val="auto"/>
        </w:rPr>
        <w:t>”)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fully paid and nonassessable.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firstLine="656"/>
        <w:spacing w:after="0" w:line="277" w:lineRule="auto"/>
        <w:tabs>
          <w:tab w:leader="none" w:pos="9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1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M O R R I S ON | F O E R S T E 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Attorneys at our Firm are admitted to the practice of law in the States of New York and California, and we express no opinion as to the laws of any other jurisdiction, other than the Federal laws of the United States of America, the State of New York as to the enforceability of the Debt Securities and the DGCL. We are not licensed to practice law in the State of Delaware and, accordingly, our opinions as to the DGCL are based solely on a review of the official statutes of the state of Delaware and the applicable provisions of the Delaware Constitution and the reported judicial decisions interpreting such statutes and provisions.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Morrison &amp; Foerster </w:t>
      </w:r>
      <w:r>
        <w:rPr>
          <w:rFonts w:ascii="Arial" w:cs="Arial" w:eastAsia="Arial" w:hAnsi="Arial"/>
          <w:sz w:val="12"/>
          <w:szCs w:val="12"/>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0" w:name="page171"/>
    <w:bookmarkEnd w:id="17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March 28, 2014, relating to the consolidated financial statements of Imprimis Pharmaceuticals, Inc. and subsidiary, appearing in the Annual Report on Form 10-K of Imprimis Pharmaceuticals, Inc. for the year ended December 31, 2013, and to the reference to us under the heading “Experts” in the Prospectus, which is part of this Registration Statement.</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2" w:name="page173"/>
    <w:bookmarkEnd w:id="1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1)"/>
      <w:numFmt w:val="decimal"/>
      <w:start w:val="1"/>
    </w:lvl>
  </w:abstractNum>
  <w:abstractNum w:abstractNumId="18">
    <w:nsid w:val="42C296BD"/>
    <w:multiLevelType w:val="hybridMultilevel"/>
    <w:lvl w:ilvl="0">
      <w:lvlJc w:val="left"/>
      <w:lvlText w:val="(%1)"/>
      <w:numFmt w:val="decimal"/>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lvl w:ilvl="1">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32">
    <w:nsid w:val="1A32234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3B0FD37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1)"/>
      <w:numFmt w:val="decimal"/>
      <w:start w:val="1"/>
    </w:lvl>
  </w:abstractNum>
  <w:abstractNum w:abstractNumId="36">
    <w:nsid w:val="60B6DF70"/>
    <w:multiLevelType w:val="hybridMultilevel"/>
    <w:lvl w:ilvl="0">
      <w:lvlJc w:val="left"/>
      <w:lvlText w:val="(%1)"/>
      <w:numFmt w:val="decimal"/>
      <w:start w:val="1"/>
    </w:lvl>
    <w:lvl w:ilvl="1">
      <w:lvlJc w:val="left"/>
      <w:lvlText w:val="-"/>
      <w:numFmt w:val="bullet"/>
      <w:start w:val="1"/>
    </w:lvl>
  </w:abstractNum>
  <w:abstractNum w:abstractNumId="37">
    <w:nsid w:val="6A5EE64"/>
    <w:multiLevelType w:val="hybridMultilevel"/>
    <w:lvl w:ilvl="0">
      <w:lvlJc w:val="left"/>
      <w:lvlText w:val="(%1)"/>
      <w:numFmt w:val="decimal"/>
      <w:start w:val="4"/>
    </w:lvl>
  </w:abstractNum>
  <w:abstractNum w:abstractNumId="38">
    <w:nsid w:val="14330624"/>
    <w:multiLevelType w:val="hybridMultilevel"/>
    <w:lvl w:ilvl="0">
      <w:lvlJc w:val="left"/>
      <w:lvlText w:val="(%1)"/>
      <w:numFmt w:val="decimal"/>
      <w:start w:val="1"/>
    </w:lvl>
  </w:abstractNum>
  <w:abstractNum w:abstractNumId="39">
    <w:nsid w:val="7FFFCA11"/>
    <w:multiLevelType w:val="hybridMultilevel"/>
    <w:lvl w:ilvl="0">
      <w:lvlJc w:val="left"/>
      <w:lvlText w:val="(%1)"/>
      <w:numFmt w:val="decimal"/>
      <w:start w:val="1"/>
    </w:lvl>
  </w:abstractNum>
  <w:abstractNum w:abstractNumId="40">
    <w:nsid w:val="1A27709E"/>
    <w:multiLevelType w:val="hybridMultilevel"/>
    <w:lvl w:ilvl="0">
      <w:lvlJc w:val="left"/>
      <w:lvlText w:val="(%1)"/>
      <w:numFmt w:val="decimal"/>
      <w:start w:val="1"/>
    </w:lvl>
    <w:lvl w:ilvl="1">
      <w:lvlJc w:val="left"/>
      <w:lvlText w:val="-"/>
      <w:numFmt w:val="bullet"/>
      <w:start w:val="1"/>
    </w:lvl>
  </w:abstractNum>
  <w:abstractNum w:abstractNumId="41">
    <w:nsid w:val="71EA1109"/>
    <w:multiLevelType w:val="hybridMultilevel"/>
    <w:lvl w:ilvl="0">
      <w:lvlJc w:val="left"/>
      <w:lvlText w:val="(%1)"/>
      <w:numFmt w:val="decimal"/>
      <w:start w:val="3"/>
    </w:lvl>
    <w:lvl w:ilvl="1">
      <w:lvlJc w:val="left"/>
      <w:lvlText w:val="-"/>
      <w:numFmt w:val="bullet"/>
      <w:start w:val="1"/>
    </w:lvl>
  </w:abstractNum>
  <w:abstractNum w:abstractNumId="42">
    <w:nsid w:val="100F59DC"/>
    <w:multiLevelType w:val="hybridMultilevel"/>
    <w:lvl w:ilvl="0">
      <w:lvlJc w:val="left"/>
      <w:lvlText w:val="(%1)"/>
      <w:numFmt w:val="decimal"/>
      <w:start w:val="15"/>
    </w:lvl>
  </w:abstractNum>
  <w:abstractNum w:abstractNumId="43">
    <w:nsid w:val="7FB7E0AA"/>
    <w:multiLevelType w:val="hybridMultilevel"/>
    <w:lvl w:ilvl="0">
      <w:lvlJc w:val="left"/>
      <w:lvlText w:val="(%1)"/>
      <w:numFmt w:val="decimal"/>
      <w:start w:val="1"/>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47">
    <w:nsid w:val="885E1B"/>
    <w:multiLevelType w:val="hybridMultilevel"/>
    <w:lvl w:ilvl="0">
      <w:lvlJc w:val="left"/>
      <w:lvlText w:val="(%1)"/>
      <w:numFmt w:val="upperLetter"/>
      <w:start w:val="2"/>
    </w:lvl>
    <w:lvl w:ilvl="1">
      <w:lvlJc w:val="left"/>
      <w:lvlText w:val="(%2)"/>
      <w:numFmt w:val="lowerRoman"/>
      <w:start w:val="1"/>
    </w:lvl>
  </w:abstractNum>
  <w:abstractNum w:abstractNumId="48">
    <w:nsid w:val="76272110"/>
    <w:multiLevelType w:val="hybridMultilevel"/>
    <w:lvl w:ilvl="0">
      <w:lvlJc w:val="left"/>
      <w:lvlText w:val="(%1)"/>
      <w:numFmt w:val="decimal"/>
      <w:start w:val="2"/>
    </w:lvl>
  </w:abstractNum>
  <w:abstractNum w:abstractNumId="49">
    <w:nsid w:val="4C04A8AF"/>
    <w:multiLevelType w:val="hybridMultilevel"/>
    <w:lvl w:ilvl="0">
      <w:lvlJc w:val="left"/>
      <w:lvlText w:val="(%1)"/>
      <w:numFmt w:val="decimal"/>
      <w:start w:val="1"/>
    </w:lvl>
    <w:lvl w:ilvl="1">
      <w:lvlJc w:val="left"/>
      <w:lvlText w:val="-"/>
      <w:numFmt w:val="bullet"/>
      <w:start w:val="1"/>
    </w:lvl>
  </w:abstractNum>
  <w:abstractNum w:abstractNumId="50">
    <w:nsid w:val="1716703B"/>
    <w:multiLevelType w:val="hybridMultilevel"/>
    <w:lvl w:ilvl="0">
      <w:lvlJc w:val="left"/>
      <w:lvlText w:val="(%1)"/>
      <w:numFmt w:val="decimal"/>
      <w:start w:val="4"/>
    </w:lvl>
  </w:abstractNum>
  <w:abstractNum w:abstractNumId="51">
    <w:nsid w:val="14E17E33"/>
    <w:multiLevelType w:val="hybridMultilevel"/>
    <w:lvl w:ilvl="0">
      <w:lvlJc w:val="left"/>
      <w:lvlText w:val="(%1)"/>
      <w:numFmt w:val="lowerLetter"/>
      <w:start w:val="1"/>
    </w:lvl>
    <w:lvl w:ilvl="1">
      <w:lvlJc w:val="left"/>
      <w:lvlText w:val="-"/>
      <w:numFmt w:val="bullet"/>
      <w:start w:val="1"/>
    </w:lvl>
  </w:abstractNum>
  <w:abstractNum w:abstractNumId="52">
    <w:nsid w:val="3222E7CD"/>
    <w:multiLevelType w:val="hybridMultilevel"/>
    <w:lvl w:ilvl="0">
      <w:lvlJc w:val="left"/>
      <w:lvlText w:val="(%1)"/>
      <w:numFmt w:val="lowerLetter"/>
      <w:start w:val="2"/>
    </w:lvl>
  </w:abstractNum>
  <w:abstractNum w:abstractNumId="53">
    <w:nsid w:val="74DE0EE3"/>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4">
    <w:nsid w:val="68EBC550"/>
    <w:multiLevelType w:val="hybridMultilevel"/>
    <w:lvl w:ilvl="0">
      <w:lvlJc w:val="left"/>
      <w:lvlText w:val="(%1)"/>
      <w:numFmt w:val="decimal"/>
      <w:start w:val="1"/>
    </w:lvl>
    <w:lvl w:ilvl="1">
      <w:lvlJc w:val="left"/>
      <w:lvlText w:val="-"/>
      <w:numFmt w:val="bullet"/>
      <w:start w:val="1"/>
    </w:lvl>
  </w:abstractNum>
  <w:abstractNum w:abstractNumId="55">
    <w:nsid w:val="2DF6D648"/>
    <w:multiLevelType w:val="hybridMultilevel"/>
    <w:lvl w:ilvl="0">
      <w:lvlJc w:val="left"/>
      <w:lvlText w:val="(%1)"/>
      <w:numFmt w:val="decimal"/>
      <w:start w:val="2"/>
    </w:lvl>
  </w:abstractNum>
  <w:abstractNum w:abstractNumId="56">
    <w:nsid w:val="46B7D447"/>
    <w:multiLevelType w:val="hybridMultilevel"/>
    <w:lvl w:ilvl="0">
      <w:lvlJc w:val="left"/>
      <w:lvlText w:val="(%1)"/>
      <w:numFmt w:val="decimal"/>
      <w:start w:val="2"/>
    </w:lvl>
  </w:abstractNum>
  <w:abstractNum w:abstractNumId="57">
    <w:nsid w:val="4A2AC315"/>
    <w:multiLevelType w:val="hybridMultilevel"/>
    <w:lvl w:ilvl="0">
      <w:lvlJc w:val="left"/>
      <w:lvlText w:val="(%1)"/>
      <w:numFmt w:val="decimal"/>
      <w:start w:val="1"/>
    </w:lvl>
  </w:abstractNum>
  <w:abstractNum w:abstractNumId="58">
    <w:nsid w:val="39EE015C"/>
    <w:multiLevelType w:val="hybridMultilevel"/>
    <w:lvl w:ilvl="0">
      <w:lvlJc w:val="left"/>
      <w:lvlText w:val="(%1)"/>
      <w:numFmt w:val="decimal"/>
      <w:start w:val="1"/>
    </w:lvl>
  </w:abstractNum>
  <w:abstractNum w:abstractNumId="59">
    <w:nsid w:val="57FC4FBB"/>
    <w:multiLevelType w:val="hybridMultilevel"/>
    <w:lvl w:ilvl="0">
      <w:lvlJc w:val="left"/>
      <w:lvlText w:val="(%1)"/>
      <w:numFmt w:val="decimal"/>
      <w:start w:val="1"/>
    </w:lvl>
  </w:abstractNum>
  <w:abstractNum w:abstractNumId="60">
    <w:nsid w:val="CC1016F"/>
    <w:multiLevelType w:val="hybridMultilevel"/>
    <w:lvl w:ilvl="0">
      <w:lvlJc w:val="left"/>
      <w:lvlText w:val="(%1)"/>
      <w:numFmt w:val="decimal"/>
      <w:start w:val="1"/>
    </w:lvl>
  </w:abstractNum>
  <w:abstractNum w:abstractNumId="61">
    <w:nsid w:val="43F18422"/>
    <w:multiLevelType w:val="hybridMultilevel"/>
    <w:lvl w:ilvl="0">
      <w:lvlJc w:val="left"/>
      <w:lvlText w:val="(%1)"/>
      <w:numFmt w:val="decimal"/>
      <w:start w:val="1"/>
    </w:lvl>
  </w:abstractNum>
  <w:abstractNum w:abstractNumId="62">
    <w:nsid w:val="60EF0119"/>
    <w:multiLevelType w:val="hybridMultilevel"/>
    <w:lvl w:ilvl="0">
      <w:lvlJc w:val="left"/>
      <w:lvlText w:val="(%1)"/>
      <w:numFmt w:val="decimal"/>
      <w:start w:val="1"/>
    </w:lvl>
  </w:abstractNum>
  <w:abstractNum w:abstractNumId="63">
    <w:nsid w:val="26F324BA"/>
    <w:multiLevelType w:val="hybridMultilevel"/>
    <w:lvl w:ilvl="0">
      <w:lvlJc w:val="left"/>
      <w:lvlText w:val="(%1)"/>
      <w:numFmt w:val="decimal"/>
      <w:start w:val="1"/>
    </w:lvl>
    <w:lvl w:ilvl="1">
      <w:lvlJc w:val="left"/>
      <w:lvlText w:val="-"/>
      <w:numFmt w:val="bullet"/>
      <w:start w:val="1"/>
    </w:lvl>
  </w:abstractNum>
  <w:abstractNum w:abstractNumId="64">
    <w:nsid w:val="7F01579B"/>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65">
    <w:nsid w:val="49DA307D"/>
    <w:multiLevelType w:val="hybridMultilevel"/>
    <w:lvl w:ilvl="0">
      <w:lvlJc w:val="left"/>
      <w:lvlText w:val="(%1)"/>
      <w:numFmt w:val="upperLetter"/>
      <w:start w:val="2"/>
    </w:lvl>
    <w:lvl w:ilvl="1">
      <w:lvlJc w:val="left"/>
      <w:lvlText w:val="(%2)"/>
      <w:numFmt w:val="decimal"/>
      <w:start w:val="6"/>
    </w:lvl>
    <w:lvl w:ilvl="2">
      <w:lvlJc w:val="left"/>
      <w:lvlText w:val="-"/>
      <w:numFmt w:val="bullet"/>
      <w:start w:val="1"/>
    </w:lvl>
  </w:abstractNum>
  <w:abstractNum w:abstractNumId="66">
    <w:nsid w:val="7055A5F5"/>
    <w:multiLevelType w:val="hybridMultilevel"/>
    <w:lvl w:ilvl="0">
      <w:lvlJc w:val="left"/>
      <w:lvlText w:val="(%1)"/>
      <w:numFmt w:val="decimal"/>
      <w:start w:val="10"/>
    </w:lvl>
  </w:abstractNum>
  <w:abstractNum w:abstractNumId="67">
    <w:nsid w:val="5FB8370B"/>
    <w:multiLevelType w:val="hybridMultilevel"/>
    <w:lvl w:ilvl="0">
      <w:lvlJc w:val="left"/>
      <w:lvlText w:val="(%1)"/>
      <w:numFmt w:val="decimal"/>
      <w:start w:val="1"/>
    </w:lvl>
  </w:abstractNum>
  <w:abstractNum w:abstractNumId="68">
    <w:nsid w:val="50801EE1"/>
    <w:multiLevelType w:val="hybridMultilevel"/>
    <w:lvl w:ilvl="0">
      <w:lvlJc w:val="left"/>
      <w:lvlText w:val="(%1)"/>
      <w:numFmt w:val="decimal"/>
      <w:start w:val="1"/>
    </w:lvl>
    <w:lvl w:ilvl="1">
      <w:lvlJc w:val="left"/>
      <w:lvlText w:val="-"/>
      <w:numFmt w:val="bullet"/>
      <w:start w:val="1"/>
    </w:lvl>
  </w:abstractNum>
  <w:abstractNum w:abstractNumId="69">
    <w:nsid w:val="488AC1A"/>
    <w:multiLevelType w:val="hybridMultilevel"/>
    <w:lvl w:ilvl="0">
      <w:lvlJc w:val="left"/>
      <w:lvlText w:val="(%1)"/>
      <w:numFmt w:val="decimal"/>
      <w:start w:val="3"/>
    </w:lvl>
  </w:abstractNum>
  <w:abstractNum w:abstractNumId="70">
    <w:nsid w:val="5FB8011C"/>
    <w:multiLevelType w:val="hybridMultilevel"/>
    <w:lvl w:ilvl="0">
      <w:lvlJc w:val="left"/>
      <w:lvlText w:val="(%1)"/>
      <w:numFmt w:val="decimal"/>
      <w:start w:val="1"/>
    </w:lvl>
  </w:abstractNum>
  <w:abstractNum w:abstractNumId="71">
    <w:nsid w:val="6AA78F7F"/>
    <w:multiLevelType w:val="hybridMultilevel"/>
    <w:lvl w:ilvl="0">
      <w:lvlJc w:val="left"/>
      <w:lvlText w:val="(%1)"/>
      <w:numFmt w:val="decimal"/>
      <w:start w:val="1"/>
    </w:lvl>
  </w:abstractNum>
  <w:abstractNum w:abstractNumId="72">
    <w:nsid w:val="7672BD2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3">
    <w:nsid w:val="6FC75AF8"/>
    <w:multiLevelType w:val="hybridMultilevel"/>
    <w:lvl w:ilvl="0">
      <w:lvlJc w:val="left"/>
      <w:lvlText w:val="(%1)"/>
      <w:numFmt w:val="decimal"/>
      <w:start w:val="2"/>
    </w:lvl>
    <w:lvl w:ilvl="1">
      <w:lvlJc w:val="left"/>
      <w:lvlText w:val="-"/>
      <w:numFmt w:val="bullet"/>
      <w:start w:val="1"/>
    </w:lvl>
  </w:abstractNum>
  <w:abstractNum w:abstractNumId="74">
    <w:nsid w:val="6A5F7029"/>
    <w:multiLevelType w:val="hybridMultilevel"/>
    <w:lvl w:ilvl="0">
      <w:lvlJc w:val="left"/>
      <w:lvlText w:val="(%1)"/>
      <w:numFmt w:val="decimal"/>
      <w:start w:val="3"/>
    </w:lvl>
  </w:abstractNum>
  <w:abstractNum w:abstractNumId="75">
    <w:nsid w:val="7D5E18F8"/>
    <w:multiLevelType w:val="hybridMultilevel"/>
    <w:lvl w:ilvl="0">
      <w:lvlJc w:val="left"/>
      <w:lvlText w:val="(%1)"/>
      <w:numFmt w:val="decimal"/>
      <w:start w:val="1"/>
    </w:lvl>
    <w:lvl w:ilvl="1">
      <w:lvlJc w:val="left"/>
      <w:lvlText w:val="-"/>
      <w:numFmt w:val="bullet"/>
      <w:start w:val="1"/>
    </w:lvl>
  </w:abstractNum>
  <w:abstractNum w:abstractNumId="76">
    <w:nsid w:val="5F3534A4"/>
    <w:multiLevelType w:val="hybridMultilevel"/>
    <w:lvl w:ilvl="0">
      <w:lvlJc w:val="left"/>
      <w:lvlText w:val="(%1)"/>
      <w:numFmt w:val="decimal"/>
      <w:start w:val="3"/>
    </w:lvl>
  </w:abstractNum>
  <w:abstractNum w:abstractNumId="77">
    <w:nsid w:val="73A1821B"/>
    <w:multiLevelType w:val="hybridMultilevel"/>
    <w:lvl w:ilvl="0">
      <w:lvlJc w:val="left"/>
      <w:lvlText w:val="(%1)"/>
      <w:numFmt w:val="lowerRoman"/>
      <w:start w:val="1"/>
    </w:lvl>
  </w:abstractNum>
  <w:abstractNum w:abstractNumId="78">
    <w:nsid w:val="7DE67713"/>
    <w:multiLevelType w:val="hybridMultilevel"/>
    <w:lvl w:ilvl="0">
      <w:lvlJc w:val="left"/>
      <w:lvlText w:val="(%1)"/>
      <w:numFmt w:val="decimal"/>
      <w:start w:val="1"/>
    </w:lvl>
  </w:abstractNum>
  <w:abstractNum w:abstractNumId="79">
    <w:nsid w:val="555C55B5"/>
    <w:multiLevelType w:val="hybridMultilevel"/>
    <w:lvl w:ilvl="0">
      <w:lvlJc w:val="left"/>
      <w:lvlText w:val="(%1)"/>
      <w:numFmt w:val="decimal"/>
      <w:start w:val="1"/>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
      <w:numFmt w:val="bullet"/>
      <w:start w:val="1"/>
    </w:lvl>
  </w:abstractNum>
  <w:abstractNum w:abstractNumId="82">
    <w:nsid w:val="6A3DD3E8"/>
    <w:multiLevelType w:val="hybridMultilevel"/>
    <w:lvl w:ilvl="0">
      <w:lvlJc w:val="left"/>
      <w:lvlText w:val="(%1)"/>
      <w:numFmt w:val="decimal"/>
      <w:start w:val="1"/>
    </w:lvl>
  </w:abstractNum>
  <w:abstractNum w:abstractNumId="83">
    <w:nsid w:val="71C91298"/>
    <w:multiLevelType w:val="hybridMultilevel"/>
    <w:lvl w:ilvl="0">
      <w:lvlJc w:val="left"/>
      <w:lvlText w:val="(%1)"/>
      <w:numFmt w:val="decimal"/>
      <w:start w:val="14"/>
    </w:lvl>
  </w:abstractNum>
  <w:abstractNum w:abstractNumId="84">
    <w:nsid w:val="9DAF632"/>
    <w:multiLevelType w:val="hybridMultilevel"/>
    <w:lvl w:ilvl="0">
      <w:lvlJc w:val="left"/>
      <w:lvlText w:val="(%1)"/>
      <w:numFmt w:val="decimal"/>
      <w:start w:val="1"/>
    </w:lvl>
  </w:abstractNum>
  <w:abstractNum w:abstractNumId="85">
    <w:nsid w:val="53299938"/>
    <w:multiLevelType w:val="hybridMultilevel"/>
    <w:lvl w:ilvl="0">
      <w:lvlJc w:val="left"/>
      <w:lvlText w:val="(%1)"/>
      <w:numFmt w:val="decimal"/>
      <w:start w:val="1"/>
    </w:lvl>
  </w:abstractNum>
  <w:abstractNum w:abstractNumId="86">
    <w:nsid w:val="1FBFE8E0"/>
    <w:multiLevelType w:val="hybridMultilevel"/>
    <w:lvl w:ilvl="0">
      <w:lvlJc w:val="left"/>
      <w:lvlText w:val="(%1)"/>
      <w:numFmt w:val="decimal"/>
      <w:start w:val="1"/>
    </w:lvl>
  </w:abstractNum>
  <w:abstractNum w:abstractNumId="87">
    <w:nsid w:val="5092CA79"/>
    <w:multiLevelType w:val="hybridMultilevel"/>
    <w:lvl w:ilvl="0">
      <w:lvlJc w:val="left"/>
      <w:lvlText w:val="(%1)"/>
      <w:numFmt w:val="decimal"/>
      <w:start w:val="2"/>
    </w:lvl>
  </w:abstractNum>
  <w:abstractNum w:abstractNumId="88">
    <w:nsid w:val="1D545C4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9">
    <w:nsid w:val="59ADEA3D"/>
    <w:multiLevelType w:val="hybridMultilevel"/>
    <w:lvl w:ilvl="0">
      <w:lvlJc w:val="left"/>
      <w:lvlText w:val="(%1)"/>
      <w:numFmt w:val="decimal"/>
      <w:start w:val="2"/>
    </w:lvl>
  </w:abstractNum>
  <w:abstractNum w:abstractNumId="90">
    <w:nsid w:val="288F1A34"/>
    <w:multiLevelType w:val="hybridMultilevel"/>
    <w:lvl w:ilvl="0">
      <w:lvlJc w:val="left"/>
      <w:lvlText w:val="(%1)"/>
      <w:numFmt w:val="decimal"/>
      <w:start w:val="1"/>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2"/>
    </w:lvl>
  </w:abstractNum>
  <w:abstractNum w:abstractNumId="93">
    <w:nsid w:val="97E1B4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94">
    <w:nsid w:val="51088277"/>
    <w:multiLevelType w:val="hybridMultilevel"/>
    <w:lvl w:ilvl="0">
      <w:lvlJc w:val="left"/>
      <w:lvlText w:val="(%1)"/>
      <w:numFmt w:val="decimal"/>
      <w:start w:val="1"/>
    </w:lvl>
  </w:abstractNum>
  <w:abstractNum w:abstractNumId="95">
    <w:nsid w:val="1CA0C5FA"/>
    <w:multiLevelType w:val="hybridMultilevel"/>
    <w:lvl w:ilvl="0">
      <w:lvlJc w:val="left"/>
      <w:lvlText w:val="(%1)"/>
      <w:numFmt w:val="decimal"/>
      <w:start w:val="2"/>
    </w:lvl>
  </w:abstractNum>
  <w:abstractNum w:abstractNumId="96">
    <w:nsid w:val="53584BCB"/>
    <w:multiLevelType w:val="hybridMultilevel"/>
    <w:lvl w:ilvl="0">
      <w:lvlJc w:val="left"/>
      <w:lvlText w:val="(%1)"/>
      <w:numFmt w:val="decimal"/>
      <w:start w:val="1"/>
    </w:lvl>
  </w:abstractNum>
  <w:abstractNum w:abstractNumId="97">
    <w:nsid w:val="415E286C"/>
    <w:multiLevelType w:val="hybridMultilevel"/>
    <w:lvl w:ilvl="0">
      <w:lvlJc w:val="left"/>
      <w:lvlText w:val="(%1)"/>
      <w:numFmt w:val="decimal"/>
      <w:start w:val="1"/>
    </w:lvl>
  </w:abstractNum>
  <w:abstractNum w:abstractNumId="98">
    <w:nsid w:val="7C58FD05"/>
    <w:multiLevelType w:val="hybridMultilevel"/>
    <w:lvl w:ilvl="0">
      <w:lvlJc w:val="left"/>
      <w:lvlText w:val="(%1)"/>
      <w:numFmt w:val="decimal"/>
      <w:start w:val="1"/>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decimal"/>
      <w:start w:val="1"/>
    </w:lvl>
  </w:abstractNum>
  <w:abstractNum w:abstractNumId="101">
    <w:nsid w:val="5C10FE21"/>
    <w:multiLevelType w:val="hybridMultilevel"/>
    <w:lvl w:ilvl="0">
      <w:lvlJc w:val="left"/>
      <w:lvlText w:val="(%1)"/>
      <w:numFmt w:val="decimal"/>
      <w:start w:val="1"/>
    </w:lvl>
  </w:abstractNum>
  <w:abstractNum w:abstractNumId="102">
    <w:nsid w:val="E7FFA2B"/>
    <w:multiLevelType w:val="hybridMultilevel"/>
    <w:lvl w:ilvl="0">
      <w:lvlJc w:val="left"/>
      <w:lvlText w:val="(%1)"/>
      <w:numFmt w:val="decimal"/>
      <w:start w:val="1"/>
    </w:lvl>
  </w:abstractNum>
  <w:abstractNum w:abstractNumId="103">
    <w:nsid w:val="3C5991AA"/>
    <w:multiLevelType w:val="hybridMultilevel"/>
    <w:lvl w:ilvl="0">
      <w:lvlJc w:val="left"/>
      <w:lvlText w:val="%1"/>
      <w:numFmt w:val="upperLetter"/>
      <w:start w:val="1"/>
    </w:lvl>
    <w:lvl w:ilvl="1">
      <w:lvlJc w:val="left"/>
      <w:lvlText w:val="(%2)"/>
      <w:numFmt w:val="decimal"/>
      <w:start w:val="1"/>
    </w:lvl>
  </w:abstractNum>
  <w:abstractNum w:abstractNumId="104">
    <w:nsid w:val="4BD8591A"/>
    <w:multiLevelType w:val="hybridMultilevel"/>
    <w:lvl w:ilvl="0">
      <w:lvlJc w:val="left"/>
      <w:lvlText w:val="(%1)"/>
      <w:numFmt w:val="upperLetter"/>
      <w:start w:val="2"/>
    </w:lvl>
    <w:lvl w:ilvl="1">
      <w:lvlJc w:val="left"/>
      <w:lvlText w:val="(%2)"/>
      <w:numFmt w:val="decimal"/>
      <w:start w:val="6"/>
    </w:lvl>
  </w:abstractNum>
  <w:abstractNum w:abstractNumId="105">
    <w:nsid w:val="78DF6A55"/>
    <w:multiLevelType w:val="hybridMultilevel"/>
    <w:lvl w:ilvl="0">
      <w:lvlJc w:val="left"/>
      <w:lvlText w:val="(%1)"/>
      <w:numFmt w:val="decimal"/>
      <w:start w:val="10"/>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decimal"/>
      <w:start w:val="1"/>
    </w:lvl>
  </w:abstractNum>
  <w:abstractNum w:abstractNumId="109">
    <w:nsid w:val="379E21B5"/>
    <w:multiLevelType w:val="hybridMultilevel"/>
    <w:lvl w:ilvl="0">
      <w:lvlJc w:val="left"/>
      <w:lvlText w:val="(%1)"/>
      <w:numFmt w:val="decimal"/>
      <w:start w:val="1"/>
    </w:lvl>
  </w:abstractNum>
  <w:abstractNum w:abstractNumId="110">
    <w:nsid w:val="69E373"/>
    <w:multiLevelType w:val="hybridMultilevel"/>
    <w:lvl w:ilvl="0">
      <w:lvlJc w:val="left"/>
      <w:lvlText w:val="(%1)"/>
      <w:numFmt w:val="decimal"/>
      <w:start w:val="1"/>
    </w:lvl>
  </w:abstractNum>
  <w:abstractNum w:abstractNumId="111">
    <w:nsid w:val="2C27173B"/>
    <w:multiLevelType w:val="hybridMultilevel"/>
    <w:lvl w:ilvl="0">
      <w:lvlJc w:val="left"/>
      <w:lvlText w:val="(%1)"/>
      <w:numFmt w:val="upperLetter"/>
      <w:start w:val="1"/>
    </w:lvl>
    <w:lvl w:ilvl="1">
      <w:lvlJc w:val="left"/>
      <w:lvlText w:val="(%2)"/>
      <w:numFmt w:val="lowerRoman"/>
      <w:start w:val="1"/>
    </w:lvl>
  </w:abstractNum>
  <w:abstractNum w:abstractNumId="112">
    <w:nsid w:val="4C9B0904"/>
    <w:multiLevelType w:val="hybridMultilevel"/>
    <w:lvl w:ilvl="0">
      <w:lvlJc w:val="left"/>
      <w:lvlText w:val="(%1)"/>
      <w:numFmt w:val="decimal"/>
      <w:start w:val="2"/>
    </w:lvl>
    <w:lvl w:ilvl="1">
      <w:lvlJc w:val="left"/>
      <w:lvlText w:val="(%2)"/>
      <w:numFmt w:val="upperLetter"/>
      <w:start w:val="1"/>
    </w:lvl>
  </w:abstractNum>
  <w:abstractNum w:abstractNumId="113">
    <w:nsid w:val="6AA7B75C"/>
    <w:multiLevelType w:val="hybridMultilevel"/>
    <w:lvl w:ilvl="0">
      <w:lvlJc w:val="left"/>
      <w:lvlText w:val="(%1)"/>
      <w:numFmt w:val="decimal"/>
      <w:start w:val="8"/>
    </w:lvl>
    <w:lvl w:ilvl="1">
      <w:lvlJc w:val="left"/>
      <w:lvlText w:val="(%2)"/>
      <w:numFmt w:val="upperLetter"/>
      <w:start w:val="1"/>
    </w:lvl>
  </w:abstractNum>
  <w:abstractNum w:abstractNumId="114">
    <w:nsid w:val="1DF029D3"/>
    <w:multiLevelType w:val="hybridMultilevel"/>
    <w:lvl w:ilvl="0">
      <w:lvlJc w:val="left"/>
      <w:lvlText w:val="(%1)"/>
      <w:numFmt w:val="decimal"/>
      <w:start w:val="1"/>
    </w:lvl>
  </w:abstractNum>
  <w:abstractNum w:abstractNumId="115">
    <w:nsid w:val="5675FF36"/>
    <w:multiLevelType w:val="hybridMultilevel"/>
    <w:lvl w:ilvl="0">
      <w:lvlJc w:val="left"/>
      <w:lvlText w:val="(%1)"/>
      <w:numFmt w:val="decimal"/>
      <w:start w:val="2"/>
    </w:lvl>
  </w:abstractNum>
  <w:abstractNum w:abstractNumId="116">
    <w:nsid w:val="3DD15094"/>
    <w:multiLevelType w:val="hybridMultilevel"/>
    <w:lvl w:ilvl="0">
      <w:lvlJc w:val="left"/>
      <w:lvlText w:val="(%1)"/>
      <w:numFmt w:val="lowerRoman"/>
      <w:start w:val="1"/>
    </w:lvl>
  </w:abstractNum>
  <w:abstractNum w:abstractNumId="117">
    <w:nsid w:val="3DB012B3"/>
    <w:multiLevelType w:val="hybridMultilevel"/>
    <w:lvl w:ilvl="0">
      <w:lvlJc w:val="left"/>
      <w:lvlText w:val="(%1)"/>
      <w:numFmt w:val="lowerRoman"/>
      <w:start w:val="1"/>
    </w:lvl>
  </w:abstractNum>
  <w:abstractNum w:abstractNumId="118">
    <w:nsid w:val="2708C9AF"/>
    <w:multiLevelType w:val="hybridMultilevel"/>
    <w:lvl w:ilvl="0">
      <w:lvlJc w:val="left"/>
      <w:lvlText w:val="(%1)"/>
      <w:numFmt w:val="decimal"/>
      <w:start w:val="2"/>
    </w:lvl>
  </w:abstractNum>
  <w:abstractNum w:abstractNumId="119">
    <w:nsid w:val="5B25ACE2"/>
    <w:multiLevelType w:val="hybridMultilevel"/>
    <w:lvl w:ilvl="0">
      <w:lvlJc w:val="left"/>
      <w:lvlText w:val="(%1)"/>
      <w:numFmt w:val="decimal"/>
      <w:start w:val="3"/>
    </w:lvl>
  </w:abstractNum>
  <w:abstractNum w:abstractNumId="120">
    <w:nsid w:val="175DFCF0"/>
    <w:multiLevelType w:val="hybridMultilevel"/>
    <w:lvl w:ilvl="0">
      <w:lvlJc w:val="left"/>
      <w:lvlText w:val="(%1)"/>
      <w:numFmt w:val="decimal"/>
      <w:start w:val="2"/>
    </w:lvl>
  </w:abstractNum>
  <w:abstractNum w:abstractNumId="121">
    <w:nsid w:val="4F97E3E4"/>
    <w:multiLevelType w:val="hybridMultilevel"/>
    <w:lvl w:ilvl="0">
      <w:lvlJc w:val="left"/>
      <w:lvlText w:val="%1."/>
      <w:numFmt w:val="decimal"/>
      <w:start w:val="1"/>
    </w:lvl>
  </w:abstractNum>
  <w:abstractNum w:abstractNumId="122">
    <w:nsid w:val="53B0A9E"/>
    <w:multiLevelType w:val="hybridMultilevel"/>
    <w:lvl w:ilvl="0">
      <w:lvlJc w:val="left"/>
      <w:lvlText w:val="%1."/>
      <w:numFmt w:val="decimal"/>
      <w:start w:val="2"/>
    </w:lvl>
  </w:abstractNum>
  <w:abstractNum w:abstractNumId="123">
    <w:nsid w:val="34FD6B4F"/>
    <w:multiLevelType w:val="hybridMultilevel"/>
    <w:lvl w:ilvl="0">
      <w:lvlJc w:val="left"/>
      <w:lvlText w:val="%1."/>
      <w:numFmt w:val="decimal"/>
      <w:start w:val="5"/>
    </w:lvl>
  </w:abstractNum>
  <w:abstractNum w:abstractNumId="124">
    <w:nsid w:val="5915FF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2020-01-28T14:59:31Z</dcterms:created>
  <dcterms:modified xsi:type="dcterms:W3CDTF">2020-01-28T14:59:31Z</dcterms:modified>
</cp:coreProperties>
</file>