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333-239669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13,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157480</wp:posOffset>
            </wp:positionV>
            <wp:extent cx="145732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4220"/>
        <w:spacing w:after="0"/>
        <w:rPr>
          <w:sz w:val="20"/>
          <w:szCs w:val="20"/>
          <w:color w:val="auto"/>
        </w:rPr>
      </w:pPr>
      <w:r>
        <w:rPr>
          <w:rFonts w:ascii="Arial" w:cs="Arial" w:eastAsia="Arial" w:hAnsi="Arial"/>
          <w:sz w:val="32"/>
          <w:szCs w:val="32"/>
          <w:b w:val="1"/>
          <w:bCs w:val="1"/>
          <w:color w:val="auto"/>
        </w:rPr>
        <w:t>Harrow Health, Inc.</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8.625% Senior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offering $50,000,000 principal amount of our 8.625% senior notes due 2026 (the “Notes”) as described in this prospectus supplement and the accompanying prospectus. Interest on the Notes will accrue from April 20, 2021 and will be paid quarterly in arrears on January 31, April 30, July 31 and October 31 of each year, commencing on July 31, 2021, and at maturity. The Notes will mature on April 30, 2026. We may redeem the Notes for cash in whole or in part at any time at our option on or after February 1, 2026 and prior to maturity, at a price equal to 100% of their principal amount, plus accrued and unpaid interest to, but excluding, the date of redemption. See “Description of the Notes — Optional Redemption.” The Notes will be issued in denominations of $25 and in integral multiples in excess thereof.</w:t>
      </w:r>
    </w:p>
    <w:p>
      <w:pPr>
        <w:spacing w:after="0" w:line="192" w:lineRule="exact"/>
        <w:rPr>
          <w:sz w:val="24"/>
          <w:szCs w:val="24"/>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Notes will be our senior unsecured obligations and will rank equal in right of payment with all of our existing and future senior unsecured and unsubordinated indebtedness. The Notes will be effectively subordinated in right of payment to all of our existing and future secured indebtedness, and the Notes will be structurally subordinated to all existing and future indebtedness (including trade payables) of our subsidiaries.</w:t>
      </w:r>
    </w:p>
    <w:p>
      <w:pPr>
        <w:spacing w:after="0" w:line="161" w:lineRule="exact"/>
        <w:rPr>
          <w:sz w:val="24"/>
          <w:szCs w:val="24"/>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Investing in the Notes involves a high degree of risk. You should carefully consider the risks described under “Risk Factors” beginning on page S-6 of this prospectus supplement and in the documents incorporated by reference in this prospectus supplement and the accompanying prospectus.</w:t>
      </w:r>
    </w:p>
    <w:p>
      <w:pPr>
        <w:spacing w:after="0" w:line="176" w:lineRule="exact"/>
        <w:rPr>
          <w:sz w:val="24"/>
          <w:szCs w:val="24"/>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4"/>
          <w:szCs w:val="24"/>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intend to apply to list the Notes on the Nasdaq Global Market (“NASDAQ”). If approved for listing, trading on NASDAQ is expected to begin within 30 business days of April 20, 2021, the original issue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117475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4" w:lineRule="exact"/>
        <w:rPr>
          <w:sz w:val="24"/>
          <w:szCs w:val="24"/>
          <w:color w:val="auto"/>
        </w:rPr>
      </w:pPr>
    </w:p>
    <w:tbl>
      <w:tblPr>
        <w:tblLayout w:type="fixed"/>
        <w:tblInd w:w="0" w:type="dxa"/>
        <w:tblCellMar>
          <w:top w:w="0" w:type="dxa"/>
          <w:left w:w="0" w:type="dxa"/>
          <w:bottom w:w="0" w:type="dxa"/>
          <w:right w:w="0" w:type="dxa"/>
        </w:tblCellMar>
      </w:tblPr>
      <w:tr>
        <w:trPr>
          <w:trHeight w:val="340"/>
        </w:trPr>
        <w:tc>
          <w:tcPr>
            <w:tcW w:w="474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Per Note</w:t>
            </w: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(1)</w:t>
            </w:r>
          </w:p>
        </w:tc>
        <w:tc>
          <w:tcPr>
            <w:tcW w:w="100" w:type="dxa"/>
            <w:vAlign w:val="bottom"/>
            <w:tcBorders>
              <w:bottom w:val="single" w:sz="8" w:color="CCEEFF"/>
            </w:tcBorders>
          </w:tcPr>
          <w:p>
            <w:pPr>
              <w:spacing w:after="0"/>
              <w:rPr>
                <w:sz w:val="24"/>
                <w:szCs w:val="24"/>
                <w:color w:val="auto"/>
              </w:rPr>
            </w:pPr>
          </w:p>
        </w:tc>
      </w:tr>
      <w:tr>
        <w:trPr>
          <w:trHeight w:val="243"/>
        </w:trPr>
        <w:tc>
          <w:tcPr>
            <w:tcW w:w="47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Public offering price</w:t>
            </w:r>
            <w:r>
              <w:rPr>
                <w:rFonts w:ascii="Arial" w:cs="Arial" w:eastAsia="Arial" w:hAnsi="Arial"/>
                <w:sz w:val="28"/>
                <w:szCs w:val="28"/>
                <w:color w:val="auto"/>
                <w:vertAlign w:val="superscript"/>
              </w:rPr>
              <w:t>(2)</w:t>
            </w:r>
          </w:p>
        </w:tc>
        <w:tc>
          <w:tcPr>
            <w:tcW w:w="364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r>
      <w:tr>
        <w:trPr>
          <w:trHeight w:val="257"/>
        </w:trPr>
        <w:tc>
          <w:tcPr>
            <w:tcW w:w="4740" w:type="dxa"/>
            <w:vAlign w:val="bottom"/>
          </w:tcPr>
          <w:p>
            <w:pPr>
              <w:spacing w:after="0" w:line="256"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(3)</w:t>
            </w:r>
          </w:p>
        </w:tc>
        <w:tc>
          <w:tcPr>
            <w:tcW w:w="3640" w:type="dxa"/>
            <w:vAlign w:val="bottom"/>
            <w:gridSpan w:val="2"/>
          </w:tcPr>
          <w:p>
            <w:pPr>
              <w:jc w:val="right"/>
              <w:ind w:right="12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r>
      <w:tr>
        <w:trPr>
          <w:trHeight w:val="256"/>
        </w:trPr>
        <w:tc>
          <w:tcPr>
            <w:tcW w:w="4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 to us</w:t>
            </w:r>
            <w:r>
              <w:rPr>
                <w:rFonts w:ascii="Arial" w:cs="Arial" w:eastAsia="Arial" w:hAnsi="Arial"/>
                <w:sz w:val="29"/>
                <w:szCs w:val="29"/>
                <w:color w:val="auto"/>
                <w:vertAlign w:val="superscript"/>
              </w:rPr>
              <w:t>(3)</w:t>
            </w:r>
          </w:p>
        </w:tc>
        <w:tc>
          <w:tcPr>
            <w:tcW w:w="364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no exercise of the option described below.</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from April 20, 2021, if the initial settlement occurs after that date.</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also agreed to pay a structuring fee to B. Riley Securities, Inc. See “Underwriting” for a description of all underwriting compensation payable in connection with this offering.</w:t>
      </w:r>
    </w:p>
    <w:p>
      <w:pPr>
        <w:spacing w:after="0" w:line="185" w:lineRule="exact"/>
        <w:rPr>
          <w:sz w:val="24"/>
          <w:szCs w:val="24"/>
          <w:color w:val="auto"/>
        </w:rPr>
      </w:pPr>
    </w:p>
    <w:p>
      <w:pPr>
        <w:ind w:right="20" w:firstLine="432"/>
        <w:spacing w:after="0" w:line="277" w:lineRule="auto"/>
        <w:rPr>
          <w:sz w:val="20"/>
          <w:szCs w:val="20"/>
          <w:color w:val="auto"/>
        </w:rPr>
      </w:pPr>
      <w:r>
        <w:rPr>
          <w:rFonts w:ascii="Arial" w:cs="Arial" w:eastAsia="Arial" w:hAnsi="Arial"/>
          <w:sz w:val="18"/>
          <w:szCs w:val="18"/>
          <w:color w:val="auto"/>
        </w:rPr>
        <w:t>We have granted the underwriters an option to purchase up to an additional $5,000,000 aggregate principal amount of the Notes within 30 days from the date of this prospectus supplement.</w:t>
      </w:r>
    </w:p>
    <w:p>
      <w:pPr>
        <w:spacing w:after="0" w:line="17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The underwriters expect to deliver the Notes to purchasers in book-entry form through the facilities of The Depository Trust Company for the accounts of its participants on or about April 20, 2021.</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Book-Running Managers</w:t>
      </w:r>
    </w:p>
    <w:p>
      <w:pPr>
        <w:sectPr>
          <w:pgSz w:w="11900" w:h="16838" w:orient="portrait"/>
          <w:cols w:equalWidth="0" w:num="1">
            <w:col w:w="11240"/>
          </w:cols>
          <w:pgMar w:left="320" w:top="445" w:right="339" w:bottom="561" w:gutter="0" w:footer="0" w:header="0"/>
        </w:sectPr>
      </w:pPr>
    </w:p>
    <w:p>
      <w:pPr>
        <w:spacing w:after="0" w:line="212" w:lineRule="exact"/>
        <w:rPr>
          <w:sz w:val="24"/>
          <w:szCs w:val="24"/>
          <w:color w:val="auto"/>
        </w:rPr>
      </w:pPr>
    </w:p>
    <w:p>
      <w:pPr>
        <w:ind w:left="460"/>
        <w:spacing w:after="0"/>
        <w:rPr>
          <w:sz w:val="20"/>
          <w:szCs w:val="20"/>
          <w:color w:val="auto"/>
        </w:rPr>
      </w:pPr>
      <w:r>
        <w:rPr>
          <w:rFonts w:ascii="Arial" w:cs="Arial" w:eastAsia="Arial" w:hAnsi="Arial"/>
          <w:sz w:val="19"/>
          <w:szCs w:val="19"/>
          <w:b w:val="1"/>
          <w:bCs w:val="1"/>
          <w:color w:val="auto"/>
        </w:rPr>
        <w:t>B. Riley Securities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400"/>
        <w:spacing w:after="0"/>
        <w:rPr>
          <w:sz w:val="20"/>
          <w:szCs w:val="20"/>
          <w:color w:val="auto"/>
        </w:rPr>
      </w:pPr>
      <w:r>
        <w:rPr>
          <w:rFonts w:ascii="Arial" w:cs="Arial" w:eastAsia="Arial" w:hAnsi="Arial"/>
          <w:sz w:val="19"/>
          <w:szCs w:val="19"/>
          <w:b w:val="1"/>
          <w:bCs w:val="1"/>
          <w:color w:val="auto"/>
        </w:rPr>
        <w:t>National Securities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440"/>
        <w:spacing w:after="0"/>
        <w:rPr>
          <w:sz w:val="20"/>
          <w:szCs w:val="20"/>
          <w:color w:val="auto"/>
        </w:rPr>
      </w:pPr>
      <w:r>
        <w:rPr>
          <w:rFonts w:ascii="Arial" w:cs="Arial" w:eastAsia="Arial" w:hAnsi="Arial"/>
          <w:sz w:val="19"/>
          <w:szCs w:val="19"/>
          <w:b w:val="1"/>
          <w:bCs w:val="1"/>
          <w:color w:val="auto"/>
        </w:rPr>
        <w:t>Ladenburg Thalmann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William Blair</w:t>
      </w:r>
    </w:p>
    <w:p>
      <w:pPr>
        <w:spacing w:after="0" w:line="52" w:lineRule="exact"/>
        <w:rPr>
          <w:sz w:val="24"/>
          <w:szCs w:val="24"/>
          <w:color w:val="auto"/>
        </w:rPr>
      </w:pPr>
    </w:p>
    <w:p>
      <w:pPr>
        <w:sectPr>
          <w:pgSz w:w="11900" w:h="16838" w:orient="portrait"/>
          <w:cols w:equalWidth="0" w:num="4">
            <w:col w:w="2580" w:space="720"/>
            <w:col w:w="2160" w:space="720"/>
            <w:col w:w="2480" w:space="720"/>
            <w:col w:w="1860"/>
          </w:cols>
          <w:pgMar w:left="320" w:top="445" w:right="339" w:bottom="561" w:gutter="0" w:footer="0" w:header="0"/>
          <w:type w:val="continuous"/>
        </w:sectPr>
      </w:pPr>
    </w:p>
    <w:p>
      <w:pPr>
        <w:ind w:left="3600"/>
        <w:spacing w:after="0"/>
        <w:rPr>
          <w:sz w:val="20"/>
          <w:szCs w:val="20"/>
          <w:color w:val="auto"/>
        </w:rPr>
      </w:pPr>
      <w:r>
        <w:rPr>
          <w:rFonts w:ascii="Arial" w:cs="Arial" w:eastAsia="Arial" w:hAnsi="Arial"/>
          <w:sz w:val="22"/>
          <w:szCs w:val="22"/>
          <w:b w:val="1"/>
          <w:bCs w:val="1"/>
          <w:color w:val="auto"/>
        </w:rPr>
        <w:t>Corporation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240"/>
          </w:cols>
          <w:pgMar w:left="320" w:top="445" w:right="339" w:bottom="561" w:gutter="0" w:footer="0" w:header="0"/>
          <w:type w:val="continuous"/>
        </w:sectPr>
      </w:pPr>
    </w:p>
    <w:p>
      <w:pPr>
        <w:spacing w:after="0" w:line="244"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Aegis Capital Corp.</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1380"/>
        <w:spacing w:after="0"/>
        <w:rPr>
          <w:sz w:val="20"/>
          <w:szCs w:val="20"/>
          <w:color w:val="auto"/>
        </w:rPr>
      </w:pPr>
      <w:r>
        <w:rPr>
          <w:rFonts w:ascii="Arial" w:cs="Arial" w:eastAsia="Arial" w:hAnsi="Arial"/>
          <w:sz w:val="16"/>
          <w:szCs w:val="16"/>
          <w:b w:val="1"/>
          <w:bCs w:val="1"/>
          <w:color w:val="auto"/>
        </w:rPr>
        <w:t>Boenning &amp; Scattergood</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Maxim Group LLC</w:t>
      </w:r>
    </w:p>
    <w:p>
      <w:pPr>
        <w:spacing w:after="0" w:line="200" w:lineRule="exact"/>
        <w:rPr>
          <w:sz w:val="24"/>
          <w:szCs w:val="24"/>
          <w:color w:val="auto"/>
        </w:rPr>
      </w:pPr>
    </w:p>
    <w:p>
      <w:pPr>
        <w:sectPr>
          <w:pgSz w:w="11900" w:h="16838" w:orient="portrait"/>
          <w:cols w:equalWidth="0" w:num="3">
            <w:col w:w="3980" w:space="720"/>
            <w:col w:w="3260" w:space="720"/>
            <w:col w:w="2560"/>
          </w:cols>
          <w:pgMar w:left="320" w:top="445" w:right="339" w:bottom="561" w:gutter="0" w:footer="0" w:header="0"/>
          <w:type w:val="continuous"/>
        </w:sectPr>
      </w:pP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 date of this prospectus supplement is April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56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Prospectus Supplement</w:t>
            </w:r>
          </w:p>
        </w:tc>
        <w:tc>
          <w:tcPr>
            <w:tcW w:w="4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2"/>
        </w:trPr>
        <w:tc>
          <w:tcPr>
            <w:tcW w:w="10600" w:type="dxa"/>
            <w:vAlign w:val="bottom"/>
            <w:tcBorders>
              <w:top w:val="single" w:sz="8" w:color="CCEEFF"/>
            </w:tcBorders>
            <w:gridSpan w:val="23"/>
            <w:shd w:val="clear" w:color="auto" w:fill="CCEEFF"/>
          </w:tcPr>
          <w:p>
            <w:pPr>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ABOUT THIS PROSPECTUS SUPPLEMENT</w:t>
              </w:r>
            </w:hyperlink>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73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3"/>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8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CAPITALIZATION</w:t>
              </w:r>
            </w:hyperlink>
          </w:p>
        </w:tc>
        <w:tc>
          <w:tcPr>
            <w:tcW w:w="902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DESCRIPTION OF THE NOTES</w:t>
              </w:r>
            </w:hyperlink>
          </w:p>
        </w:tc>
        <w:tc>
          <w:tcPr>
            <w:tcW w:w="812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CERTAIN MATERIAL U.S. FEDERAL INCOME TAX CONSIDERATIONS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UNDERWRITING</w:t>
              </w:r>
            </w:hyperlink>
          </w:p>
        </w:tc>
        <w:tc>
          <w:tcPr>
            <w:tcW w:w="92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3"/>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EXPERTS</w:t>
              </w:r>
            </w:hyperlink>
          </w:p>
        </w:tc>
        <w:tc>
          <w:tcPr>
            <w:tcW w:w="982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3"/>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INCORPORATION OF CERTAIN DOCUMENTS BY REFERENCE</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540" w:type="dxa"/>
            <w:vAlign w:val="bottom"/>
            <w:tcBorders>
              <w:top w:val="single" w:sz="8" w:color="CCEEFF"/>
            </w:tcBorders>
            <w:gridSpan w:val="4"/>
          </w:tcPr>
          <w:p>
            <w:pPr>
              <w:jc w:val="center"/>
              <w:ind w:right="4420"/>
              <w:spacing w:after="0"/>
              <w:rPr>
                <w:sz w:val="20"/>
                <w:szCs w:val="20"/>
                <w:color w:val="auto"/>
              </w:rPr>
            </w:pPr>
            <w:r>
              <w:rPr>
                <w:rFonts w:ascii="Arial" w:cs="Arial" w:eastAsia="Arial" w:hAnsi="Arial"/>
                <w:sz w:val="18"/>
                <w:szCs w:val="18"/>
                <w:b w:val="1"/>
                <w:bCs w:val="1"/>
                <w:color w:val="auto"/>
                <w:w w:val="85"/>
              </w:rPr>
              <w:t>Prospectus</w:t>
            </w:r>
          </w:p>
        </w:tc>
        <w:tc>
          <w:tcPr>
            <w:tcW w:w="6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100" w:type="dxa"/>
            <w:vAlign w:val="bottom"/>
            <w:tcBorders>
              <w:top w:val="single" w:sz="8" w:color="CCEEFF"/>
              <w:bottom w:val="single" w:sz="8" w:color="0000EE"/>
            </w:tcBorders>
            <w:gridSpan w:val="8"/>
            <w:shd w:val="clear" w:color="auto" w:fill="CCEEFF"/>
          </w:tcPr>
          <w:p>
            <w:pPr>
              <w:spacing w:after="0" w:line="136" w:lineRule="exact"/>
              <w:rPr>
                <w:rFonts w:ascii="Arial" w:cs="Arial" w:eastAsia="Arial" w:hAnsi="Arial"/>
                <w:sz w:val="15"/>
                <w:szCs w:val="15"/>
                <w:color w:val="0000EE"/>
              </w:rPr>
            </w:pPr>
            <w:hyperlink w:anchor="page36">
              <w:r>
                <w:rPr>
                  <w:rFonts w:ascii="Arial" w:cs="Arial" w:eastAsia="Arial" w:hAnsi="Arial"/>
                  <w:sz w:val="15"/>
                  <w:szCs w:val="15"/>
                  <w:color w:val="0000EE"/>
                </w:rPr>
                <w:t>PROSPECTUS SUMMARY</w:t>
              </w:r>
            </w:hyperlink>
          </w:p>
        </w:tc>
        <w:tc>
          <w:tcPr>
            <w:tcW w:w="8500" w:type="dxa"/>
            <w:vAlign w:val="bottom"/>
            <w:tcBorders>
              <w:top w:val="single" w:sz="8" w:color="CCEEFF"/>
              <w:bottom w:val="single" w:sz="8" w:color="CCEEFF"/>
            </w:tcBorders>
            <w:gridSpan w:val="15"/>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0" w:type="dxa"/>
            <w:vAlign w:val="bottom"/>
            <w:gridSpan w:val="2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FORWARD-LOOKING STATEMENTS</w:t>
              </w:r>
            </w:hyperlink>
          </w:p>
        </w:tc>
        <w:tc>
          <w:tcPr>
            <w:tcW w:w="76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DESCRIPTION OF CAPITAL STOCK</w:t>
              </w:r>
            </w:hyperlink>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3"/>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8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THE UNITS</w:t>
              </w:r>
            </w:hyperlink>
          </w:p>
        </w:tc>
        <w:tc>
          <w:tcPr>
            <w:tcW w:w="77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THE DEBT SECURITIES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71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INCORPORATION OF CERTAIN DOCUMENTS BY REFERENCE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6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55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This prospectus supplement is a supplement to the accompanying prospectus. This prospectus supplement and the accompanying prospectus are part of a registration statement that we filed with the Securities and Exchange Commission, or SEC, utilizing a shelf registration process. This prospectus supplement provides you with specific information about this offering, including the price and terms of the Notes being offered and the risk of investing in our securities. The accompanying prospectus provides more general information, some of which may not apply to this offering. This prospectus supplement also adds to, updates and changes information contained in the accompanying prospectus. To the extent the information in this prospectus supplement is different from that in the accompanying prospectus, you should rely on the information in this prospectus supplement. You should read this prospectus supplement, the accompanying prospectus, and any related free writing prospectus together with the additional information described in the sections entitled “Incorporation of Certain Documents by Reference” and “Where You Can Find More Information” of this prospectus supplement.</w:t>
      </w:r>
    </w:p>
    <w:p>
      <w:pPr>
        <w:spacing w:after="0" w:line="16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b w:val="1"/>
          <w:bCs w:val="1"/>
          <w:color w:val="auto"/>
        </w:rPr>
        <w:t>We have not, and the underwriters have not, authorized any person to provide you with any information other than that contained in or incorporated by reference into this prospectus supplement and the accompanying prospectus or that is contained in any free writing prospectus issued by or on behalf of us or to which we have referred you. Neither we nor the underwriters take any responsibility for, and can provide no assurances as to the reliability of, any other information that others may give to you. This prospectus supplement, the accompanying prospectus and any applicable free writing prospectus is not an offer to sell, nor is it seeking an offer to buy, these securities in any state where the offer or sale is not permitted. The information in this prospectus supplement and the accompanying prospectus is complete and accurate as of the date on the front cover of this prospectus supplement, but the information and our business, cash flows, condition (financial and otherwise), liquidity, prospects and results of operations may have changed since that date.</w:t>
      </w:r>
    </w:p>
    <w:p>
      <w:pPr>
        <w:spacing w:after="0" w:line="176"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investing in our securities.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This prospectus supplement and the accompanying prospectus contain and incorporate by reference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Generally, the words “anticipate,” “believe,” “continue,” “expect,” “intend,” “estimate,” “project,” “plan” and similar expressions identify forward-looking statements. In particular, statements about our expectations, beliefs, plans, objectives, assumptions or future events or performance contain forward-looking statements.</w:t>
      </w:r>
    </w:p>
    <w:p>
      <w:pPr>
        <w:spacing w:after="0" w:line="192"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our most recent Annual Report on Form 10-K and other documents that we file from time to time with the SEC that are incorporated by reference in this prospectus supplement and the accompanying prospectus.</w:t>
      </w:r>
    </w:p>
    <w:p>
      <w:pPr>
        <w:spacing w:after="0" w:line="184"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This list of risks and uncertainties, however, is only a summary of some of the most important factors and is not intended to be exhaustive. 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prospectus supplement. Except as otherwise required by applicable law, we do not undertake and expressly disclaim any obligation to update any such statements or to publicly announce the results of any revisions to any such statements to reflect future events or developments. All subsequent written and oral forward-looking statements attributable to us, or to persons acting on our behalf, are expressly qualified in their entirety by these cautionary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847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784796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i w:val="1"/>
          <w:iCs w:val="1"/>
          <w:color w:val="auto"/>
        </w:rPr>
        <w:t>This summary highlights selected information appearing elsewhere in or incorporated by reference in this prospectus supplement and the accompanying prospectus. This summary is not complete and does not contain all of the information that you should consider when making your investment decision. You should carefully read the entire prospectus supplement, the accompanying prospectus and the information incorporated herein by reference, including the section entitled “Risk Factors” beginning on page S-6 of this prospectus supplement and the “Risk Factors” section in the accompanying prospectus, in our Annual Report on Form 10-K for the year ended December 31, 2020 and in our other reports that we file with the SEC.</w:t>
      </w:r>
    </w:p>
    <w:p>
      <w:pPr>
        <w:spacing w:after="0" w:line="19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In this prospectus supplement, unless the context requires otherwise, references to “Harrow,” the “Company,” “we,” “us” and “our” refer to Harrow Health, Inc., together with its consolidated subsidiaries.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We specialize in the development, production and sale of innovative medications that offer unique competitive advantages and serve unmet needs in the marketplace through our subsidiaries and deconsolidated companies. We own and operate one of the nation’s leading ophthalmic pharmaceutical businesses, ImprimisRx. In addition to wholly owning ImprimisRx, we also have non-controlling equity positions in Eton Pharmaceuticals, Inc., or Eton, Surface Ophthalmics, Inc., or Surface, and Melt Pharmaceuticals, Inc., or Melt, all companies that began as our subsidiaries. We also recently launched a new business called Visionology and are exploring opportunities to launch other subsidiaries. We own royalty rights in various drug candidates being developed by Surface and Melt. We intend to continue to create and hold equity and royalty rights in new businesses that commercialize drug candidates that are internally developed or otherwise acquired or licensed from third parties.</w:t>
      </w:r>
    </w:p>
    <w:p>
      <w:pPr>
        <w:spacing w:after="0" w:line="177"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ImprimisRx is our ophthalmology focused pharmaceutical compounding business. We offer to over 9,000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U.S. Food and Drug Administration, or FDA, guidance documents, in our FDA-registered New Jersey outsourcing facility, or NJOF.</w:t>
      </w:r>
    </w:p>
    <w:p>
      <w:pPr>
        <w:spacing w:after="0" w:line="16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We have ownership interests in Eton, Surface and Melt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or NDA, where at least some of the information required for approval comes from studies not conducted by or for the applicant and for which the applicant has not obtained a right of reference. In 2018 and 2019, we formed and created subsidiaries named Radley Pharmaceuticals, Inc., or Radley, Mayfield Pharmaceuticals, Inc., or Mayfield, and Stowe Pharmaceuticals, Inc., or Stowe. In addition, we may create additional subsidiaries that will be focused on the development and FDA approval of certain proprietary drug formulations that we currently own, will in-license/acquire and/or otherwise develop. We expect any new subsidiaries to be focused on eye care.</w:t>
      </w:r>
    </w:p>
    <w:p>
      <w:pPr>
        <w:spacing w:after="0" w:line="192"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Prior to 2020, we incurred significant operating losses and negative cash flows from operations since July 24, 1998 (inception). As of December 31, 2020, we had an accumulated deficit of approximately $77.4 million. Our current projections indicate that we will have operating income and/or net income during 2021;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compounding operations, our ability to generate the revenues necessary to achieve profitability will depend on many factors, including those discussed in “Risk Factors” section of this prospectus supplement.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50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Eton Common Stock</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12, 2021, we closed the sale of an aggregate of 1,518,000 shares of common stock, par value $0.001 per share, of Eton at a public offering price of $7.00 per share. The total gross proceeds to the Company, before deducting underwriting discounts and commissions and offering expenses, was approximately $10.6 million. Following such sale, we own 1,982,000 shares of Eton common stock, which represented approximately 8.1% of the equity and voting interests issued and outstanding of Eton as of April 12,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 Forgiveness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highlight w:val="white"/>
        </w:rPr>
        <w:t>In April 2020, we entered into an unsecured promissory note and related Business Loan Agreement with Renasant Bank, as lender, for a loan (the “Loan”) in the principal amount of one million nine hundred sixty seven thousand one hundred dollars ($1,967,100) pursuant to the Paycheck Protection Program (the “PPP”) under the Federal Coronavirus Aid, Relief, and Economic Security Act (the “CARES Act”). The PPP is administered by the U.S. Small Business Administration. On March 30, 2021, the Company received a notice of forgiveness of the full balance of the Loan, including all accrued interest, in accordance with the terms and conditions of the CARES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Estimate of Results for the Three Months Ended March 31, 2021</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first quarter of 2021, we expect total revenue to be between $14,900,000 and $15,500,000 and Adjusted EBITDA to be greater than $2,700,000. We expect cash and cash equivalents, including restricted cash, at March 31, 2021 to be approximately $6,500,000. During the three months ended March 31, 2021, the Company made payments of approximately $1,200,000 on principal and interest associated with its existing loan agreement with SWK Funding, LLC. Our cash balance at March 31, 2021 does not include gross proceeds of $10,600,000 from the sale of 1,518,000 shares of our Eton common stock, which sale occurred on April 12, 2021.</w:t>
      </w:r>
    </w:p>
    <w:p>
      <w:pPr>
        <w:spacing w:after="0" w:line="18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Our management utilizes Adjusted EBITDA, an unaudited financial measure that is not calculated in accordance with U.S. generally accepted accounting principles, or GAAP, to evaluate the Company’s financial results and performance and to plan and forecast future periods. Our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Our management believes that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w:t>
      </w:r>
    </w:p>
    <w:p>
      <w:pPr>
        <w:spacing w:after="0" w:line="16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Set forth below is our reconciliation of estimated preliminary Adjusted EBITDA to estimated preliminary net income, the most directly comparable GAAP measure. However, we are unable to determine with reasonable certainty the ultimate outcome of certain items necessary to calculate such GAAP measure without unreasonable effort. These items include, but are not limited to, final calculation of investment related gains/losses. These items are uncertain, depend on various factors, and could have a material impact on the GAAP reported results for the period. The estimate presented is subject to completion of the applicable quarter-end closing procedures. Our actual results for such period will not be available until after this offering is completed and may vary from these estimates. In addition, estimated financial information is necessarily speculative in nature, and it can be expected that some or all of the assumptions underlying the estimated financial information described above will not materialize or will vary significantly from actual results. Accordingly, undue reliance should not be placed on this estimate. The preliminary estimate is not necessarily indicative of any future period and should be read together with the sections titled “Risk Factors” and “Special Note Regarding Forward-Looking Statements,” and under similar headings in the documents incorporated by reference into this prospectus supplement and the accompanying prospectus as well as our financial statements, related notes and other financial information incorporated by reference in this prospectus supplement.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5" w:name="page6"/>
    <w:bookmarkEnd w:id="5"/>
    <w:p>
      <w:pPr>
        <w:jc w:val="both"/>
        <w:ind w:firstLine="405"/>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619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5619115"/>
                    </a:xfrm>
                    <a:prstGeom prst="rect">
                      <a:avLst/>
                    </a:prstGeom>
                    <a:noFill/>
                  </pic:spPr>
                </pic:pic>
              </a:graphicData>
            </a:graphic>
          </wp:anchor>
        </w:drawing>
        <w:t>The foregoing estimate of results for the three months ended March 31, 2021 has not been reviewed by our auditors, is based on preliminary information as of the date hereof and is subject to material changes following completion of the quarter-end review process and other adjustments that may be made before our financial results are finalized. In addition, these preliminary unaudited results are not comprehensive financial results for the quarter ended March 31, 2021, should not be viewed as a substitute for complete GAAP financial statements or more comprehensive financial information, and are not indicative of the results for any future period.</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is a reconciliation of estimated preliminary Adjusted EBITDA to estimated preliminary net income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(in thousands):</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7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Preliminary Estimate</w:t>
            </w:r>
          </w:p>
        </w:tc>
      </w:tr>
      <w:tr>
        <w:trPr>
          <w:trHeight w:val="198"/>
        </w:trPr>
        <w:tc>
          <w:tcPr>
            <w:tcW w:w="7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17"/>
                <w:szCs w:val="17"/>
                <w:color w:val="auto"/>
              </w:rPr>
            </w:pPr>
          </w:p>
        </w:tc>
      </w:tr>
      <w:tr>
        <w:trPr>
          <w:trHeight w:val="241"/>
        </w:trPr>
        <w:tc>
          <w:tcPr>
            <w:tcW w:w="7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March 31, 2021</w:t>
            </w:r>
          </w:p>
        </w:tc>
      </w:tr>
      <w:tr>
        <w:trPr>
          <w:trHeight w:val="198"/>
        </w:trPr>
        <w:tc>
          <w:tcPr>
            <w:tcW w:w="7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7"/>
                <w:szCs w:val="17"/>
                <w:color w:val="auto"/>
              </w:rPr>
            </w:pPr>
          </w:p>
        </w:tc>
      </w:tr>
      <w:tr>
        <w:trPr>
          <w:trHeight w:val="241"/>
        </w:trPr>
        <w:tc>
          <w:tcPr>
            <w:tcW w:w="7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exclusive of investment gains/losses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5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(1,966)</w:t>
            </w:r>
          </w:p>
        </w:tc>
      </w:tr>
      <w:tr>
        <w:trPr>
          <w:trHeight w:val="210"/>
        </w:trPr>
        <w:tc>
          <w:tcPr>
            <w:tcW w:w="7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Adjusted EBITDA</w:t>
            </w: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2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2,700</w:t>
            </w:r>
          </w:p>
        </w:tc>
        <w:tc>
          <w:tcPr>
            <w:tcW w:w="10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6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Arial" w:cs="Arial" w:eastAsia="Arial" w:hAnsi="Arial"/>
          <w:sz w:val="17"/>
          <w:szCs w:val="17"/>
          <w:i w:val="1"/>
          <w:iCs w:val="1"/>
          <w:color w:val="auto"/>
        </w:rPr>
        <w:t>harrowinc.com</w:t>
      </w:r>
      <w:r>
        <w:rPr>
          <w:rFonts w:ascii="Arial" w:cs="Arial" w:eastAsia="Arial" w:hAnsi="Arial"/>
          <w:sz w:val="17"/>
          <w:szCs w:val="17"/>
          <w:color w:val="auto"/>
        </w:rPr>
        <w:t>. Information contained on our website is not deemed part of this prospectus supplement or the accompanying prospectus and is not incorporated in this prospectus supplement, the accompanying prospectus or any other document that we file with the SEC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5" w:right="4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162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t>The Offering</w:t>
      </w:r>
    </w:p>
    <w:p>
      <w:pPr>
        <w:spacing w:after="0" w:line="229" w:lineRule="exact"/>
        <w:rPr>
          <w:sz w:val="20"/>
          <w:szCs w:val="20"/>
          <w:color w:val="auto"/>
        </w:rPr>
      </w:pPr>
    </w:p>
    <w:p>
      <w:pPr>
        <w:ind w:left="160" w:right="160" w:firstLine="441"/>
        <w:spacing w:after="0" w:line="277" w:lineRule="auto"/>
        <w:rPr>
          <w:sz w:val="20"/>
          <w:szCs w:val="20"/>
          <w:color w:val="auto"/>
        </w:rPr>
      </w:pPr>
      <w:r>
        <w:rPr>
          <w:rFonts w:ascii="Arial" w:cs="Arial" w:eastAsia="Arial" w:hAnsi="Arial"/>
          <w:sz w:val="18"/>
          <w:szCs w:val="18"/>
          <w:i w:val="1"/>
          <w:iCs w:val="1"/>
          <w:color w:val="auto"/>
        </w:rPr>
        <w:t>The following is a brief summary of certain material terms of the Notes. For more complete information about the Notes, see “Description of the Notes”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Issuer:</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Harrow Health, Inc.</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Title of the Securities:</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8.625% Senior Notes due 2026</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Aggregate Principal Amount Offered:</w:t>
            </w:r>
          </w:p>
        </w:tc>
        <w:tc>
          <w:tcPr>
            <w:tcW w:w="2720" w:type="dxa"/>
            <w:vAlign w:val="bottom"/>
          </w:tcPr>
          <w:p>
            <w:pPr>
              <w:ind w:left="460"/>
              <w:spacing w:after="0"/>
              <w:rPr>
                <w:sz w:val="20"/>
                <w:szCs w:val="20"/>
                <w:color w:val="auto"/>
              </w:rPr>
            </w:pPr>
            <w:r>
              <w:rPr>
                <w:rFonts w:ascii="Arial" w:cs="Arial" w:eastAsia="Arial" w:hAnsi="Arial"/>
                <w:sz w:val="18"/>
                <w:szCs w:val="18"/>
                <w:color w:val="auto"/>
              </w:rPr>
              <w:t>$50,000,000</w:t>
            </w:r>
          </w:p>
        </w:tc>
        <w:tc>
          <w:tcPr>
            <w:tcW w:w="14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Option to Purchase Additional Notes:</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3"/>
              </w:rPr>
              <w:t>The underwriters may also purchase from the Company up to an additional $5,000,000 aggregate</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principal amount of the Notes, within 30 days of the date of this prospectus supplement.</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Initial Public Offering Price:</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100% of the aggregate principal amount</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Issue Date:</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April 20, 2021</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Maturity Date:</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April 30, 2026</w:t>
            </w: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Interest:</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4"/>
              </w:rPr>
              <w:t>8.625% per year, payable quarterly in arrears on January 31, April 30, July 31 and October 31 of</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5"/>
              </w:rPr>
              <w:t>each year, commencing on July 31, 2021, and at maturity. If an interest payment date falls on a</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3"/>
              </w:rPr>
              <w:t>day other than a business day, the applicable interest payment will be made on the next business</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day and no additional interest will accrue as a result of such delayed payment.</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Guarantors:</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None.</w:t>
            </w: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Ranking:</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7"/>
              </w:rPr>
              <w:t>The Notes will be senior unsecured obligations of the Company, and will rank equal in right of</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8"/>
              </w:rPr>
              <w:t>payment  with  all  of  its  other  existing  and  future  senior  unsecured  and  unsubordinated</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4"/>
              </w:rPr>
              <w:t>indebtedness. The Notes will be effectively subordinated to all of our existing and future secured</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1"/>
              </w:rPr>
              <w:t>indebtedness to the extent of the value of the assets securing such indebtedness. The Notes will be</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4"/>
              </w:rPr>
              <w:t>structurally subordinated to all existing and future indebtedness (including trade payables) of our</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subsidiaries.</w:t>
            </w:r>
          </w:p>
        </w:tc>
      </w:tr>
      <w:tr>
        <w:trPr>
          <w:trHeight w:val="41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9"/>
              </w:rPr>
              <w:t>The indenture governing the Notes does not limit the amount of indebtedness that we or our</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subsidiaries may incur or whether any such indebtedness can be secured by our assets.</w:t>
            </w:r>
          </w:p>
        </w:tc>
      </w:tr>
      <w:tr>
        <w:trPr>
          <w:trHeight w:val="391"/>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Optional Redemption:</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3"/>
              </w:rPr>
              <w:t>Prior to February 1, 2026 (the “Notes Par Call Date”), we may, at our option, redeem the Notes, in</w:t>
            </w: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whole at any time or in part from time to time, at a redemption price equal to 100% of the</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principal amount of the Notes to be redeemed, plus a Make-Whole Amount (as defined in</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5"/>
              </w:rPr>
              <w:t>“Description of the Notes — Optional Redemption”), if any, plus accrued and unpaid interest to,</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but excluding, the date of redemption.</w:t>
            </w:r>
          </w:p>
        </w:tc>
      </w:tr>
      <w:tr>
        <w:trPr>
          <w:trHeight w:val="41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We may redeem the Notes for cash in whole or in part at any time at our option on or after</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5"/>
              </w:rPr>
              <w:t>February 1, 2026 and prior to April 30, 2026, at a price equal to 100% of their principal amount,</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2"/>
              </w:rPr>
              <w:t>plus accrued and unpaid interest to, but excluding, the date of redemption. See “Description of the</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Notes — Optional Redemption” for additional details.</w:t>
            </w: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Sinking Fund:</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9"/>
              </w:rPr>
              <w:t>The Notes will not be subject to any sinking fund (i.e., no amounts will be set aside by us to</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ensure repayment of the Notes at maturity).</w:t>
            </w:r>
          </w:p>
        </w:tc>
      </w:tr>
      <w:tr>
        <w:trPr>
          <w:trHeight w:val="220"/>
        </w:trPr>
        <w:tc>
          <w:tcPr>
            <w:tcW w:w="20" w:type="dxa"/>
            <w:vAlign w:val="bottom"/>
          </w:tcPr>
          <w:p>
            <w:pPr>
              <w:spacing w:after="0"/>
              <w:rPr>
                <w:sz w:val="19"/>
                <w:szCs w:val="19"/>
                <w:color w:val="auto"/>
              </w:rPr>
            </w:pPr>
          </w:p>
        </w:tc>
        <w:tc>
          <w:tcPr>
            <w:tcW w:w="35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98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320" w:top="93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40" w:type="dxa"/>
            <w:vAlign w:val="bottom"/>
            <w:tcBorders>
              <w:right w:val="single" w:sz="8" w:color="auto"/>
            </w:tcBorders>
          </w:tcPr>
          <w:p>
            <w:pPr>
              <w:spacing w:after="0"/>
              <w:rPr>
                <w:sz w:val="24"/>
                <w:szCs w:val="24"/>
                <w:color w:val="auto"/>
              </w:rPr>
            </w:pPr>
          </w:p>
        </w:tc>
        <w:tc>
          <w:tcPr>
            <w:tcW w:w="30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Use of Proceeds:</w:t>
            </w:r>
          </w:p>
        </w:tc>
        <w:tc>
          <w:tcPr>
            <w:tcW w:w="820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color w:val="auto"/>
                <w:w w:val="96"/>
              </w:rPr>
              <w:t>We intend to use the net proceeds from the sale of the Notes to repay outstanding borrowings</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under the Company’s term loan maturing July 19, 2023, with remaining net proceeds available for</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general corporate purposes, including funding future strategic product acquisitions and related</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investments, making capital expenditures, and funding working capital. See “Use of Proceeds”</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and “Capitalization.”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Events of Default:</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Events of default generally will include (i) failure to pay principal or interest, (ii) failure to</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9"/>
              </w:rPr>
              <w:t>observe or perform any other covenant or warranty in the Notes or in the indenture, and (iii)</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9"/>
              </w:rPr>
              <w:t>certain events of bankruptcy, insolvency or reorganization. See “Description of the Notes —</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Events of Default.”</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Certain Covenants: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The indenture that governs the Notes contains certain covenants, including, but not limited to,</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restrictions on our ability to merge or consolidate with or into any other entity. See “Description</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of the Notes — Covenants.”</w:t>
            </w:r>
          </w:p>
        </w:tc>
      </w:tr>
      <w:tr>
        <w:trPr>
          <w:trHeight w:val="432"/>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No Financial Covenants: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indenture governing the Notes does not contain financial covenants.</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Additional Notes: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We may create and issue additional Notes ranking equally and ratably with the Notes in all</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respects, so that such additional Notes will constitute and form a single series with the Notes and</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will have the same terms as to status, redemption or otherwise (except the price to public, the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issue date and, if applicable, the initial interest accrual date and the initial interest payment date)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as the Notes; provided that if any such additional Notes are not fungible with the Notes initially</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offered hereby for U.S. federal income tax purposes, such additional Notes will have one or more</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separate CUSIP numbers.</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Defeasance:</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The Notes are subject to legal and covenant defeasance by us. See “Description of the Notes —</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Defeasance” for more information.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Listing:</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The Company intends to apply to list the Notes on NASDAQ under the symbol “HROWL”. If the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application is approved, the Company expects trading in the Notes to begin within 30 days after</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original issue date.</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Form and Denomination:</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8"/>
              </w:rPr>
              <w:t>The Notes will be issued in book-entry form in denominations of $25 and integral multiples in</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2"/>
              </w:rPr>
              <w:t>excess thereof. The Notes will be represented by a permanent global certificate deposited with the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trustee as custodian for The Depository Trust Company, or DTC, and registered in the name of a</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nominee of DTC. Beneficial interests in any of the Notes will be shown on, and transfers will be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effected only through, records maintained by DTC and its direct and indirect participants and any</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such interest may not be exchanged for certificated securities, except in limited circumstances.</w:t>
            </w:r>
          </w:p>
        </w:tc>
      </w:tr>
      <w:tr>
        <w:trPr>
          <w:trHeight w:val="432"/>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Trustee:</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U.S. Bank National Association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Governing Law:</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Notes and the indenture governing the Notes will be governed by and construed in</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accordance with the laws of the State of New York.</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Risk Factors: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Investing in the Notes involves risks. You should carefully consider the information set forth in</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the section of this prospectus supplement entitled “Risk Factors” beginning on page S-6, as well</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as the other information included in or incorporated by reference into this prospectus supplement</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and the accompanying prospectus before deciding whether to invest in the Notes.</w:t>
            </w:r>
          </w:p>
        </w:tc>
      </w:tr>
      <w:tr>
        <w:trPr>
          <w:trHeight w:val="219"/>
        </w:trPr>
        <w:tc>
          <w:tcPr>
            <w:tcW w:w="40" w:type="dxa"/>
            <w:vAlign w:val="bottom"/>
            <w:tcBorders>
              <w:right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8200" w:type="dxa"/>
            <w:vAlign w:val="bottom"/>
            <w:tcBorders>
              <w:bottom w:val="single" w:sz="8" w:color="auto"/>
              <w:right w:val="single" w:sz="8" w:color="auto"/>
            </w:tcBorders>
          </w:tcPr>
          <w:p>
            <w:pPr>
              <w:spacing w:after="0"/>
              <w:rPr>
                <w:sz w:val="19"/>
                <w:szCs w:val="19"/>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240"/>
          </w:cols>
          <w:pgMar w:left="320" w:top="6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i w:val="1"/>
          <w:iCs w:val="1"/>
          <w:color w:val="auto"/>
        </w:rPr>
        <w:t>Investing in the Notes involves significant risks, including the risks described below. Before making an investment in the Notes, you should carefully consider, among other factors, the risks identified under “Risk Factors” in our Annual Report on Form 10-K for the fiscal year ended December 31, 2020. Please also refer to the section above entitled “Special Note Regarding Forward-Looking Statements.” Please also see “Forward-Looking Statements” in the accompanying prospectus and the risks described in the documents incorporated by reference in this prospectus supplement and in our other filings. The risks described in the documents incorporated by reference in this prospectus supplement are not the only ones we face. Additional risks not presently known or that we currently deem immaterial could also materially and adversely affect our financial condition, results of operations, business and prospects. You should consult your own financial and legal advisors as to the risks entailed by an investment in the Notes and the suitability of investing in the Notes in light of your particular circumstances. Our business, financial condition and results of operations could be materially adversely affected by the materialization of any of these risks. The materialization of any of these risks could also result in a complete loss of your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able to incur substantially more debt, which could have important consequences to you, and we may be unable to service our debt.</w:t>
      </w:r>
    </w:p>
    <w:p>
      <w:pPr>
        <w:spacing w:after="0" w:line="24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We may be able to incur substantial additional indebtedness in the future. The terms of the indenture governing the Notes will not prohibit us from doing so. If we incur any additional indebtedness that ranks equally with the Notes, the holders of that debt will be entitled to share ratably with you in any proceeds distributed in connection with any insolvency, liquidation, reorganization or dissolution. This may have the effect of reducing the amount of proceeds paid to you. 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level of indebtedness could have important consequences to you, because:</w:t>
      </w:r>
    </w:p>
    <w:p>
      <w:pPr>
        <w:spacing w:after="0" w:line="225" w:lineRule="exact"/>
        <w:rPr>
          <w:sz w:val="20"/>
          <w:szCs w:val="20"/>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could affect our ability to satisfy our financial obligations, including those relating to the Notes;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impair our ability to obtain additional debt or equity financing in the future;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limit our ability to refinance all or a portion of our indebtedness on or before maturity;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industry;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make us more vulnerable to downturns in our business, our industry or the economy in general.</w:t>
      </w:r>
    </w:p>
    <w:p>
      <w:pPr>
        <w:spacing w:after="0" w:line="22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Our operations may not generate sufficient cash to enable us to service our debt. If we fail to make a payment on the Notes, we could be in default on the Notes, and this default could cause us to be in default on other indebtedness, to the extent outstanding. Conversely,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 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However, no event of default under the Notes would result from a default or acceleration of, or suit, other exercise of remedies or collection proceeding by holders of, our other outstanding debt, if any. As a result, all or substantially all of our assets may be used to satisfy claims of holders of our other outstanding debt, if any, without the holders of the Notes having any rights to such assets. The indenture governing the Notes will not restrict our ability to incur additional indebtedness.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Notes will be unsecured and therefore will be effectively subordinated to any secured indebtedness that we currently have or that we may incur in the future.</w:t>
      </w:r>
    </w:p>
    <w:p>
      <w:pPr>
        <w:spacing w:after="0" w:line="170"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Notes will not be secured by any of our assets or any of the assets of our subsidiaries. As a result, the Notes will be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225"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The Notes are obligations exclusively of the Company and not of any of our subsidiaries. None of our subsidiaries is a guarantor of the Notes, and the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any of our subsidiaries and any subsidiaries that we may in the future acquire or establish as financing vehicles or otherwise. The indenture governing the Notes does not prohibit us or our subsidiaries from incurring additional indebtedness in the future. In addition, future debt and security agreements entered into by our subsidiaries may contain various restrictions, including restrictions on payments by our subsidiaries to us and the transfer by our subsidiaries of assets pledged as collateral.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governing the Notes contains limited protection for holders of the Notes.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187" w:lineRule="exact"/>
        <w:rPr>
          <w:sz w:val="20"/>
          <w:szCs w:val="20"/>
          <w:color w:val="auto"/>
        </w:rPr>
      </w:pPr>
    </w:p>
    <w:p>
      <w:pPr>
        <w:jc w:val="both"/>
        <w:ind w:left="760" w:hanging="320"/>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92"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subordinated in right of payment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ind w:firstLine="441"/>
        <w:spacing w:after="0" w:line="255" w:lineRule="auto"/>
        <w:rPr>
          <w:sz w:val="20"/>
          <w:szCs w:val="20"/>
          <w:color w:val="auto"/>
        </w:rPr>
      </w:pPr>
      <w:r>
        <w:rPr>
          <w:rFonts w:ascii="Arial" w:cs="Arial" w:eastAsia="Arial" w:hAnsi="Arial"/>
          <w:sz w:val="18"/>
          <w:szCs w:val="18"/>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9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debt, and may be forced to take other actions to satisfy our obligations under such indebtedness, which may not be successful.</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ability to make scheduled payments on, or to refinance our obligations under, our debt will depend on our financial and operating performance and that of our subsidiaries, which, in turn, will be subject to prevailing economic and competitive conditions and to financial and business factors, many of which may be beyond our control.</w:t>
      </w:r>
    </w:p>
    <w:p>
      <w:pPr>
        <w:spacing w:after="0" w:line="184"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We may not maintain a level of cash flow from operating activities sufficient to permit us to pay the principal, premium, if any, and interest on our indebtedness. If our cash flow and capital resources are insufficient to fund our debt service obligations, we may be forced to reduce or delay capital expenditures, sell assets, seek to obtain additional equity capital or restructure our debt. In the future, our cash flow and capital resources may not be sufficient for payments of interest on, and principal of, our debt, and such alternative measures may not be successful and may not permit us to meet our scheduled debt service obligations. We may not be able to refinance any of our indebtedness or obtain additional financing, particularly because of our anticipated high levels of debt and the debt incurrence restrictions imposed by the agreements governing our debt, as well as prevailing market conditions. In the absence of such operating results and resources, we could face substantial liquidity problems and might be required to dispose of material assets or operations to meet our debt service and other obligations. The instruments governing our indebtedness restrict our ability to dispose of assets and use the proceeds from any such dispositions. We may not be able to consummate those sales, or if we do, at an opportune time, the proceeds that we realize may not be adequate to meet debt service obligations when due.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Notes.</w:t>
      </w:r>
    </w:p>
    <w:p>
      <w:pPr>
        <w:spacing w:after="0" w:line="225"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In general, as market interest rates rise, notes bearing interest at a fixed rate decline in value. Consequently, if you purchase the Notes, and the market interest rates subsequently increase, the market value of your Notes may decline. We cannot predict the future level of market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Notes may not develop, which could limit the market price of the Notes or your ability to sell them.</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The Notes are a new issue of debt securities for which there currently is no trading market. We intend to apply to list the Notes on NASDAQ within 30 business days of the original issue date under the symbol “HROWL”. We cannot provide any assurances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have advised us that they may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addition, there may be a limited number of buyers when you decide to sell your Notes. This may affect the price, if any, offered for your Notes or your ability to sell your Notes when desired or at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may issue additional Notes.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Under the terms of the indenture governing the Notes, we may from time to time without notice to, or the consent of, the holders of the Notes, create and issue additional Notes which will be equal in rank to the Notes. If any such additional Notes are not fungible with the Notes initially offered hereby for U.S. federal income tax purposes, such additional Notes will have one or more separate CUSIP numbers.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rating for the Notes could at any time be revised downward or withdrawn entirely at the discretion of the issuing rating agency.</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The net proceeds to be received by us from the sale of Notes in this offering, after deducting underwriting discounts and commissions, the structuring fee and other offering expenses payable by us, are estimated to be approximately $47,250,000 (or $52,000,000 if the underwriters’ option to purchase up to $5,000,000 additional Notes is exercised in full).</w:t>
      </w:r>
    </w:p>
    <w:p>
      <w:pPr>
        <w:spacing w:after="0" w:line="184"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We intend to use the net proceeds from this offering to repay outstanding borrowings of approximately $15,500,000 (which amount includes outstanding principal, accrued interest, accrued exit fee and related expenses) under our term loan and security agreement with SWK Funding LLC and its partners (the “Loan Agreement”), with remaining net proceeds available for general corporate purposes, including funding future strategic product acquisitions and related investments, making capital expenditures, and funding working capital. The term loan under the Loan Agreement has a scheduled maturity date of July 19, 2023 and bears interest at a rate equal to the three-month LIBOR rate (subject to a minimum of 2.00%), plus an applicable margin of 10.00%, subject to certain other terms. Pending such use, we may invest the net proceeds in short-term interest-bearing accounts, securities, or similar investments. See “Capitalization.”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cash and cash equivalents and our consolidated capitalization as of December 31, 2020:</w:t>
      </w:r>
    </w:p>
    <w:p>
      <w:pPr>
        <w:spacing w:after="0" w:line="225" w:lineRule="exact"/>
        <w:rPr>
          <w:sz w:val="20"/>
          <w:szCs w:val="20"/>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 pro forma basis, after giving effect to (i) our sale of a portion of the Eton common stock, net of costs, which closed on April 12, 2021, and (ii) the forgiveness of our PPP Loan effective March 30, 2021; and</w:t>
      </w:r>
    </w:p>
    <w:p>
      <w:pPr>
        <w:spacing w:after="0" w:line="170"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 pro forma as adjusted basis, after giving further effect to (i) the sale of the Notes in this offering (assuming no exercise of the underwriters’ option to purchase additional Notes), after deducting underwriting discounts and commissions, the structuring fee and estimated offering expenses payable by us; and (ii) repayment of borrowings under the Loan Agreement.</w:t>
      </w:r>
    </w:p>
    <w:p>
      <w:pPr>
        <w:spacing w:after="0" w:line="18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You should read this table in conjunction with our consolidated financial statements and related notes incorporated by reference in this prospectus supplement.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9"/>
              </w:rPr>
              <w:t>As of December 31, 2020</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Actual</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Pro Forma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As Adjusted</w:t>
            </w: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1"/>
              </w:rPr>
              <w:t>(unaudited)</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of $200</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45,839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Current Installments of Long-Term Debt:</w:t>
            </w:r>
          </w:p>
        </w:tc>
        <w:tc>
          <w:tcPr>
            <w:tcW w:w="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paycheck protection program loan payable</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w w:val="97"/>
              </w:rPr>
              <w:t>Current portion of loan payable, net of unamortized debt discount</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2,639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installments of long-term debt</w:t>
            </w:r>
          </w:p>
        </w:tc>
        <w:tc>
          <w:tcPr>
            <w:tcW w:w="8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3,906</w:t>
            </w:r>
          </w:p>
        </w:tc>
        <w:tc>
          <w:tcPr>
            <w:tcW w:w="8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2,647</w:t>
            </w:r>
          </w:p>
        </w:tc>
        <w:tc>
          <w:tcPr>
            <w:tcW w:w="26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Less Current Installments: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Finance lease obligations, net of current portion</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Exit fee associated with loan payable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w w:val="97"/>
              </w:rPr>
              <w:t>Paycheck protection program loan payable, net of current portion</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Loan payable, net of current portion and unamortized debt discount</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60" w:type="dxa"/>
            <w:vAlign w:val="bottom"/>
          </w:tcPr>
          <w:p>
            <w:pPr>
              <w:ind w:left="180"/>
              <w:spacing w:after="0"/>
              <w:rPr>
                <w:sz w:val="20"/>
                <w:szCs w:val="20"/>
                <w:color w:val="auto"/>
              </w:rPr>
            </w:pPr>
            <w:r>
              <w:rPr>
                <w:rFonts w:ascii="Arial" w:cs="Arial" w:eastAsia="Arial" w:hAnsi="Arial"/>
                <w:sz w:val="18"/>
                <w:szCs w:val="18"/>
                <w:color w:val="auto"/>
              </w:rPr>
              <w:t>8.625% Senior Notes due 2026</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installments</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Debt</w:t>
            </w:r>
          </w:p>
        </w:tc>
        <w:tc>
          <w:tcPr>
            <w:tcW w:w="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17,101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15,134</w:t>
            </w: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104,557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104,557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104,557</w:t>
            </w: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(77,400)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(77,986)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(78,788)</w:t>
            </w:r>
          </w:p>
        </w:tc>
        <w:tc>
          <w:tcPr>
            <w:tcW w:w="0" w:type="dxa"/>
            <w:vAlign w:val="bottom"/>
          </w:tcPr>
          <w:p>
            <w:pPr>
              <w:spacing w:after="0"/>
              <w:rPr>
                <w:sz w:val="1"/>
                <w:szCs w:val="1"/>
                <w:color w:val="auto"/>
              </w:rPr>
            </w:pPr>
          </w:p>
        </w:tc>
      </w:tr>
      <w:tr>
        <w:trPr>
          <w:trHeight w:val="216"/>
        </w:trPr>
        <w:tc>
          <w:tcPr>
            <w:tcW w:w="5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STOCKHOLDERS’ EQUITY</w:t>
            </w:r>
          </w:p>
        </w:tc>
        <w:tc>
          <w:tcPr>
            <w:tcW w:w="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26,597</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CAPITALIZATION</w:t>
            </w:r>
          </w:p>
        </w:tc>
        <w:tc>
          <w:tcPr>
            <w:tcW w:w="8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S-11</w:t>
            </w: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The 8.625% Senior Notes due 2026 (the “Notes”) are being issued under an Indenture dated as of April 20, 2021, as supplemented by the First Supplemental Indenture dated as of April 20, 2021, which we refer to collectively as the “indenture,” between the Company and U.S. Bank National Association, trustee. Set forth below is a description of the specific terms of the Notes and the indenture. This description supplements the description of the general terms and provisions of our debt securities set forth in the accompanying prospectus under the caption “Description of Debt Securities.” The following description does not purport to be complete and is subject to, and is qualified in its entirety by reference to, the indenture filed as an exhibit to a Current Report on Form 8-K to be filed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our general unsecured, senior obligations;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initially limited to an aggregate principal amount of $50,000,000 (assuming no exercise of the underwriters’ option to purchase additional Notes described herein);</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will mature on April 30, 2026 unless earlier redeemed or repurchased, and 100% of the aggregate principal amount will be paid at maturity;</w:t>
      </w:r>
    </w:p>
    <w:p>
      <w:pPr>
        <w:spacing w:after="0" w:line="236" w:lineRule="exact"/>
        <w:rPr>
          <w:rFonts w:ascii="Arial" w:cs="Arial" w:eastAsia="Arial" w:hAnsi="Arial"/>
          <w:sz w:val="17"/>
          <w:szCs w:val="17"/>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bear cash interest from April 20, 2021 at an annual rate of 8.625%, payable quarterly in arrears on January 31, April 30, July 31 and October 31 of each year, beginning on July 31, 2021, and at maturity;</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prior to February 1, 2026, at the prices and on the terms described under “— Optional Redemption” below;</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at any time on or after February 1, 2026, at the prices and on the terms described under “— Optional Redemption” below;</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denominations of $25 and integral multiples of $25 in excess thereof;</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not have a sinking fund;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expected to be listed on NASDAQ under the symbol “HROWL”;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w:t>
      </w:r>
    </w:p>
    <w:p>
      <w:pPr>
        <w:spacing w:after="0" w:line="17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indenture does not limit the amount of indebtedness that we or our subsidiaries may issue. The indenture does not contain any financial covenants and does not restrict us from paying dividends or issuing or repurchasing our other securities. Other than restrictions described under “— Covenants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7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may from time to time, without the consent of the existing holders, issue additional Notes having the same terms as to status, redemption or otherwise (except the price to public, the issue date and, if applicable, the initial interest accrual date and the initial interest payment date) that may constitute a single fungible series with the Notes offered by this prospectus supplement; provided that if any such additional Notes are not fungible with the Notes initially offered hereby for U.S. federal income tax purposes, such additional Notes will have one or more separate CUSIP numbers.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equally) with our future unsecured and unsubordinated indebtedness,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Interest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on the Notes will accrue at an annual rate equal to 8.625% from and including April 20, 2021 to, but excluding, the maturity date or earlier acceleration or redemption and will be payable quarterly in arrears on January 31, April 30, July 31 and October 31 of each year, beginning on July 31, 2021 and at maturity, to the record holders at the close of business on the immediately preceding January 15, April 15, July 15 and October 15, as applicable (whether or not a business day).</w:t>
      </w:r>
    </w:p>
    <w:p>
      <w:pPr>
        <w:spacing w:after="0" w:line="18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initial interest period for the Notes will be the period from and including April 20, 2021, to, but excluding, July 31, 2021, and subsequent interest periods will be the periods from and including an interest payment date to, but excluding, the next interest payment date or the stated maturity date, as the case may be. The amount of interest payable for any interest period, including interest payable for any partial interest period, will be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7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“Business day” means, for any place where the principal and interest on the Notes is payable, each Monday, Tuesday, Wednesday, Thursday and Friday which is not a day in which banking institutions in such place of payment are authorized or obligated by law or executive order to close.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Prior to February 1, 2026 (the “Notes Par Call Date”), we may, at our option, redeem the Notes, in whole at any time or in part from time to time, at a redemption price equal to the sum of (i) 100% of the principal amount of the Notes being redeemed plus accrued and unpaid interest to, but excluding, the date of redemption and (ii) the Make-Whole Amount, if any.</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Notes may be redeemed for cash in whole or in part at any time at our option on or after February 1, 2026 and prior to maturity, at a price equal to 100% of their principal amount, plus accrued and unpaid interest to, but excluding, the date of redemption. In each case, redemption shall be upon notice not fewer than 30 days and not more than 60 days prior to the date fixed for redemption.</w:t>
      </w:r>
    </w:p>
    <w:p>
      <w:pPr>
        <w:spacing w:after="0" w:line="18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If less than all of the Notes are to be redeemed, the particular Notes to be redeemed will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Beneficial interests in any of the Notes or portions thereof called for redemption that are registered in the name of DTC or its nominee will be selected by DTC in accordance with DTC’s applicable procedures.</w:t>
      </w:r>
    </w:p>
    <w:p>
      <w:pPr>
        <w:spacing w:after="0" w:line="16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Unless we default on the payment of the redemption price, on and after the date of redemption, interest will cease to accrue on the Notes called for redemption.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at any time, and from time to time, purchase notes at any price or prices in the open market or otherwise.</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“Make-Whole Amount” means, in connection with any optional redemption of any Note, the excess, if any, of (i) the sum of the present values, as of the date of such redemption, of the remaining scheduled payments of principal of, and interest (exclusive of interest accrued to, but excluding, the date of redemption) on, such Note, assuming such Note matured on, and that accrued and unpaid interest on such Note was payable through, the Notes Par Call Date, determined by discounting, on a semi-annual basis (assuming a 360-day year consisting of twelve 30-day months), such principal and interest at the Reinvestment Rate (as defined below) (determined on the third business day preceding the date of redemption) over (ii) the aggregate principal amount of such Notes being redeemed.</w:t>
      </w:r>
    </w:p>
    <w:p>
      <w:pPr>
        <w:spacing w:after="0" w:line="19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“Reinvestment Rate” means, 0.500%, or 50 basis points, plus the arithmetic mean (rounded to the nearest one-hundredth of one percent) of the yields displayed for each day in the preceding calendar week published in the most recent Statistical Release under the caption “Treasury constant maturities” for the maturity (rounded to the nearest month) corresponding to the remaining life to maturity of the Notes (assuming that the Notes matured on the Notes Par Call Date) as of the date of redemption. If no maturity exactly corresponds to such remaining life to maturity, yields for the two published maturities most closely corresponding to such remaining life to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Reinvestment Rate shall be used.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432"/>
        <w:spacing w:after="0" w:line="259" w:lineRule="auto"/>
        <w:rPr>
          <w:sz w:val="20"/>
          <w:szCs w:val="20"/>
          <w:color w:val="auto"/>
        </w:rPr>
      </w:pPr>
      <w:r>
        <w:rPr>
          <w:rFonts w:ascii="Arial" w:cs="Arial" w:eastAsia="Arial" w:hAnsi="Arial"/>
          <w:sz w:val="18"/>
          <w:szCs w:val="18"/>
          <w:color w:val="auto"/>
        </w:rPr>
        <w:t>“Statistical Release” means that statistical release designated “H.15” or any successor publication that is published daily by the Federal Reserve System and that establishes yields on actively traded United States Treasury securities adjusted to constant maturities, or, if such statistical release (or a successor publication) is not published at the time of any determination under the Indenture, then such other reasonably comparable index that shall be designated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Holders of our Notes will have rights if an Event of Default occurs in respect of the Notes and is not cured, as described later in this subsection. The term “Event of Default” in respect of the Notes means any of the following:</w:t>
      </w:r>
    </w:p>
    <w:p>
      <w:pPr>
        <w:spacing w:after="0" w:line="170"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pay interest on any Note when due, and such default is not cured within 30 days;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pay the principal of the Notes when due and payable;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certain specified events of bankruptcy, insolvency or reorganization occur and remain undischarged or unstayed for a period of 90 days.</w:t>
      </w:r>
    </w:p>
    <w:p>
      <w:pPr>
        <w:spacing w:after="0" w:line="2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trustee may withhold notice to the holders of the Notes of any default, except in the payment of principal or interest, if the trustee in good faith determines the withholding of notice to be in the interest of the holders of the Notes.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 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9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At our election, the sole remedy with respect to an Event of Default due to our failure to comply with certain reporting requirements under the Trust Indenture Act or under “— Covenants — Reporting” below, for the first 180 calendar days after the occurrence of such Event of Default, consists exclusively of the right to receive additional interest on the Notes at an annual rate equal to (1) 0.25% for the first 90 calendar days after such default and</w:t>
      </w:r>
    </w:p>
    <w:p>
      <w:pPr>
        <w:spacing w:after="0" w:line="2" w:lineRule="exact"/>
        <w:rPr>
          <w:sz w:val="20"/>
          <w:szCs w:val="20"/>
          <w:color w:val="auto"/>
        </w:rPr>
      </w:pPr>
    </w:p>
    <w:p>
      <w:pPr>
        <w:jc w:val="both"/>
        <w:ind w:firstLine="8"/>
        <w:spacing w:after="0" w:line="259" w:lineRule="auto"/>
        <w:tabs>
          <w:tab w:leader="none" w:pos="264" w:val="left"/>
        </w:tabs>
        <w:numPr>
          <w:ilvl w:val="0"/>
          <w:numId w:val="7"/>
        </w:numPr>
        <w:rPr>
          <w:rFonts w:ascii="Arial" w:cs="Arial" w:eastAsia="Arial" w:hAnsi="Arial"/>
          <w:sz w:val="16"/>
          <w:szCs w:val="16"/>
          <w:color w:val="auto"/>
        </w:rPr>
      </w:pPr>
      <w:r>
        <w:rPr>
          <w:rFonts w:ascii="Arial" w:cs="Arial" w:eastAsia="Arial" w:hAnsi="Arial"/>
          <w:sz w:val="16"/>
          <w:szCs w:val="16"/>
          <w:color w:val="auto"/>
        </w:rPr>
        <w:t>0.50% for calendar days 91 through 180 after such default. On the 181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w:t>
      </w:r>
    </w:p>
    <w:p>
      <w:pPr>
        <w:spacing w:after="0" w:line="18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Before a holder of the Notes is allowed to bypass the trustee and bring a lawsuit or other formal legal action or take other steps to enforce such holder’s rights relating to the Notes, the following must occur:</w:t>
      </w:r>
    </w:p>
    <w:p>
      <w:pPr>
        <w:spacing w:after="0" w:line="170"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holder must give the trustee written notice that the Event of Default has occurred and remains uncured;</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at least 25% of the outstanding principal of the Notes must have made a written request to the trustee to institute proceedings in respect of such Event of Default in its own name as trustee;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ind w:left="76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holder or holders must have offered to the trustee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holders of a majority of the outstanding principal of the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delay or omission in exercising any right or remedy will be treated as a waiver of that right, remedy or Event of Default.</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Book-entry and other indirect holders of the Notes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Defaults</w:t>
      </w:r>
    </w:p>
    <w:p>
      <w:pPr>
        <w:spacing w:after="0" w:line="22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holders of not less than a majority of the outstanding principal amount of the Notes may on behalf of the holders of all Notes waive any past default with respect to the Notes other than (i) a default in the payment of principal or interest on the Notes when such payments are due and payable (other than by acceleration as described above), or (ii) in respect of a covenant that cannot be modified or amended without the consent of each holder of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to any other covenants described in the accompanying prospectus, as well as standard covenants relating to payment of principal and interest, maintaining an office where payments may be made or securities can be surrendered for payment, payment of taxes by us and related matters, the following covenants will apply to the Notes. To the extent of any conflict or inconsistency between the base indenture and the following covenants, the following covenants will govern.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24" w:lineRule="exact"/>
        <w:rPr>
          <w:sz w:val="20"/>
          <w:szCs w:val="20"/>
          <w:color w:val="auto"/>
        </w:rPr>
      </w:pPr>
    </w:p>
    <w:p>
      <w:pPr>
        <w:jc w:val="both"/>
        <w:ind w:left="760" w:hanging="320"/>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83"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86"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has occurred and is continuing; and</w:t>
      </w:r>
    </w:p>
    <w:p>
      <w:pPr>
        <w:spacing w:after="0" w:line="170" w:lineRule="exact"/>
        <w:rPr>
          <w:rFonts w:ascii="Arial" w:cs="Arial" w:eastAsia="Arial" w:hAnsi="Arial"/>
          <w:sz w:val="18"/>
          <w:szCs w:val="18"/>
          <w:color w:val="auto"/>
        </w:rPr>
      </w:pPr>
    </w:p>
    <w:p>
      <w:pPr>
        <w:jc w:val="both"/>
        <w:ind w:left="760" w:hanging="320"/>
        <w:spacing w:after="0" w:line="311"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w:t>
      </w:r>
    </w:p>
    <w:p>
      <w:pPr>
        <w:spacing w:after="0" w:line="22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60 days of our fiscal quarter end (other than our fourth fiscal quarter). All such financial statements will be prepared, in all material respects, in accordance with GAAP, as applicable.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three types of changes we can make to the indenture and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First, there are changes that we can make to the Notes without the specific approval of the holders of the Notes. This type is limited to clarifications and certain other changes that would not adversely affect holders of the Notes in any material respect and include changes:</w:t>
      </w:r>
    </w:p>
    <w:p>
      <w:pPr>
        <w:spacing w:after="0" w:line="170" w:lineRule="exact"/>
        <w:rPr>
          <w:sz w:val="20"/>
          <w:szCs w:val="20"/>
          <w:color w:val="auto"/>
        </w:rPr>
      </w:pPr>
    </w:p>
    <w:p>
      <w:pPr>
        <w:ind w:left="760" w:right="2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and the assumption by the successor corporation of our covenants, agreements and obligations under the indenture and the Notes;</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the Notes, or to surrender any right or power herein conferred upon the Company and to make the occurrence;</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the Notes;</w:t>
      </w:r>
    </w:p>
    <w:p>
      <w:pPr>
        <w:spacing w:after="0" w:line="225"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necessary to permit or facilitate the issuance of the Notes in bearer form, registrable or not registrable as to principal, and with or without interest coupons, or to permit or facilitate the issuance of the Notes in uncertificated form;</w:t>
      </w:r>
    </w:p>
    <w:p>
      <w:pPr>
        <w:spacing w:after="0" w:line="183"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or provide for a guaranty of the Notes or additional obligors on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establish the form or terms of the Notes;</w:t>
      </w:r>
    </w:p>
    <w:p>
      <w:pPr>
        <w:spacing w:after="0" w:line="225" w:lineRule="exact"/>
        <w:rPr>
          <w:rFonts w:ascii="Arial" w:cs="Arial" w:eastAsia="Arial" w:hAnsi="Arial"/>
          <w:sz w:val="18"/>
          <w:szCs w:val="18"/>
          <w:color w:val="auto"/>
        </w:rPr>
      </w:pPr>
    </w:p>
    <w:p>
      <w:pPr>
        <w:jc w:val="both"/>
        <w:ind w:left="760" w:hanging="320"/>
        <w:spacing w:after="0" w:line="311"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to cure any ambiguity or to correct or supplement any provision contained in the indenture or in any supplemental indenture which may be defective or inconsistent with other provisions, or to make any other provisions with respect to matters or questions arising under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action pursuant to this clause shall not adversely affect the interests of the holders of the Notes in any material respect;</w:t>
      </w:r>
    </w:p>
    <w:p>
      <w:pPr>
        <w:spacing w:after="0" w:line="148" w:lineRule="exact"/>
        <w:rPr>
          <w:rFonts w:ascii="Arial" w:cs="Arial" w:eastAsia="Arial" w:hAnsi="Arial"/>
          <w:sz w:val="16"/>
          <w:szCs w:val="16"/>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secure the Notes, including provisions regarding the circumstances under which collateral may be released or substituted;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70" w:lineRule="exact"/>
        <w:rPr>
          <w:rFonts w:ascii="Arial" w:cs="Arial" w:eastAsia="Arial" w:hAnsi="Arial"/>
          <w:sz w:val="18"/>
          <w:szCs w:val="18"/>
          <w:color w:val="auto"/>
        </w:rPr>
      </w:pPr>
    </w:p>
    <w:p>
      <w:pPr>
        <w:ind w:left="760" w:hanging="320"/>
        <w:spacing w:after="0" w:line="342"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to supplement any of the provisions of the indenture to such extent as shall be necessary to permit or facilitate the defeasance and discharge the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action shall not adversely affect the interests of the holders of the Notes in any material respect.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 of Each Holder</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cannot make certain changes to the Notes without the specific approval of each holder of the Notes. The following is a list of those types of changes:</w:t>
      </w:r>
    </w:p>
    <w:p>
      <w:pPr>
        <w:spacing w:after="0" w:line="170"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the stated maturity of the principal of, or any installment of interest on, any Note;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the principal amount or rate of interest of any Note;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the place of payment where any Note or any interest is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impairing the right to institute suit for the enforcement of any payment on or after the date on which it is due and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reducing the percentage in principal amount of holders of the Notes whose consent is needed to modify or amend the indenture; and</w:t>
      </w:r>
    </w:p>
    <w:p>
      <w:pPr>
        <w:spacing w:after="0" w:line="236" w:lineRule="exact"/>
        <w:rPr>
          <w:rFonts w:ascii="Arial" w:cs="Arial" w:eastAsia="Arial" w:hAnsi="Arial"/>
          <w:sz w:val="17"/>
          <w:szCs w:val="17"/>
          <w:color w:val="auto"/>
        </w:rPr>
      </w:pPr>
    </w:p>
    <w:p>
      <w:pPr>
        <w:ind w:left="76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the percentage in principal amount of holders of the Notes whose consent is needed to waive compliance with certain provisions of the indenture or to waive certain defaults.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225" w:lineRule="exact"/>
        <w:rPr>
          <w:sz w:val="20"/>
          <w:szCs w:val="20"/>
          <w:color w:val="auto"/>
        </w:rPr>
      </w:pPr>
    </w:p>
    <w:p>
      <w:pPr>
        <w:ind w:left="76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change only affects the Notes, it must be approved by holders of not less than a majority in aggregate principal amount of the outstanding Notes; and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indenture, it must be approved by the holders of not less than a majority in aggregate principal amount of each of the series of debt securities affected by the change.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Consent from holders to any change to the indenture or the Notes must be given in writing.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amount of Notes deemed to be outstanding for the purpose of voting will include all Notes authenticated and delivered under the indenture as of the date of determination except:</w:t>
      </w:r>
    </w:p>
    <w:p>
      <w:pPr>
        <w:spacing w:after="0" w:line="170"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cancelled by the trustee or delivered to the trustee for cancellation;</w:t>
      </w:r>
    </w:p>
    <w:p>
      <w:pPr>
        <w:spacing w:after="0" w:line="225"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83"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for which have undergone full defeasance, as described below; and</w:t>
      </w:r>
    </w:p>
    <w:p>
      <w:pPr>
        <w:spacing w:after="0" w:line="225" w:lineRule="exact"/>
        <w:rPr>
          <w:rFonts w:ascii="Arial" w:cs="Arial" w:eastAsia="Arial" w:hAnsi="Arial"/>
          <w:sz w:val="18"/>
          <w:szCs w:val="18"/>
          <w:color w:val="auto"/>
        </w:rPr>
      </w:pPr>
    </w:p>
    <w:p>
      <w:pPr>
        <w:ind w:left="760" w:hanging="320"/>
        <w:spacing w:after="0" w:line="30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Notes which have been paid or exchanged for other Notes due to such Notes loss, destruction or mutilation, with the exception of any such Notes held by bona fide purchasers who have presented proof to the trustee that such Notes are valid obligations of the Company.</w:t>
      </w:r>
    </w:p>
    <w:p>
      <w:pPr>
        <w:spacing w:after="0" w:line="14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We will generally be entitled to set any day as a record date for the purpose of determining the holders of the Notes that are entitled to vote or take other action under the indenture, and the trustee will generally be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must take place on or prior to the 180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record date. We may change the record date at our option, and we will provide written notice to the trustee and to each holder of the Notes of any such change of record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following defeasance provisions will be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87" w:lineRule="exact"/>
        <w:rPr>
          <w:sz w:val="20"/>
          <w:szCs w:val="20"/>
          <w:color w:val="auto"/>
        </w:rPr>
      </w:pPr>
    </w:p>
    <w:p>
      <w:pPr>
        <w:jc w:val="both"/>
        <w:ind w:left="760" w:hanging="320"/>
        <w:spacing w:after="0" w:line="259"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ind w:left="760" w:hanging="320"/>
        <w:spacing w:after="0" w:line="26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under U.S. federal income tax law, we may make the above deposit and covenant defeasance without causing holders to be taxed on the Notes differently than if we did not make the deposit and we just repaid the debt securities ourselves at maturity;</w:t>
      </w:r>
    </w:p>
    <w:p>
      <w:pPr>
        <w:spacing w:after="0" w:line="183"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stating that the Notes, if then listed on any securities exchange, will not be delisted as a result of the deposit;</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covenant defeasance must not cause the trustee to have a conflicting interest within the meaning of the Trust Indenture Act;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covenant defeasance must not result in a breach or violation of, or constitute a default under, the indenture or any other material agreements or instruments to which we are a party;</w:t>
      </w:r>
    </w:p>
    <w:p>
      <w:pPr>
        <w:spacing w:after="0" w:line="170" w:lineRule="exact"/>
        <w:rPr>
          <w:rFonts w:ascii="Arial" w:cs="Arial" w:eastAsia="Arial" w:hAnsi="Arial"/>
          <w:sz w:val="18"/>
          <w:szCs w:val="18"/>
          <w:color w:val="auto"/>
        </w:rPr>
      </w:pPr>
    </w:p>
    <w:p>
      <w:pPr>
        <w:ind w:left="760" w:right="20" w:hanging="320"/>
        <w:spacing w:after="0" w:line="342"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covenant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23"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 legal opinion from our counsel stating that all conditions precedent with respect to the covenant defeasance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If there is a change in U.S. federal income tax law, we can legally release ourselves from all payment and other obligations on the Notes if we take the following actions below:</w:t>
      </w:r>
    </w:p>
    <w:p>
      <w:pPr>
        <w:spacing w:after="0" w:line="170" w:lineRule="exact"/>
        <w:rPr>
          <w:sz w:val="20"/>
          <w:szCs w:val="20"/>
          <w:color w:val="auto"/>
        </w:rPr>
      </w:pPr>
    </w:p>
    <w:p>
      <w:pPr>
        <w:jc w:val="both"/>
        <w:ind w:left="760" w:hanging="320"/>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6"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to the current U.S. federal income tax law or an Internal Revenue Service ruling that allows us to make the above deposit without causing holders to be taxed on the Notes any differently than if we did not make the deposit and we just repaid the debt securities ourselves at maturity;</w:t>
      </w:r>
    </w:p>
    <w:p>
      <w:pPr>
        <w:spacing w:after="0" w:line="183"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stating that the Notes, if then listed on any securities exchange, will not be delisted as a result of the deposit;</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full defeasance must not cause the trustee to have a conflicting interest within the meaning of the Trust Indenture Act;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full defeasance must not result in a breach or violation of, or constitute a default under, the indenture or any other material agreements or instruments to which we are a party;</w:t>
      </w:r>
    </w:p>
    <w:p>
      <w:pPr>
        <w:spacing w:after="0" w:line="170" w:lineRule="exact"/>
        <w:rPr>
          <w:rFonts w:ascii="Arial" w:cs="Arial" w:eastAsia="Arial" w:hAnsi="Arial"/>
          <w:sz w:val="18"/>
          <w:szCs w:val="18"/>
          <w:color w:val="auto"/>
        </w:rPr>
      </w:pPr>
    </w:p>
    <w:p>
      <w:pPr>
        <w:ind w:left="760" w:right="20" w:hanging="320"/>
        <w:spacing w:after="0" w:line="342"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23"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 legal opinion from our counsel stating that all conditions precedent with respect to the full defeasance have been complied with.</w:t>
      </w:r>
    </w:p>
    <w:p>
      <w:pPr>
        <w:spacing w:after="0" w:line="17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In the event that the trustee is unable to apply the funds held in trust to the payment of obligations under the Notes by reason of a court order or governmental injunction or prohibition, then those of our obligations discharged under the full defeasance or covenant defeasance will be revived and reinstated as though no deposit of funds had occurred, until such time as the trustee is permitted to apply all funds held in trust under the procedure described above may be applied to the payment of obligations under the Notes. However, if we make any payment of principal or interest on the Notes to the holders, we will be subrogated to the rights of the holders to receive such payment from the money so held in trust.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have applied to list the Notes on NASDAQ under the symbol “HROWL”. If the application is approved, we expect trading in the Notes on NASDAQ to begin within 30 business days of the date of the original issue date. The Notes are expected to trade “flat,” meaning that purchasers will not pay and sellers will not receive any accrued and unpaid interest on the Notes that is not included in the trading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is,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Issuance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Notes will be issued in the form of one or more global certificates, or Global Notes, registered in the name of The Depository Trust Company, or DTC. DTC has informed us that its nominee will be Cede &amp; Co. Accordingly, we expect Cede &amp; Co. to be the initial registered holder of the Notes. No person that acquires a beneficial interest in the Notes will be entitled to receive a certificate representing that person’s interest in the Notes except as described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herein. Unless and until definitive securities are issued under the limited circumstances described below, all references to actions by holders of the Notes will refer to actions taken by DTC upon instructions from its participants, and all references to payments and notices to holders will refer to payments and notices to DTC or Cede &amp; Co., as the registered holder of these securities.</w:t>
      </w:r>
    </w:p>
    <w:p>
      <w:pPr>
        <w:spacing w:after="0" w:line="18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t>
      </w:r>
      <w:r>
        <w:rPr>
          <w:rFonts w:ascii="Arial" w:cs="Arial" w:eastAsia="Arial" w:hAnsi="Arial"/>
          <w:sz w:val="18"/>
          <w:szCs w:val="18"/>
          <w:i w:val="1"/>
          <w:iCs w:val="1"/>
          <w:color w:val="auto"/>
        </w:rPr>
        <w:t>www.dtcc.com</w:t>
      </w:r>
      <w:r>
        <w:rPr>
          <w:rFonts w:ascii="Arial" w:cs="Arial" w:eastAsia="Arial" w:hAnsi="Arial"/>
          <w:sz w:val="18"/>
          <w:szCs w:val="18"/>
          <w:color w:val="auto"/>
        </w:rPr>
        <w:t>.</w:t>
      </w:r>
    </w:p>
    <w:p>
      <w:pPr>
        <w:spacing w:after="0" w:line="18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Purchases of the Notes under the DTC system must be made by or through Direct Participants, which will receive a credit for the Notes on DTC’s records. The ownership interest of each actual purchaser of each Note,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166"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spacing w:after="0" w:line="16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firstLine="432"/>
        <w:spacing w:after="0" w:line="277" w:lineRule="auto"/>
        <w:rPr>
          <w:sz w:val="20"/>
          <w:szCs w:val="20"/>
          <w:color w:val="auto"/>
        </w:rPr>
      </w:pPr>
      <w:r>
        <w:rPr>
          <w:rFonts w:ascii="Arial" w:cs="Arial" w:eastAsia="Arial" w:hAnsi="Arial"/>
          <w:sz w:val="18"/>
          <w:szCs w:val="18"/>
          <w:color w:val="auto"/>
        </w:rPr>
        <w:t>Redemption notices will be sent to DTC. If less than all of the Notes are being redeemed, DTC’s practice is to determine by lot the amount of the interest of each Direct Participant in the Notes to be redeemed.</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will be governed by standing instructions and customary practices, as is the case with the Notes held for the accounts of customers in bearer form or registered in “street name,” and will be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will be the responsibility of DTC, and disbursement of such payments to the Beneficial Owners will be the responsibility of Direct and Indirect Participants.</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None of the Company, the trustee, any depositary, or any agent of any of them will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a Global Note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 Form, Exchange and Transfer of Certificated Registered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Global Notes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Certificated Securities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at the office of the trustee in the contiguous United States and/or at other offices that may be specified in the indenture or a notice to holders against surrender of the Note.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Payment When Offices Are Closed</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Book-entry and other indirect holders should consult their banks or brokers for information on how they will receive payments on the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248"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notified us at any time that it is unwilling or unable to continue as depositary for the Global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Event of Default with respect to such Global Note has occurred and is continuing.</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 designation of any transfer agent or approve a change in the office through which any transfer agent acts.</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Holders will not be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we redeem any of the Notes, we may block the transfer or exchange of those Notes selected for redemption during the period beginning 15 days before the day we mail the notice of redemption and ending on the day of that mailing, in order to determine or fix the list of holders to prepare the mailing. We may also refuse to register transfer or exchanges of any certificated Notes selected for redemption, except that we will continue to permit transfers and exchanges of the unredeemed portion of any Note that will be partially redeemed.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Trustee</w:t>
      </w:r>
    </w:p>
    <w:p>
      <w:pPr>
        <w:spacing w:after="0" w:line="22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U.S. Bank National Association will be the trustee under the indenture and will be the principal paying agent and registrar for the Notes. The trustee may resign or be removed with respect to the Notes provided that a successor trustee is appointed to act with respect to the Notes.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2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following is a summary of the material U.S. federal income tax consequences of the acquisition, ownership, and disposition of the Notes that we are offering. The following discussion is not exhaustive of all possible tax considerations. This summary is based upon of the Internal Revenue Code of 1986, as amended, or the Code, regulations promulgated under the Code by the U.S. Treasury Department (including proposed and temporary regulations), rulings, current administrative interpretations and official pronouncements of the Internal Revenue Service, or the IRS, and judicial decisions, all as currently in effect and all of which are subject to differing interpretations or to change, possibly with retroactive effect. Such change could materially and adversely affect the tax consequences described below. No assurance can be given that the IRS would not assert, or that a court would not sustain, a position contrary to any of the tax consequences described below.</w:t>
      </w:r>
    </w:p>
    <w:p>
      <w:pPr>
        <w:spacing w:after="0" w:line="17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This summary is for general information only, and does not address all aspects of U.S. federal income taxation that may be important to a particular holder in light of its investment or tax circumstances or to holders subject to special tax rules, such as pass-through entities (including partnerships and other entities and arrangements classified as partnerships for U.S. federal income tax purposes and S corporations) and beneficial owners of such pass-through entities, banks, financial institutions, tax-exempt entities, insurance companies, regulated investment companies, real estate investment trusts, trusts and estates, dealers in stocks, securities or currencies, traders in securities that have elected to use the mark-to-market method of accounting for their securities, persons holding the Notes as part of an integrated transaction, including a “straddle,” “hedge,” “constructive sale,” or “conversion transaction,” U.S. Holders (as defined below) whose functional currency for tax purposes (as defined in Section 985 of the Code) is not the U.S. dollar, holders subject to Section 451(b) of the Code, and individuals subject to the alternative minimum tax provisions of the Code. This summary does not address the effects of other U.S. federal tax laws (such as estate and gift tax laws) or the tax laws of any state or local governments, or of any foreign government, that may be applicable to a particular holder.</w:t>
      </w:r>
    </w:p>
    <w:p>
      <w:pPr>
        <w:spacing w:after="0" w:line="18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This summary is directed solely to holders that, except as otherwise specifically noted, will purchase the Notes offered in this prospectus supplement upon original issuance for the “issue price” (</w:t>
      </w:r>
      <w:r>
        <w:rPr>
          <w:rFonts w:ascii="Arial" w:cs="Arial" w:eastAsia="Arial" w:hAnsi="Arial"/>
          <w:sz w:val="16"/>
          <w:szCs w:val="16"/>
          <w:i w:val="1"/>
          <w:iCs w:val="1"/>
          <w:color w:val="auto"/>
        </w:rPr>
        <w:t>i.e.</w:t>
      </w:r>
      <w:r>
        <w:rPr>
          <w:rFonts w:ascii="Arial" w:cs="Arial" w:eastAsia="Arial" w:hAnsi="Arial"/>
          <w:sz w:val="16"/>
          <w:szCs w:val="16"/>
          <w:color w:val="auto"/>
        </w:rPr>
        <w:t>, the first price at which a substantial amount of the Notes is sold for money to persons, other than to bond houses, brokers or similar persons or organizations acting in the capacity of the underwriters, placement agents or wholesalers) for cash and will hold such securities as capital assets within the meaning of Section 1221 of the Code, which generally means as property held for investment.</w:t>
      </w:r>
    </w:p>
    <w:p>
      <w:pPr>
        <w:spacing w:after="0" w:line="153"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This summary is not a comprehensive description of all of the U.S. federal tax consequences that may be relevant with respect to the acquisition, ownership and disposition of the Notes. We urge you to consult your own tax advisor regarding your particular circumstances and the U.S. federal tax consequences to you of acquiring, owning and disposing of these securities, as well as any tax consequences arising under the laws of any state, local, foreign, or other tax jurisdiction and the possible effects of changes in U.S. federal or other tax laws.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used in this prospectus supplement, the term “U.S. Holder” means a beneficial owner of Notes that is for U.S. federal income tax purposes:</w:t>
      </w:r>
    </w:p>
    <w:p>
      <w:pPr>
        <w:spacing w:after="0" w:line="237"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of any state of the United States or the District of Columbia;</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United States persons have the authority to control all substantial decisions of the trust; or</w:t>
      </w:r>
    </w:p>
    <w:p>
      <w:pPr>
        <w:spacing w:after="0" w:line="170"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(a) if a court within the United States is able to exercise primary supervision over the administration of the trust and one or more United States persons have the authority to control all substantial decisions of the trust, or (b) that was in existence on August 20, 1996 and that has a valid election in effect under applicable Treasury regulations to be treated as a United States person.</w:t>
      </w:r>
    </w:p>
    <w:p>
      <w:pPr>
        <w:spacing w:after="0" w:line="1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used in this prospectus supplement, the term “Non-U.S. Holder” is a beneficial owner of the Notes (other than a partnership or other entity or arrangement taxable as a partnership) that is not a U.S. Holder.</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an entity or arrangement treated as a partnership for U.S. federal income tax purposes holds the Notes offered in this prospectus supplement, the U.S. federal income tax treatment of a partner generally will depend upon the status of the partner, the activities of the partnership and certain determinations made at the partner level; accordingly, as provided above, this summary does not apply to partnerships. A partner of a partnership holding the Notes should consult its own tax advisor regarding the U.S. federal income tax consequences to the partner of the acquisition, ownership and disposition of the Notes by the partnership.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material U.S. federal income tax consequences that will apply to U.S. Holders of the Notes.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Payment of Interest</w:t>
      </w:r>
      <w:r>
        <w:rPr>
          <w:rFonts w:ascii="Arial" w:cs="Arial" w:eastAsia="Arial" w:hAnsi="Arial"/>
          <w:sz w:val="17"/>
          <w:szCs w:val="17"/>
          <w:color w:val="auto"/>
        </w:rPr>
        <w:t>. It is expected, and this discussion assumes, that either the issue price of the Notes will equal the stated principal amount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Notes or the Notes will be issued with less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“original issue discount” for U.S. federal income tax purposes. Accordingly, payments of stated interest on a Note generally will be included in the income of a U.S. Holder as ordinary interest income at the time it is accrued or is received in accordance with the U.S. Holder’s regular method of accounting for U.S. federal income tax purposes.</w:t>
      </w:r>
    </w:p>
    <w:p>
      <w:pPr>
        <w:spacing w:after="0" w:line="17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i w:val="1"/>
          <w:iCs w:val="1"/>
          <w:color w:val="auto"/>
        </w:rPr>
        <w:t xml:space="preserve">Sale, Exchange, or Retirement of Notes. </w:t>
      </w:r>
      <w:r>
        <w:rPr>
          <w:rFonts w:ascii="Arial" w:cs="Arial" w:eastAsia="Arial" w:hAnsi="Arial"/>
          <w:sz w:val="17"/>
          <w:szCs w:val="17"/>
          <w:color w:val="auto"/>
        </w:rPr>
        <w:t>Upon the sale, exchange, retirement, or other disposition of a Note, a U.S. Holder will recognize gain or loss</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the difference between the amount realized upon the sale, exchange, retirement or other disposition and the U.S. Holder’s adjusted tax basis in the Note. The amount realized by the U.S. Holder will include the amount of any cash and the fair market value of any other property received for the Note, but will exclude amounts attributable to accrued but unpaid interest which will be treated as described above under “Payments of Interest.” A U.S. Holder’s adjusted tax basis in a Note will generally be the cost of the Note to such U.S. Holder.</w:t>
      </w:r>
    </w:p>
    <w:p>
      <w:pPr>
        <w:spacing w:after="0" w:line="176"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Gain or loss realized on the sale, exchange, retirement, or other disposition of a Note generally will be capital gain or loss, and will be long-term capital gain or loss if the Note has been held by the U.S. Holder for more than one year. Net long-term capital gain recognized by an individual U.S. Holder is generally taxed at preferential rates. The ability of U.S. Holders to deduct capital losses is subject to limitations under the Code.</w:t>
      </w:r>
    </w:p>
    <w:p>
      <w:pPr>
        <w:spacing w:after="0" w:line="16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Additional Medicare Tax on Unearned Income. </w:t>
      </w:r>
      <w:r>
        <w:rPr>
          <w:rFonts w:ascii="Arial" w:cs="Arial" w:eastAsia="Arial" w:hAnsi="Arial"/>
          <w:sz w:val="18"/>
          <w:szCs w:val="18"/>
          <w:color w:val="auto"/>
        </w:rPr>
        <w:t>Certain U.S. Holders, including individuals, estates and trusts, are subject to an additional 3.8%</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 tax on unearned income. For individual U.S. Holders,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the deductions that are allocable to such income. Investment income generally includes passive income such as interest and capital gains. U.S. Holders are urged to consult their own tax advisors regarding the implications of the additional Medicare tax resulting from an investment in the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material U.S. federal income tax consequences that will apply to Non-U.S. Holders of a Note.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Payments of Interest</w:t>
      </w:r>
      <w:r>
        <w:rPr>
          <w:rFonts w:ascii="Arial" w:cs="Arial" w:eastAsia="Arial" w:hAnsi="Arial"/>
          <w:sz w:val="18"/>
          <w:szCs w:val="18"/>
          <w:color w:val="auto"/>
        </w:rPr>
        <w:t>. Except as discussed below, principal and interest payments that are received from us and that are not effectively connected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conduct by the Non-U.S. Holder of a trade or business within the United States, or a permanent establishment maintained in the United States if certain tax treaties apply, generally will not be subject to U.S. federal income or withholding tax, except as provided below. Interest may be subject to a 30% withholding tax (or less under an applicable treaty, if any) if:</w:t>
      </w:r>
    </w:p>
    <w:p>
      <w:pPr>
        <w:spacing w:after="0" w:line="187" w:lineRule="exact"/>
        <w:rPr>
          <w:sz w:val="20"/>
          <w:szCs w:val="20"/>
          <w:color w:val="auto"/>
        </w:rPr>
      </w:pPr>
    </w:p>
    <w:p>
      <w:pPr>
        <w:ind w:left="760" w:hanging="320"/>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Non-U.S. Holder actually or constructively owns 10% or more of the total combined voting power of all classes of our stock entitled to vote;</w:t>
      </w:r>
    </w:p>
    <w:p>
      <w:pPr>
        <w:spacing w:after="0" w:line="248"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Non-U.S. Holder is a “controlled foreign corporation” for U.S. federal income tax purposes that is related to us (directly or indirectly) through stock ownership;</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Non-U.S. Holder is a bank extending credit pursuant to a loan agreement entered into in the ordinary course of its trade or business (as described in Section 881(c)(3)(A) of the Code); or</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Non-U.S. Holder does not satisfy the certification requirements described below.</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the case of the Notes, a Non-U.S. Holder generally will satisfy the certification requirements if either: (A) the Non-U.S. Holder certifies to us, under penalties of perjury, that it is not a “United States person” (within the meaning of the Code) and provides its name and address (which certification may generally be made on an IRS Form W-8BEN, IRS Form W-8BEN-E or other applicable U.S. nonresident withholding tax certification form), or (B) a securities clearing organization, bank, or other financial institution that holds customer securities in the ordinary course of its trade or business (a “financial institution”) and holds the Note certifies to us under penalties of perjury that either it or another financial institution has received the required statement from the Non-U.S. Holder certifying that it is not a United States person and furnishes us with a copy of the statement.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ind w:firstLine="432"/>
        <w:spacing w:after="0" w:line="289" w:lineRule="auto"/>
        <w:rPr>
          <w:sz w:val="20"/>
          <w:szCs w:val="20"/>
          <w:color w:val="auto"/>
        </w:rPr>
      </w:pPr>
      <w:r>
        <w:rPr>
          <w:rFonts w:ascii="Arial" w:cs="Arial" w:eastAsia="Arial" w:hAnsi="Arial"/>
          <w:sz w:val="16"/>
          <w:szCs w:val="16"/>
          <w:color w:val="auto"/>
        </w:rPr>
        <w:t>Except as discussed below, payments not meeting the requirements set forth above and thus subject to withholding of U.S. federal income tax may nevertheless be exempt from withholding (or subject to withholding at a reduced rate) if the Non-U.S. Holder provides us with a properly executed IRS Form W-8BEN, Form W-8BEN-E, or other applicable U.S. nonresident withholding tax certification form, claiming an exemption from, or reduction in, withholding under the benefit of a tax treaty, or IRS Form W-8ECI (or other applicable form) stating that interest paid on the Notes is not subject to withholding tax because it is effectively connected with the conduct of a trade or business within the United States as discussed below. These forms may be required to be updated periodically. To claim benefits under an income tax treaty, a Non-U.S. Holder must obtain a taxpayer identification number and certify as to its eligibility under the appropriate treaty’s limitations on benefits article. In addition, special rules may apply to claims for treaty benefits made by Non-U.S. Holders that are entities rather than individuals. A Non-U.S. Holder that is eligible for a reduced rate of U.S. federal withholding tax pursuant to an income tax treaty may obtain a refund of any excess amounts withheld by timely filing an appropriate claim for refund with the IRS.</w:t>
      </w:r>
    </w:p>
    <w:p>
      <w:pPr>
        <w:spacing w:after="0" w:line="16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Sale, Exchange, or Retirement of Note</w:t>
      </w:r>
      <w:r>
        <w:rPr>
          <w:rFonts w:ascii="Arial" w:cs="Arial" w:eastAsia="Arial" w:hAnsi="Arial"/>
          <w:sz w:val="17"/>
          <w:szCs w:val="17"/>
          <w:color w:val="auto"/>
        </w:rPr>
        <w:t>. Except as discussed below, a Non-U.S. Holder generally will not be subject to U.S. federal income or</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tax on any capital gain or market discount realized on the sale, exchange, retirement or other disposition of Notes, provided that: (a) the gain is not effectively connected with the conduct of a trade or business within the United States, or a permanent establishment maintained in the United States if certain tax treaties apply, and (b) in the case of a Non-U.S. Holder that is an individual, the Non-U.S. Holder is not present in the United States for 183 days or more in the taxable year of the sale, exchange or other disposition of the Note. An individual Non-U.S. Holder who is present in the United States for 183 days or more in the taxable year of sale, exchange or other disposition of a Note, and if certain other conditions are met, will be subject to U.S. federal income tax at a rate of 30% on the gain realized on the sale, exchange or other disposition of such Note.</w:t>
      </w:r>
    </w:p>
    <w:p>
      <w:pPr>
        <w:spacing w:after="0" w:line="17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Income Effectively Connected with a Trade or Business within the United States</w:t>
      </w:r>
      <w:r>
        <w:rPr>
          <w:rFonts w:ascii="Arial" w:cs="Arial" w:eastAsia="Arial" w:hAnsi="Arial"/>
          <w:sz w:val="16"/>
          <w:szCs w:val="16"/>
          <w:color w:val="auto"/>
        </w:rPr>
        <w:t>. If a Non-U.S. Holder of a Note is engaged in the conduct of a trade</w:t>
      </w:r>
      <w:r>
        <w:rPr>
          <w:rFonts w:ascii="Arial" w:cs="Arial" w:eastAsia="Arial" w:hAnsi="Arial"/>
          <w:sz w:val="16"/>
          <w:szCs w:val="16"/>
          <w:i w:val="1"/>
          <w:iCs w:val="1"/>
          <w:color w:val="auto"/>
        </w:rPr>
        <w:t xml:space="preserve"> </w:t>
      </w:r>
      <w:r>
        <w:rPr>
          <w:rFonts w:ascii="Arial" w:cs="Arial" w:eastAsia="Arial" w:hAnsi="Arial"/>
          <w:sz w:val="16"/>
          <w:szCs w:val="16"/>
          <w:color w:val="auto"/>
        </w:rPr>
        <w:t>or business within the United States and if interest on the Note, or gain realized on the sale, exchange or other disposition of the Note, is effectively connected with the conduct of such trade or business (and, if certain tax treaties apply, is attributable to a permanent establishment maintained by the Non-U.S. Holder in the United States), the Non-U.S. Holder, although exempt from U.S. federal withholding tax (provided that the certification requirements discussed above are satisfied), will generally be subject to U.S. federal income tax on such interest or gain on a net income basis in the same manner as if it were a U.S. Holder. Non-U.S. Holders should read the material under the heading “— Consequences to U.S. Holders,” for a description of the U.S. federal income tax consequences of acquiring, owning, and disposing of a Note. In addition, if such Non-U.S. Holder is a foreign corporation, it may also be subject to a branch profits tax equal to 30% (or such lower rate provided by an applicable U.S. income tax treaty) of all or a portion of its earnings and profits for the taxable year that are effectively connected with its conduct of a trade or business in the United States, subject to certain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general, information returns will be filed annually with the IRS and provided to each U.S. Holder that is not an “exempt recipient” in connection with any interest payments on the Notes and the proceeds from a sale or other disposition of the Notes. In addition, a U.S. Holder may be subject to backup withholding (currently at the rate of 24%) on payments of these amounts unless the U.S. Holder provides a correct taxpayer identification number, or TIN, and certifies, under penalties of perjury, that it is a U.S. person, the TIN is correct (or that the U.S. Holder is awaiting a TIN) and the U.S. Holder either (a) is exempt from backup withholding, (b) has not been informed by the IRS that backup withholding is required due to a prior underreporting of interest or dividends or (c) has been informed by the IRS that backup withholding is no longer required. Non-U.S. Holders generally are exempt from information reporting and backup withholding, provided, if necessary, that they demonstrate their qualification for exemption by providing a properly executed IRS Form W-8BEN, Form W-8BEN-E, or other applicable tax certification form. U.S. Holders should consult their own tax advisors as to their qualification for exemption from backup withholding and the procedure for obtaining such exemption. Backup withholding is not an additional tax. Any amounts withheld under the backup withholding rules from a payment to a holder generally would be allowed as a refund or a credit against such holder’s U.S. federal income tax provided the required information is timely furnished to the IRS.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provisions of the Code, known as the Foreign Account Tax Compliance Act, or FATCA, impose a 30% U.S. withholding tax on certain U.S. source payments, including interest and dividends, if paid to a foreign financial institution (including amounts paid to a foreign financial institution on behalf of a holder), unless (i) such institution enters into an agreement with the U.S. Treasury Department to collect and provide to the U.S. Treasury Department certain information (that is in addition to and significantly more onerous than, the requirement to deliver an applicable U.S. nonresident withholding tax certification form (</w:t>
      </w:r>
      <w:r>
        <w:rPr>
          <w:rFonts w:ascii="Arial" w:cs="Arial" w:eastAsia="Arial" w:hAnsi="Arial"/>
          <w:sz w:val="16"/>
          <w:szCs w:val="16"/>
          <w:i w:val="1"/>
          <w:iCs w:val="1"/>
          <w:color w:val="auto"/>
        </w:rPr>
        <w:t>e.g</w:t>
      </w:r>
      <w:r>
        <w:rPr>
          <w:rFonts w:ascii="Arial" w:cs="Arial" w:eastAsia="Arial" w:hAnsi="Arial"/>
          <w:sz w:val="16"/>
          <w:szCs w:val="16"/>
          <w:color w:val="auto"/>
        </w:rPr>
        <w:t>., IRS Form W-8BEN), as discussed above) regarding U.S. financial account holders, including certain account holders that are foreign entities with U.S. owners, with such institution or (ii) such institution resides in a jurisdiction that has entered into an intergovernmental agreement, or IGA, with the United States to collect and share such information and are in compliance with the terms of such IGA and any enabling legislation or regulations.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FATCA also generally imposes a withholding tax of 30% on withholdable payments made to a non-financial foreign entity unless such entity provides the withholding agent with a certification that it does not have any substantial U.S. owners or a certification identifying the direct and indirect substantial U.S. owners of the entity. Depending on the status of a holder and the status of the intermediaries through which they hold their Notes, the holder could be subject to this 30% withholding tax with respect to interest paid on the Notes and potentially proceeds from the sale of the Notes to the extent treated as interest for U.S. federal income tax purposes. Under certain circumstances, a holder may be eligible for refunds or credits of such taxes.</w:t>
      </w:r>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If we determine withholding is appropriate with respect to the Notes, we will withhold tax at the applicable statutory rate, and we will not pay any additional amounts in respect of such withholding. Holders are urged to consult with their own tax advisors regarding the possible implications of FATCA on their investment in the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B. Riley Securities, Inc., or BRS, is acting as joint book-running manager and representative of each of the underwriters named below. Subject to the terms and conditions set forth in an underwriting agreement among us and the underwriters dated April 15, 2021, or the Underwriting Agreement, we have agreed to sell to the underwriters, and each of the underwriters has agreed, severally and not jointly, to purchase from us, the principal amount of Notes set forth opposite its name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Principal</w:t>
            </w:r>
          </w:p>
        </w:tc>
      </w:tr>
      <w:tr>
        <w:trPr>
          <w:trHeight w:val="241"/>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Amount of Notes</w:t>
            </w:r>
          </w:p>
        </w:tc>
      </w:tr>
      <w:tr>
        <w:trPr>
          <w:trHeight w:val="216"/>
        </w:trPr>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 Riley Securities, Inc.</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23,625,000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National Securities Corporation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3,375,000</w:t>
            </w:r>
          </w:p>
        </w:tc>
        <w:tc>
          <w:tcPr>
            <w:tcW w:w="8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7,250,000</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6,750,000</w:t>
            </w:r>
          </w:p>
        </w:tc>
        <w:tc>
          <w:tcPr>
            <w:tcW w:w="8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Aegis Capital Corp.</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3,625,000</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Boenning &amp; Scattergood, Inc.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1,750,000</w:t>
            </w:r>
          </w:p>
        </w:tc>
        <w:tc>
          <w:tcPr>
            <w:tcW w:w="80" w:type="dxa"/>
            <w:vAlign w:val="bottom"/>
          </w:tcPr>
          <w:p>
            <w:pPr>
              <w:spacing w:after="0"/>
              <w:rPr>
                <w:sz w:val="18"/>
                <w:szCs w:val="18"/>
                <w:color w:val="auto"/>
              </w:rPr>
            </w:pPr>
          </w:p>
        </w:tc>
      </w:tr>
      <w:tr>
        <w:trPr>
          <w:trHeight w:val="25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3,625,000</w:t>
            </w:r>
          </w:p>
        </w:tc>
        <w:tc>
          <w:tcPr>
            <w:tcW w:w="80" w:type="dxa"/>
            <w:vAlign w:val="bottom"/>
            <w:shd w:val="clear" w:color="auto" w:fill="CCEEFF"/>
          </w:tcPr>
          <w:p>
            <w:pPr>
              <w:spacing w:after="0"/>
              <w:rPr>
                <w:sz w:val="21"/>
                <w:szCs w:val="21"/>
                <w:color w:val="auto"/>
              </w:rPr>
            </w:pPr>
          </w:p>
        </w:tc>
      </w:tr>
      <w:tr>
        <w:trPr>
          <w:trHeight w:val="217"/>
        </w:trPr>
        <w:tc>
          <w:tcPr>
            <w:tcW w:w="92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Notes sold under the Underwriting Agreement. These conditions include, among others, the continued accuracy of representations and warranties made by us in the Underwriting Agreement, delivery of legal opinions and the absence of any material changes in our assets, business or prospects after the date of this prospectus supplement.</w:t>
      </w:r>
    </w:p>
    <w:p>
      <w:pPr>
        <w:spacing w:after="0" w:line="18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several obligations of the underwriters under the Underwriting Agreement are conditional and may be terminated on the occurrence of certain stated events, including, in the event that at or prior to the closing of the offering: (i) trading 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SEC,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or (iv) there shall have occurred such a material adverse change in general economic, political or financial conditions (or the effect of international conditions on the financial markets in the United States shall be such) as to make it, in the reasonable judgment of the underwriters, impracticable or inadvisable to proceed with the sale or delivery of the Notes on the terms and in the manner contemplated in this prospectus supplement.</w:t>
      </w:r>
    </w:p>
    <w:p>
      <w:pPr>
        <w:spacing w:after="0" w:line="179"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We have granted to the underwriters the option to purchase up to an additional $5,000,000 of Notes at the public offering price, less the underwriting discounts, or the Option. If any Notes are purchased pursuant to the Option, the underwriters will, severally but not jointly, purchase the Notes in approximately the same proportions as set forth in the above table. This prospectus supplement also qualifies the grant of the Option and the Notes issuable upon the exercise thereof. A purchaser who acquires any Notes forming part of the underwriters’ Option acquires such Notes under this prospectus supplement, regardless of whether the position is ultimately filled through the exercise of the Option or secondary market purchases.</w:t>
      </w:r>
    </w:p>
    <w:p>
      <w:pPr>
        <w:spacing w:after="0" w:line="1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among other things, liabilities under the Securities Act or to contribute to payments the underwriters may be required to make in respect of those liabilities.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expect to deliver the Note against payment for such notes on or about April 20, 2021, which will be the second business day following the date of the pricing of the Notes (“T + 2”).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and Expenses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representative has advised us that the underwriters propose initially to offer the Notes to the public at the public offering price and to dealers at that price less a concession not in excess of $0.60 per Note. After the underwriters have made a reasonable effort to sell all of the Notes at the offering price, such offering price may be decreased and may be further changed from time to time to an amount not greater than the offering price set forth herein, and the compensation realized by the underwriters will effectively be decreased by the amount that the price paid by purchasers for the Notes is less than the original offering price. Any such reduction will not affect the net proceeds received by us. The underwriters reserve the right to withdraw, cancel or modify offers to the public and to reject orders in whole or in part.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firstLine="432"/>
        <w:spacing w:after="0" w:line="277" w:lineRule="auto"/>
        <w:rPr>
          <w:sz w:val="20"/>
          <w:szCs w:val="20"/>
          <w:color w:val="auto"/>
        </w:rPr>
      </w:pPr>
      <w:r>
        <w:rPr>
          <w:rFonts w:ascii="Arial" w:cs="Arial" w:eastAsia="Arial" w:hAnsi="Arial"/>
          <w:sz w:val="18"/>
          <w:szCs w:val="18"/>
          <w:color w:val="auto"/>
        </w:rPr>
        <w:t>The following table shows the per share and total underwriting discount that we are to pay to the underwriters in connection with this offering. Such amounts are shown assuming both no exercise and full exercise of the Option.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 to</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Underwriting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ind w:left="380"/>
              <w:spacing w:after="0"/>
              <w:rPr>
                <w:sz w:val="20"/>
                <w:szCs w:val="20"/>
                <w:color w:val="auto"/>
              </w:rPr>
            </w:pPr>
            <w:r>
              <w:rPr>
                <w:rFonts w:ascii="Arial" w:cs="Arial" w:eastAsia="Arial" w:hAnsi="Arial"/>
                <w:sz w:val="18"/>
                <w:szCs w:val="18"/>
                <w:b w:val="1"/>
                <w:bCs w:val="1"/>
                <w:color w:val="auto"/>
              </w:rPr>
              <w:t>Net</w:t>
            </w:r>
          </w:p>
        </w:tc>
      </w:tr>
      <w:tr>
        <w:trPr>
          <w:trHeight w:val="277"/>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the Public</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620"/>
              <w:spacing w:after="0" w:line="270" w:lineRule="exact"/>
              <w:rPr>
                <w:sz w:val="20"/>
                <w:szCs w:val="20"/>
                <w:color w:val="auto"/>
              </w:rPr>
            </w:pPr>
            <w:r>
              <w:rPr>
                <w:rFonts w:ascii="Arial" w:cs="Arial" w:eastAsia="Arial" w:hAnsi="Arial"/>
                <w:sz w:val="18"/>
                <w:szCs w:val="18"/>
                <w:b w:val="1"/>
                <w:bCs w:val="1"/>
                <w:color w:val="auto"/>
                <w:w w:val="97"/>
              </w:rPr>
              <w:t>Discount</w:t>
            </w:r>
            <w:r>
              <w:rPr>
                <w:rFonts w:ascii="Arial" w:cs="Arial" w:eastAsia="Arial" w:hAnsi="Arial"/>
                <w:sz w:val="29"/>
                <w:szCs w:val="29"/>
                <w:b w:val="1"/>
                <w:bCs w:val="1"/>
                <w:color w:val="auto"/>
                <w:w w:val="97"/>
                <w:vertAlign w:val="superscript"/>
              </w:rPr>
              <w:t>(1)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ind w:left="100"/>
              <w:spacing w:after="0" w:line="270" w:lineRule="exact"/>
              <w:rPr>
                <w:sz w:val="20"/>
                <w:szCs w:val="20"/>
                <w:color w:val="auto"/>
              </w:rPr>
            </w:pPr>
            <w:r>
              <w:rPr>
                <w:rFonts w:ascii="Arial" w:cs="Arial" w:eastAsia="Arial" w:hAnsi="Arial"/>
                <w:sz w:val="18"/>
                <w:szCs w:val="18"/>
                <w:b w:val="1"/>
                <w:bCs w:val="1"/>
                <w:color w:val="auto"/>
              </w:rPr>
              <w:t>Proceeds</w:t>
            </w:r>
            <w:r>
              <w:rPr>
                <w:rFonts w:ascii="Arial" w:cs="Arial" w:eastAsia="Arial" w:hAnsi="Arial"/>
                <w:sz w:val="29"/>
                <w:szCs w:val="29"/>
                <w:b w:val="1"/>
                <w:bCs w:val="1"/>
                <w:color w:val="auto"/>
                <w:vertAlign w:val="superscript"/>
              </w:rPr>
              <w:t>(2)</w:t>
            </w:r>
          </w:p>
        </w:tc>
      </w:tr>
      <w:tr>
        <w:trPr>
          <w:trHeight w:val="236"/>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7"/>
        </w:trPr>
        <w:tc>
          <w:tcPr>
            <w:tcW w:w="6080" w:type="dxa"/>
            <w:vAlign w:val="bottom"/>
          </w:tcPr>
          <w:p>
            <w:pPr>
              <w:spacing w:after="0" w:line="256" w:lineRule="exact"/>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50,000,000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2,000,000</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48,000,000</w:t>
            </w:r>
          </w:p>
        </w:tc>
        <w:tc>
          <w:tcPr>
            <w:tcW w:w="80" w:type="dxa"/>
            <w:vAlign w:val="bottom"/>
          </w:tcPr>
          <w:p>
            <w:pPr>
              <w:spacing w:after="0"/>
              <w:rPr>
                <w:sz w:val="22"/>
                <w:szCs w:val="22"/>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the terms of the Underwriting Agreement, the underwriters will receive a discount equal to $1.00 per Note.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After deducting the underwriting discount but before deducting expenses of the offering.</w:t>
      </w:r>
    </w:p>
    <w:p>
      <w:pPr>
        <w:spacing w:after="0" w:line="22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Option is exercised in full, the total price to the public, underwriting discount and net proceeds to us (after deducting the underwriting discount but before deducting estimated offering expenses) will be $55,000,000, $2,200,000 and $52,800,000, respectively.</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also agreed to pay BRS a structuring and advisory fee equal to $500,000 ($550,000 if the Option is exercised in full) for evaluation, analysis and structuring of the Notes.</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underwriting discounts and reimbursements, will be approximately $200,000. We have also agreed to reimburse the underwriters for their reasonable out-of-pocket expenses, including attorneys’ fees, up to $50,000.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agreed for a period of 30 days following the date of this offering that, without the prior written consent of the representative, which may not be unreasonably withheld, on behalf of the underwriters, we will not,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Securities Act with respect to any of the foregoing.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have applied to list the Notes on NASDAQ. If the application is approved, trading of the Notes on NASDAQ is expected to begin within 30 days after the date of initial delivery of the Notes. The underwriters will have no obligation to make a market in the Notes, however, and may cease market-making activities, if commenced, at any time. Accordingly, an active trading market on the NASDAQ for the Notes may not develop or, even if one develops, may not last, in which case the liquidity and market price of the Notes could be adversely affected, the difference between bid and asked prices could be substantial and your ability to transfer the Notes at the time and price desired will be limited.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Until the distribution of the Notes is completed, SEC rules may limit underwriters and selling group members from bidding for and purchasing our Notes. However, the representative may engage in transactions that have the effect of stabilizing the price of the Notes, such as purchases and other activities that peg, fix or maintain that price.</w:t>
      </w:r>
    </w:p>
    <w:p>
      <w:pPr>
        <w:spacing w:after="0" w:line="18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connection with this offering, the underwriters may bid for or purchase and sell our Notes in the open market. These transactions may include short sales and purchases on the open market to cover positions created by short sales. Short sales involve the sale by the underwriters of a greater number of our Notes than they are required to purchase in this offering. “Covered” short sales are sales made in an amount not greater than the Underwriters’ option to purchase additional Notes in this offering. The underwriters may close out any covered short position by either exercising their option to purchase additional Notes or purchasing notes in the open market. In determining the source of notes to close out the covered short position, the underwriters will consider, among other things, the price of notes available for purchase in the open market as compared to the price at which they may purchase additional Notes pursuant to the option granted to them. “Naked” short sales are sales in excess of the option to purchase additional Notes. The underwriters must close out any naked short position by purchasing Notes in the open market. A naked short position is more likely to be created if the underwriters are concerned that there may be downward pressure on the price of our Notes in the open market after pricing that could adversely affect investors who purchase in this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ind w:firstLine="432"/>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and other activities may have the effect of raising or maintaining the market price of the Notes or preventing or retarding a decline in the market price of the Notes. As a result, the price of the Notes may be higher than the price that might otherwise exist in the open market. If these activities are commenced, they may be discontinued at any time. The underwriters may conduct these transactions on NASDAQ, in the over-the-counter market or otherwise.</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Notes. In addition, neither we nor any of the underwriters make any representation that the representative will engage in these transactions or that these transactions, once commenced, will not be discontinued without notice.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Notes</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This prospectus supplement and the accompanying prospectus in electronic format may be made available on websites maintained by one or more of the underwriters, and the underwriters may distribute the prospectus supplement and accompanying prospectus electronically.</w:t>
      </w:r>
    </w:p>
    <w:p>
      <w:pPr>
        <w:spacing w:after="0" w:line="1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than this prospectus supplement and the accompanying prospectus in electronic format, the information on any underwriter’s or any selling group member’s website and any information contained in any other website maintained by an underwriter or any selling group member is not part of this prospectus supplement and the accompanying prospectus or the registration statement of which this prospectus supplement and the accompanying prospectus forms a part, has not been approved and/or endorsed by us or any underwriter or any selling group member in its capacity as underwriter or selling group member and should not be relied upon by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Relationships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affiliates may provide from time to time in the future in the ordinary course of their business certain commercial banking, financial advisory, investment banking and other services to us for which they will be entitled to receive customary fees and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Certain legal matters will be passed upon for us by Waller Lansden Dortch &amp; Davis, LLP, Nashville, Tennessee, and for the underwriters by Duane Morris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The consolidated financial statements of Harrow Health, Inc. and subsidiaries appearing in the Company’s Annual Report on Form 10-K for the fiscal year ended December 31, 2020, filed with the SEC on March 8, 2021,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supplement and the accompanying prospectus by referring you to those documents. These incorporated documents contain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and later information filed with the SEC will update and supersede this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ind w:firstLine="648"/>
        <w:spacing w:after="0" w:line="259" w:lineRule="auto"/>
        <w:rPr>
          <w:sz w:val="20"/>
          <w:szCs w:val="20"/>
          <w:color w:val="auto"/>
        </w:rPr>
      </w:pPr>
      <w:r>
        <w:rPr>
          <w:rFonts w:ascii="Arial" w:cs="Arial" w:eastAsia="Arial" w:hAnsi="Arial"/>
          <w:sz w:val="18"/>
          <w:szCs w:val="18"/>
          <w:color w:val="auto"/>
        </w:rPr>
        <w:t>We incorporate by reference the documents listed below as well as any future filings made with the SEC under Sections 13(a), 13(c), 14 or 15(d) of the Exchange Act after the date of this prospectus supplement and prior to the termination of this offering , except that we do not incorporate any document or portion of a document that is “furnished” to the SEC, but not deemed “filed.” The following documents filed with the SEC are incorporated by reference in this prospectus supplement and the accompanying prospectus:</w:t>
      </w:r>
    </w:p>
    <w:p>
      <w:pPr>
        <w:spacing w:after="0" w:line="187"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2020 filed with the SEC on March 8, 2021;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21, 2021, January 27, 2021, February 4, 2021, February 9, 2021, April 5, 2021, April 8, 2021 and April 12, 2021.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supplement and the accompanying prospectus, other than exhibits to those documents unless such exhibits are specifically incorporated by reference into those documents. Such written requests should be addressed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Copies of certain information filed by us with the SEC are also available on our web site at </w:t>
      </w:r>
      <w:r>
        <w:rPr>
          <w:rFonts w:ascii="Arial" w:cs="Arial" w:eastAsia="Arial" w:hAnsi="Arial"/>
          <w:sz w:val="17"/>
          <w:szCs w:val="17"/>
          <w:i w:val="1"/>
          <w:iCs w:val="1"/>
          <w:color w:val="auto"/>
        </w:rPr>
        <w:t>www.harrowinc.com</w:t>
      </w:r>
      <w:r>
        <w:rPr>
          <w:rFonts w:ascii="Arial" w:cs="Arial" w:eastAsia="Arial" w:hAnsi="Arial"/>
          <w:sz w:val="17"/>
          <w:szCs w:val="17"/>
          <w:color w:val="auto"/>
        </w:rPr>
        <w:t>. We have not incorporated by reference into this prospectus supplement or the accompanying prospectus the information on our website, and you should not consider it to be a part of this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“HROW.” On June 18, 2020, the closing price of our common stock on the Nasdaq Capital Market was $6.20 per share.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3 of this prospectus, as well as the “Risk Factors” incorporated by reference herein from our most recent Annual Report on Form 10-K, our Quarterly Report on Form 10-Q and other reports and information that we file with the Securities and Exchange Commission, for information you should consider before investing in our securities.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prospectus is dated July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2"/>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100" w:type="dxa"/>
            <w:vAlign w:val="bottom"/>
            <w:tcBorders>
              <w:top w:val="single" w:sz="8" w:color="CCEEFF"/>
              <w:bottom w:val="single" w:sz="8" w:color="0000EE"/>
            </w:tcBorders>
            <w:gridSpan w:val="7"/>
            <w:shd w:val="clear" w:color="auto" w:fill="CCEEFF"/>
          </w:tcPr>
          <w:p>
            <w:pPr>
              <w:spacing w:after="0" w:line="136" w:lineRule="exact"/>
              <w:rPr>
                <w:rFonts w:ascii="Arial" w:cs="Arial" w:eastAsia="Arial" w:hAnsi="Arial"/>
                <w:sz w:val="15"/>
                <w:szCs w:val="15"/>
                <w:color w:val="0000EE"/>
              </w:rPr>
            </w:pPr>
            <w:hyperlink w:anchor="page36">
              <w:r>
                <w:rPr>
                  <w:rFonts w:ascii="Arial" w:cs="Arial" w:eastAsia="Arial" w:hAnsi="Arial"/>
                  <w:sz w:val="15"/>
                  <w:szCs w:val="15"/>
                  <w:color w:val="0000EE"/>
                </w:rPr>
                <w:t>PROSPECTUS SUMMARY</w:t>
              </w:r>
            </w:hyperlink>
          </w:p>
        </w:tc>
        <w:tc>
          <w:tcPr>
            <w:tcW w:w="850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0" w:type="dxa"/>
            <w:vAlign w:val="bottom"/>
            <w:gridSpan w:val="15"/>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FORWARD-LOOKING STATEMENTS</w:t>
              </w:r>
            </w:hyperlink>
          </w:p>
        </w:tc>
        <w:tc>
          <w:tcPr>
            <w:tcW w:w="76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1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DESCRIPTION OF CAPITAL STOCK</w:t>
              </w:r>
            </w:hyperlink>
          </w:p>
        </w:tc>
        <w:tc>
          <w:tcPr>
            <w:tcW w:w="77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15"/>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THE UNITS</w:t>
              </w:r>
            </w:hyperlink>
          </w:p>
        </w:tc>
        <w:tc>
          <w:tcPr>
            <w:tcW w:w="77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THE DEBT SECURITIES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2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718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91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INCORPORATION OF CERTAIN DOCUMENTS BY REFERENCE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55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$100,000,000.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3,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specialize in the development, production and sale of innovative medications that offer unique competitive advantages and serve unmet needs in the marketplace through our subsidiaries and deconsolidated companies. We own one of the nation’s leading ophthalmology-focused pharmaceutical businesses, ImprimisRx. In addition to wholly owning ImprimisRx, we also have equity positions in Eton Pharmaceuticals, Inc., Surface Pharmaceuticals, Inc., or Surface, and Melt Pharmaceuticals, Inc., or Melt, all companies that began as our subsidiaries. More recently, we founded drug development subsidiaries Mayfield Pharmaceuticals, Inc., or Mayfield, Radley Pharmaceuticals, Inc., or Radley, and Stowe Pharmaceuticals, Inc. In 2020, we created Visionology, Inc., which intends to launch an online eye health platform business. We also own royalty rights in various drug candidates being developed by Surface, Melt, Radley and Mayfield. We intend to continue to create, and hold equity and royalty rights in, new businesses that commercialize drug candidates that are internally developed or otherwise acquired or licensed from third parties.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ImprimisRx is our ophthalmology focused pharmaceutical compounding business. We offer to over 7,000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U.S. Food and Drug Administration, or FDA, guidance documents, in our FDA-registered outsourcing facility located in New Jersey.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significant operating losses and negative cash flows from operations since July 24, 1998 (inception). In addition, we have an accumulated deficit of approximately $87.0 million at March 31, 2020. Although we have recently been generating revenue from our pharmaceutical compounding operations, we expect to incur further losses as we integrate and develop our pharmacy operations, evaluate other programs and continue the development of our formulations.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novel strain of coronavirus was first identified in Wuhan, China in December 2019. The disease caused by it, COVID-19, was declared a global pandemic by the World Health Organization in March 2020. On March 18, 2020, the Centers for Medicare &amp; Medicaid Services, or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firstLine="648"/>
        <w:spacing w:after="0" w:line="275" w:lineRule="auto"/>
        <w:rPr>
          <w:sz w:val="20"/>
          <w:szCs w:val="20"/>
          <w:color w:val="auto"/>
        </w:rPr>
      </w:pPr>
      <w:r>
        <w:rPr>
          <w:rFonts w:ascii="Arial" w:cs="Arial" w:eastAsia="Arial" w:hAnsi="Arial"/>
          <w:sz w:val="17"/>
          <w:szCs w:val="17"/>
          <w:color w:val="auto"/>
        </w:rPr>
        <w:t>In response to the pandemic and business disruptions, first and foremost, we have prioritized the health and safety of our employees, customers, suppliers and others with whom we partner in our business activities. Many of our customers use its drugs in procedures impacted by the CMS guidance to limit elective procedures. In addition, we and our business partners need access to healthcare providers and facilities to conduct clinical trials and other activities required to achieve regulatory clearance of products under development. We are carefully monitoring rapidly evolving changes in healthcare delivery systems and may adjust our operating and product development plans accordingly.</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Reductions in elective procedures in response to CMS guidance have had an adverse impact on our revenues, profitability and cash flows. The extent and duration of the impact will depend upon the extent of procedure postponements and the duration of the pandemic. Near the beginning of May 2020, some U.S. states and geographies began easing restrictions associated with the COVID-19 pandemic including those restrictions related to elective procedures. We are hopeful sales of our products will return to historical norms and trends as other states and governmental authorities ease restrictions associated with elective procedures and the COVID-19 pandemic. However, given the unprecedented and dynamic nature of the COVID-19 pandemic, we cannot reasonably estimate the impacts it may have on our financial condition, results of operations or cash flows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executive offices are located at 102 Woodmont Blvd., Suite 610, Nashville, Tennessee 37205 and our telephone number at such office is (615) 733-4730. Our website address is harrowinc.com. Information contained on our website is not deemed part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offer up to $100.0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929"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2019 and in our Quarterly Report on Form 10-Q for the three months ended March 31, 2020, which are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of the increase in such net tangible book value per share attributable to the cash payments made by purchasers in the offering;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2020 there were approximately 103 stockholders of record (excluding an indeterminable number of stockholders whose shares are held in street or “nominee” name) of our common stock. In addition, as of March 31, 2020, there were outstanding (i) options to acquire 2,952,466 shares of our common stock with a weighted average exercise price of $5.49 per share, (ii) warrants to purchase 780,386 shares of common stock with a weighted average exercise price of $2.12 per share, (iii) 1,520,786 unvested restricted stock units, and (iv) 244,460 vested restricted stock units for which delivery of the shares had been deferred.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no shares of preferred stock are outstanding and we currently have no plan to issue any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“HROW”. 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200" w:hanging="4"/>
        <w:spacing w:after="0" w:line="500" w:lineRule="auto"/>
        <w:tabs>
          <w:tab w:leader="none" w:pos="9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UNITS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ind w:firstLine="648"/>
        <w:spacing w:after="0" w:line="259"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the securities comprising the units;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units will be issued fully registered or in global form;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 securities of any series may be represented, in whole or in part, by one or more global certificates. Each global certificate will:</w:t>
      </w:r>
    </w:p>
    <w:p>
      <w:pPr>
        <w:spacing w:after="0" w:line="23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4"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both"/>
        <w:ind w:firstLine="648"/>
        <w:spacing w:after="0" w:line="311"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4"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ind w:firstLine="648"/>
        <w:spacing w:after="0" w:line="263"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debt securities of that series;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5" w:lineRule="exact"/>
        <w:rPr>
          <w:sz w:val="20"/>
          <w:szCs w:val="20"/>
          <w:color w:val="auto"/>
        </w:rPr>
      </w:pPr>
    </w:p>
    <w:p>
      <w:pPr>
        <w:jc w:val="both"/>
        <w:ind w:left="98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Harrow Health, Inc. appearing in the Company’s Annual Report on Form 10-K for the fiscal year ended December 31, 2019, filed with the SEC on March 13, 2020,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7"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filed with the SEC on March 13,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2020, filed with the SEC on May 11, 2020;</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28, 2020, March 17, 2020, April 3, 2020, April 29, 2020 and June 8, 2020;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and any amendments or reports filed for the purpose of updating such description.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 Woodmont Blvd., Suite 610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Nashville, TN 37205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568960</wp:posOffset>
            </wp:positionV>
            <wp:extent cx="1457325" cy="514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573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Harrow 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8.625%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2296160</wp:posOffset>
            </wp:positionH>
            <wp:positionV relativeFrom="paragraph">
              <wp:posOffset>568960</wp:posOffset>
            </wp:positionV>
            <wp:extent cx="21431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20" w:type="dxa"/>
            <w:vAlign w:val="bottom"/>
            <w:gridSpan w:val="3"/>
          </w:tcPr>
          <w:p>
            <w:pPr>
              <w:jc w:val="center"/>
              <w:ind w:right="1160"/>
              <w:spacing w:after="0"/>
              <w:rPr>
                <w:sz w:val="20"/>
                <w:szCs w:val="20"/>
                <w:color w:val="auto"/>
              </w:rPr>
            </w:pPr>
            <w:r>
              <w:rPr>
                <w:rFonts w:ascii="Arial" w:cs="Arial" w:eastAsia="Arial" w:hAnsi="Arial"/>
                <w:sz w:val="22"/>
                <w:szCs w:val="22"/>
                <w:b w:val="1"/>
                <w:bCs w:val="1"/>
                <w:color w:val="auto"/>
                <w:w w:val="96"/>
              </w:rPr>
              <w:t>PROSPECTUS SUPPLEMENT</w:t>
            </w:r>
          </w:p>
        </w:tc>
        <w:tc>
          <w:tcPr>
            <w:tcW w:w="2280" w:type="dxa"/>
            <w:vAlign w:val="bottom"/>
          </w:tcPr>
          <w:p>
            <w:pPr>
              <w:spacing w:after="0"/>
              <w:rPr>
                <w:sz w:val="24"/>
                <w:szCs w:val="24"/>
                <w:color w:val="auto"/>
              </w:rPr>
            </w:pPr>
          </w:p>
        </w:tc>
      </w:tr>
      <w:tr>
        <w:trPr>
          <w:trHeight w:val="213"/>
        </w:trPr>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380" w:type="dxa"/>
            <w:vAlign w:val="bottom"/>
            <w:tcBorders>
              <w:bottom w:val="single" w:sz="8" w:color="auto"/>
            </w:tcBorders>
            <w:gridSpan w:val="2"/>
          </w:tcPr>
          <w:p>
            <w:pPr>
              <w:spacing w:after="0"/>
              <w:rPr>
                <w:sz w:val="18"/>
                <w:szCs w:val="18"/>
                <w:color w:val="auto"/>
              </w:rPr>
            </w:pPr>
          </w:p>
        </w:tc>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698"/>
        </w:trPr>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20" w:type="dxa"/>
            <w:vAlign w:val="bottom"/>
            <w:gridSpan w:val="3"/>
          </w:tcPr>
          <w:p>
            <w:pPr>
              <w:jc w:val="center"/>
              <w:ind w:right="1140"/>
              <w:spacing w:after="0"/>
              <w:rPr>
                <w:sz w:val="20"/>
                <w:szCs w:val="20"/>
                <w:color w:val="auto"/>
              </w:rPr>
            </w:pPr>
            <w:r>
              <w:rPr>
                <w:rFonts w:ascii="Arial" w:cs="Arial" w:eastAsia="Arial" w:hAnsi="Arial"/>
                <w:sz w:val="22"/>
                <w:szCs w:val="22"/>
                <w:i w:val="1"/>
                <w:iCs w:val="1"/>
                <w:color w:val="auto"/>
                <w:w w:val="89"/>
              </w:rPr>
              <w:t>Book-Running Managers</w:t>
            </w:r>
          </w:p>
        </w:tc>
        <w:tc>
          <w:tcPr>
            <w:tcW w:w="2280" w:type="dxa"/>
            <w:vAlign w:val="bottom"/>
          </w:tcPr>
          <w:p>
            <w:pPr>
              <w:spacing w:after="0"/>
              <w:rPr>
                <w:sz w:val="24"/>
                <w:szCs w:val="24"/>
                <w:color w:val="auto"/>
              </w:rPr>
            </w:pPr>
          </w:p>
        </w:tc>
      </w:tr>
      <w:tr>
        <w:trPr>
          <w:trHeight w:val="480"/>
        </w:trPr>
        <w:tc>
          <w:tcPr>
            <w:tcW w:w="2620" w:type="dxa"/>
            <w:vAlign w:val="bottom"/>
          </w:tcPr>
          <w:p>
            <w:pPr>
              <w:spacing w:after="0"/>
              <w:rPr>
                <w:sz w:val="20"/>
                <w:szCs w:val="20"/>
                <w:color w:val="auto"/>
              </w:rPr>
            </w:pPr>
            <w:r>
              <w:rPr>
                <w:rFonts w:ascii="Arial" w:cs="Arial" w:eastAsia="Arial" w:hAnsi="Arial"/>
                <w:sz w:val="25"/>
                <w:szCs w:val="25"/>
                <w:b w:val="1"/>
                <w:bCs w:val="1"/>
                <w:color w:val="auto"/>
              </w:rPr>
              <w:t>B. Riley Securities</w:t>
            </w:r>
          </w:p>
        </w:tc>
        <w:tc>
          <w:tcPr>
            <w:tcW w:w="2660" w:type="dxa"/>
            <w:vAlign w:val="bottom"/>
            <w:gridSpan w:val="2"/>
          </w:tcPr>
          <w:p>
            <w:pPr>
              <w:jc w:val="center"/>
              <w:ind w:right="72"/>
              <w:spacing w:after="0"/>
              <w:rPr>
                <w:sz w:val="20"/>
                <w:szCs w:val="20"/>
                <w:color w:val="auto"/>
              </w:rPr>
            </w:pPr>
            <w:r>
              <w:rPr>
                <w:rFonts w:ascii="Arial" w:cs="Arial" w:eastAsia="Arial" w:hAnsi="Arial"/>
                <w:sz w:val="25"/>
                <w:szCs w:val="25"/>
                <w:b w:val="1"/>
                <w:bCs w:val="1"/>
                <w:color w:val="auto"/>
                <w:w w:val="90"/>
              </w:rPr>
              <w:t>National Securities</w:t>
            </w:r>
          </w:p>
        </w:tc>
        <w:tc>
          <w:tcPr>
            <w:tcW w:w="2860" w:type="dxa"/>
            <w:vAlign w:val="bottom"/>
            <w:gridSpan w:val="2"/>
          </w:tcPr>
          <w:p>
            <w:pPr>
              <w:ind w:left="420"/>
              <w:spacing w:after="0"/>
              <w:rPr>
                <w:sz w:val="20"/>
                <w:szCs w:val="20"/>
                <w:color w:val="auto"/>
              </w:rPr>
            </w:pPr>
            <w:r>
              <w:rPr>
                <w:rFonts w:ascii="Arial" w:cs="Arial" w:eastAsia="Arial" w:hAnsi="Arial"/>
                <w:sz w:val="25"/>
                <w:szCs w:val="25"/>
                <w:b w:val="1"/>
                <w:bCs w:val="1"/>
                <w:color w:val="auto"/>
                <w:w w:val="95"/>
              </w:rPr>
              <w:t>Ladenburg Thalmann</w:t>
            </w:r>
          </w:p>
        </w:tc>
        <w:tc>
          <w:tcPr>
            <w:tcW w:w="2280" w:type="dxa"/>
            <w:vAlign w:val="bottom"/>
          </w:tcPr>
          <w:p>
            <w:pPr>
              <w:ind w:left="800"/>
              <w:spacing w:after="0"/>
              <w:rPr>
                <w:sz w:val="20"/>
                <w:szCs w:val="20"/>
                <w:color w:val="auto"/>
              </w:rPr>
            </w:pPr>
            <w:r>
              <w:rPr>
                <w:rFonts w:ascii="Arial" w:cs="Arial" w:eastAsia="Arial" w:hAnsi="Arial"/>
                <w:sz w:val="25"/>
                <w:szCs w:val="25"/>
                <w:b w:val="1"/>
                <w:bCs w:val="1"/>
                <w:color w:val="auto"/>
                <w:w w:val="97"/>
              </w:rPr>
              <w:t>William Blair</w:t>
            </w:r>
          </w:p>
        </w:tc>
      </w:tr>
      <w:tr>
        <w:trPr>
          <w:trHeight w:val="328"/>
        </w:trPr>
        <w:tc>
          <w:tcPr>
            <w:tcW w:w="2620" w:type="dxa"/>
            <w:vAlign w:val="bottom"/>
          </w:tcPr>
          <w:p>
            <w:pPr>
              <w:spacing w:after="0"/>
              <w:rPr>
                <w:sz w:val="24"/>
                <w:szCs w:val="24"/>
                <w:color w:val="auto"/>
              </w:rPr>
            </w:pPr>
          </w:p>
        </w:tc>
        <w:tc>
          <w:tcPr>
            <w:tcW w:w="2660" w:type="dxa"/>
            <w:vAlign w:val="bottom"/>
            <w:gridSpan w:val="2"/>
          </w:tcPr>
          <w:p>
            <w:pPr>
              <w:jc w:val="center"/>
              <w:ind w:right="72"/>
              <w:spacing w:after="0"/>
              <w:rPr>
                <w:sz w:val="20"/>
                <w:szCs w:val="20"/>
                <w:color w:val="auto"/>
              </w:rPr>
            </w:pPr>
            <w:r>
              <w:rPr>
                <w:rFonts w:ascii="Arial" w:cs="Arial" w:eastAsia="Arial" w:hAnsi="Arial"/>
                <w:sz w:val="25"/>
                <w:szCs w:val="25"/>
                <w:b w:val="1"/>
                <w:bCs w:val="1"/>
                <w:color w:val="auto"/>
                <w:w w:val="95"/>
              </w:rPr>
              <w:t>Corporation</w:t>
            </w: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61"/>
        </w:trPr>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20" w:type="dxa"/>
            <w:vAlign w:val="bottom"/>
            <w:gridSpan w:val="3"/>
          </w:tcPr>
          <w:p>
            <w:pPr>
              <w:jc w:val="center"/>
              <w:ind w:right="1160"/>
              <w:spacing w:after="0"/>
              <w:rPr>
                <w:sz w:val="20"/>
                <w:szCs w:val="20"/>
                <w:color w:val="auto"/>
              </w:rPr>
            </w:pPr>
            <w:r>
              <w:rPr>
                <w:rFonts w:ascii="Arial" w:cs="Arial" w:eastAsia="Arial" w:hAnsi="Arial"/>
                <w:sz w:val="22"/>
                <w:szCs w:val="22"/>
                <w:i w:val="1"/>
                <w:iCs w:val="1"/>
                <w:color w:val="auto"/>
                <w:w w:val="90"/>
              </w:rPr>
              <w:t>Co-Managers</w:t>
            </w:r>
          </w:p>
        </w:tc>
        <w:tc>
          <w:tcPr>
            <w:tcW w:w="2280" w:type="dxa"/>
            <w:vAlign w:val="bottom"/>
          </w:tcPr>
          <w:p>
            <w:pPr>
              <w:spacing w:after="0"/>
              <w:rPr>
                <w:sz w:val="24"/>
                <w:szCs w:val="24"/>
                <w:color w:val="auto"/>
              </w:rPr>
            </w:pPr>
          </w:p>
        </w:tc>
      </w:tr>
      <w:tr>
        <w:trPr>
          <w:trHeight w:val="459"/>
        </w:trPr>
        <w:tc>
          <w:tcPr>
            <w:tcW w:w="2620" w:type="dxa"/>
            <w:vAlign w:val="bottom"/>
          </w:tcPr>
          <w:p>
            <w:pPr>
              <w:ind w:left="580"/>
              <w:spacing w:after="0"/>
              <w:rPr>
                <w:sz w:val="20"/>
                <w:szCs w:val="20"/>
                <w:color w:val="auto"/>
              </w:rPr>
            </w:pPr>
            <w:r>
              <w:rPr>
                <w:rFonts w:ascii="Arial" w:cs="Arial" w:eastAsia="Arial" w:hAnsi="Arial"/>
                <w:sz w:val="22"/>
                <w:szCs w:val="22"/>
                <w:b w:val="1"/>
                <w:bCs w:val="1"/>
                <w:color w:val="auto"/>
                <w:w w:val="99"/>
              </w:rPr>
              <w:t>Aegis Capital Corp.</w:t>
            </w:r>
          </w:p>
        </w:tc>
        <w:tc>
          <w:tcPr>
            <w:tcW w:w="1000" w:type="dxa"/>
            <w:vAlign w:val="bottom"/>
          </w:tcPr>
          <w:p>
            <w:pPr>
              <w:spacing w:after="0"/>
              <w:rPr>
                <w:sz w:val="24"/>
                <w:szCs w:val="24"/>
                <w:color w:val="auto"/>
              </w:rPr>
            </w:pPr>
          </w:p>
        </w:tc>
        <w:tc>
          <w:tcPr>
            <w:tcW w:w="4520" w:type="dxa"/>
            <w:vAlign w:val="bottom"/>
            <w:gridSpan w:val="3"/>
          </w:tcPr>
          <w:p>
            <w:pPr>
              <w:jc w:val="center"/>
              <w:ind w:right="1120"/>
              <w:spacing w:after="0"/>
              <w:rPr>
                <w:sz w:val="20"/>
                <w:szCs w:val="20"/>
                <w:color w:val="auto"/>
              </w:rPr>
            </w:pPr>
            <w:r>
              <w:rPr>
                <w:rFonts w:ascii="Arial" w:cs="Arial" w:eastAsia="Arial" w:hAnsi="Arial"/>
                <w:sz w:val="22"/>
                <w:szCs w:val="22"/>
                <w:b w:val="1"/>
                <w:bCs w:val="1"/>
                <w:color w:val="auto"/>
                <w:w w:val="88"/>
              </w:rPr>
              <w:t>Boenning &amp; Scattergood</w:t>
            </w:r>
          </w:p>
        </w:tc>
        <w:tc>
          <w:tcPr>
            <w:tcW w:w="2280" w:type="dxa"/>
            <w:vAlign w:val="bottom"/>
          </w:tcPr>
          <w:p>
            <w:pPr>
              <w:ind w:left="80"/>
              <w:spacing w:after="0"/>
              <w:rPr>
                <w:sz w:val="20"/>
                <w:szCs w:val="20"/>
                <w:color w:val="auto"/>
              </w:rPr>
            </w:pPr>
            <w:r>
              <w:rPr>
                <w:rFonts w:ascii="Arial" w:cs="Arial" w:eastAsia="Arial" w:hAnsi="Arial"/>
                <w:sz w:val="22"/>
                <w:szCs w:val="22"/>
                <w:b w:val="1"/>
                <w:bCs w:val="1"/>
                <w:color w:val="auto"/>
              </w:rPr>
              <w:t>Maxim Group LLC</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April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157480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191770</wp:posOffset>
            </wp:positionV>
            <wp:extent cx="71323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509270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420"/>
      </w:cols>
      <w:pgMar w:left="640" w:top="981"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2"/>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lvl w:ilvl="1">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2021-04-16T15:40:41Z</dcterms:created>
  <dcterms:modified xsi:type="dcterms:W3CDTF">2021-04-16T15:40:41Z</dcterms:modified>
</cp:coreProperties>
</file>