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10q.htm"/>
      <w:bookmarkStart w:id="1" w:name="ksimmy_10q"/>
      <w:bookmarkStart w:id="2" w:name="immy_10q.htm"/>
      <w:bookmarkStart w:id="3" w:name="ksimmy_10q"/>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8"/>
        </w:rPr>
      </w:pPr>
      <w:r>
        <w:rPr>
          <w:rFonts w:ascii="Times New Roman" w:hAnsi="Times New Roman"/>
          <w:b/>
          <w:sz w:val="28"/>
        </w:rPr>
        <w:t>FORM 10-Q</w:t>
      </w:r>
    </w:p>
    <w:p>
      <w:pPr>
        <w:pStyle w:val="TextBody"/>
        <w:spacing w:before="0" w:after="0"/>
        <w:ind w:left="0" w:right="0" w:hanging="0"/>
        <w:jc w:val="center"/>
        <w:rPr/>
      </w:pPr>
      <w:r>
        <w:rPr/>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rPr/>
            </w:pPr>
            <w:r>
              <w:rPr/>
              <w:t>☑</w:t>
            </w:r>
          </w:p>
        </w:tc>
        <w:tc>
          <w:tcPr>
            <w:tcW w:w="997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 the quarterly period ended June 30, 2013</w:t>
      </w:r>
    </w:p>
    <w:p>
      <w:pPr>
        <w:pStyle w:val="TextBody"/>
        <w:spacing w:before="0" w:after="0"/>
        <w:ind w:left="0" w:right="0" w:hanging="0"/>
        <w:jc w:val="center"/>
        <w:rPr/>
      </w:pPr>
      <w:r>
        <w:rPr/>
      </w:r>
    </w:p>
    <w:p>
      <w:pPr>
        <w:pStyle w:val="Normal"/>
        <w:spacing w:before="0" w:after="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rPr>
                <w:rFonts w:ascii="Wingdings" w:hAnsi="Wingdings"/>
                <w:sz w:val="20"/>
              </w:rPr>
            </w:pPr>
            <w:r>
              <w:rPr>
                <w:rFonts w:ascii="Wingdings" w:hAnsi="Wingdings"/>
                <w:sz w:val="20"/>
              </w:rPr>
              <w:t>o</w:t>
            </w:r>
          </w:p>
        </w:tc>
        <w:tc>
          <w:tcPr>
            <w:tcW w:w="1006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 the transition period from ___________ to _____________</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001-35814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center"/>
        <w:rPr/>
      </w:pPr>
      <w:r>
        <w:rPr/>
        <w:t> </w:t>
      </w:r>
    </w:p>
    <w:tbl>
      <w:tblPr>
        <w:tblW w:w="4250" w:type="pct"/>
        <w:jc w:val="center"/>
        <w:tblInd w:w="0" w:type="dxa"/>
        <w:tblCellMar>
          <w:top w:w="0" w:type="dxa"/>
          <w:left w:w="0" w:type="dxa"/>
          <w:bottom w:w="28" w:type="dxa"/>
          <w:right w:w="0" w:type="dxa"/>
        </w:tblCellMar>
      </w:tblPr>
      <w:tblGrid>
        <w:gridCol w:w="3903"/>
        <w:gridCol w:w="867"/>
        <w:gridCol w:w="3904"/>
      </w:tblGrid>
      <w:tr>
        <w:trPr/>
        <w:tc>
          <w:tcPr>
            <w:tcW w:w="39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67" w:type="dxa"/>
            <w:tcBorders/>
            <w:shd w:fill="auto" w:val="clear"/>
            <w:tcMar>
              <w:bottom w:w="0" w:type="dxa"/>
            </w:tcMar>
          </w:tcPr>
          <w:p>
            <w:pPr>
              <w:pStyle w:val="TableContents"/>
              <w:spacing w:before="0" w:after="283"/>
              <w:rPr/>
            </w:pPr>
            <w:r>
              <w:rPr/>
              <w:t> </w:t>
            </w:r>
          </w:p>
        </w:tc>
        <w:tc>
          <w:tcPr>
            <w:tcW w:w="390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9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867" w:type="dxa"/>
            <w:tcBorders/>
            <w:shd w:fill="auto" w:val="clear"/>
            <w:tcMar>
              <w:bottom w:w="0" w:type="dxa"/>
            </w:tcMar>
          </w:tcPr>
          <w:p>
            <w:pPr>
              <w:pStyle w:val="TableContents"/>
              <w:spacing w:before="0" w:after="283"/>
              <w:rPr/>
            </w:pPr>
            <w:r>
              <w:rPr/>
              <w:t> </w:t>
            </w:r>
          </w:p>
        </w:tc>
        <w:tc>
          <w:tcPr>
            <w:tcW w:w="390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r>
        <w:trPr/>
        <w:tc>
          <w:tcPr>
            <w:tcW w:w="3903" w:type="dxa"/>
            <w:tcBorders/>
            <w:shd w:fill="auto" w:val="clear"/>
            <w:tcMar>
              <w:bottom w:w="0" w:type="dxa"/>
            </w:tcMar>
          </w:tcPr>
          <w:p>
            <w:pPr>
              <w:pStyle w:val="TableContents"/>
              <w:spacing w:before="0" w:after="283"/>
              <w:rPr/>
            </w:pPr>
            <w:r>
              <w:rPr/>
              <w:t> </w:t>
            </w:r>
          </w:p>
        </w:tc>
        <w:tc>
          <w:tcPr>
            <w:tcW w:w="867" w:type="dxa"/>
            <w:tcBorders/>
            <w:shd w:fill="auto" w:val="clear"/>
            <w:tcMar>
              <w:bottom w:w="0" w:type="dxa"/>
            </w:tcMar>
          </w:tcPr>
          <w:p>
            <w:pPr>
              <w:pStyle w:val="TableContents"/>
              <w:spacing w:before="0" w:after="283"/>
              <w:rPr/>
            </w:pPr>
            <w:r>
              <w:rPr/>
              <w:t> </w:t>
            </w:r>
          </w:p>
        </w:tc>
        <w:tc>
          <w:tcPr>
            <w:tcW w:w="3904" w:type="dxa"/>
            <w:tcBorders/>
            <w:shd w:fill="auto" w:val="clear"/>
            <w:tcMar>
              <w:bottom w:w="0" w:type="dxa"/>
            </w:tcMar>
          </w:tcPr>
          <w:p>
            <w:pPr>
              <w:pStyle w:val="TableContents"/>
              <w:spacing w:before="0" w:after="283"/>
              <w:rPr/>
            </w:pPr>
            <w:r>
              <w:rPr/>
              <w:t> </w:t>
            </w:r>
          </w:p>
        </w:tc>
      </w:tr>
      <w:tr>
        <w:trPr/>
        <w:tc>
          <w:tcPr>
            <w:tcW w:w="39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12626 High Bluff Dr., Suite 150</w:t>
            </w:r>
          </w:p>
          <w:p>
            <w:pPr>
              <w:pStyle w:val="TableContents"/>
              <w:spacing w:before="0" w:after="0"/>
              <w:ind w:left="0" w:right="0" w:hanging="0"/>
              <w:jc w:val="center"/>
              <w:rPr>
                <w:rFonts w:ascii="times new roman" w:hAnsi="times new roman"/>
                <w:b/>
                <w:sz w:val="20"/>
              </w:rPr>
            </w:pPr>
            <w:r>
              <w:rPr>
                <w:rFonts w:ascii="times new roman" w:hAnsi="times new roman"/>
                <w:b/>
                <w:sz w:val="20"/>
              </w:rPr>
              <w:t>San Diego, CA</w:t>
            </w:r>
          </w:p>
        </w:tc>
        <w:tc>
          <w:tcPr>
            <w:tcW w:w="867" w:type="dxa"/>
            <w:tcBorders/>
            <w:shd w:fill="auto" w:val="clear"/>
            <w:tcMar>
              <w:bottom w:w="0" w:type="dxa"/>
            </w:tcMar>
          </w:tcPr>
          <w:p>
            <w:pPr>
              <w:pStyle w:val="TableContents"/>
              <w:spacing w:before="0" w:after="283"/>
              <w:rPr/>
            </w:pPr>
            <w:r>
              <w:rPr/>
              <w:t> </w:t>
            </w:r>
          </w:p>
        </w:tc>
        <w:tc>
          <w:tcPr>
            <w:tcW w:w="390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92130</w:t>
            </w:r>
          </w:p>
        </w:tc>
      </w:tr>
      <w:tr>
        <w:trPr/>
        <w:tc>
          <w:tcPr>
            <w:tcW w:w="39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867" w:type="dxa"/>
            <w:tcBorders/>
            <w:shd w:fill="auto" w:val="clear"/>
            <w:tcMar>
              <w:bottom w:w="0" w:type="dxa"/>
            </w:tcMar>
          </w:tcPr>
          <w:p>
            <w:pPr>
              <w:pStyle w:val="TableContents"/>
              <w:spacing w:before="0" w:after="283"/>
              <w:rPr/>
            </w:pPr>
            <w:r>
              <w:rPr/>
              <w:t> </w:t>
            </w:r>
          </w:p>
        </w:tc>
        <w:tc>
          <w:tcPr>
            <w:tcW w:w="390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(858) 704-4040</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20"/>
        </w:rPr>
        <w:t>o</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r>
        <w:rPr>
          <w:rFonts w:ascii="Wingdings" w:hAnsi="Wingdings"/>
          <w:sz w:val="20"/>
        </w:rPr>
        <w:t>o</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 reporting company.</w:t>
      </w:r>
    </w:p>
    <w:p>
      <w:pPr>
        <w:pStyle w:val="TextBody"/>
        <w:spacing w:before="0" w:after="0"/>
        <w:ind w:left="0" w:right="0" w:hanging="0"/>
        <w:jc w:val="left"/>
        <w:rPr/>
      </w:pPr>
      <w:r>
        <w:rPr/>
        <w:t> </w:t>
      </w:r>
    </w:p>
    <w:tbl>
      <w:tblPr>
        <w:tblW w:w="4250" w:type="pct"/>
        <w:jc w:val="center"/>
        <w:tblInd w:w="0" w:type="dxa"/>
        <w:tblCellMar>
          <w:top w:w="0" w:type="dxa"/>
          <w:left w:w="0" w:type="dxa"/>
          <w:bottom w:w="0" w:type="dxa"/>
          <w:right w:w="0" w:type="dxa"/>
        </w:tblCellMar>
      </w:tblPr>
      <w:tblGrid>
        <w:gridCol w:w="2187"/>
        <w:gridCol w:w="3964"/>
        <w:gridCol w:w="1932"/>
        <w:gridCol w:w="591"/>
      </w:tblGrid>
      <w:tr>
        <w:trPr/>
        <w:tc>
          <w:tcPr>
            <w:tcW w:w="2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Large accelerated filer</w:t>
            </w:r>
          </w:p>
        </w:tc>
        <w:tc>
          <w:tcPr>
            <w:tcW w:w="3964"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9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Accelerated filer</w:t>
            </w:r>
          </w:p>
        </w:tc>
        <w:tc>
          <w:tcPr>
            <w:tcW w:w="591"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r>
      <w:tr>
        <w:trPr/>
        <w:tc>
          <w:tcPr>
            <w:tcW w:w="2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Non-accelerated filer</w:t>
            </w:r>
          </w:p>
        </w:tc>
        <w:tc>
          <w:tcPr>
            <w:tcW w:w="3964" w:type="dxa"/>
            <w:tcBorders/>
            <w:shd w:fill="auto" w:val="clear"/>
          </w:tcPr>
          <w:p>
            <w:pPr>
              <w:pStyle w:val="TableContents"/>
              <w:spacing w:before="0" w:after="0"/>
              <w:ind w:left="0" w:right="0" w:hanging="0"/>
              <w:jc w:val="left"/>
              <w:rPr>
                <w:rFonts w:ascii="times new roman" w:hAnsi="times new roman"/>
                <w:sz w:val="20"/>
              </w:rPr>
            </w:pPr>
            <w:r>
              <w:rPr>
                <w:rFonts w:ascii="wingdings" w:hAnsi="wingdings"/>
                <w:sz w:val="20"/>
              </w:rPr>
              <w:t>o</w:t>
            </w:r>
            <w:r>
              <w:rPr>
                <w:rFonts w:ascii="times new roman" w:hAnsi="times new roman"/>
                <w:sz w:val="20"/>
              </w:rPr>
              <w:t>  (Do not check if a smaller reporting company)</w:t>
            </w:r>
          </w:p>
        </w:tc>
        <w:tc>
          <w:tcPr>
            <w:tcW w:w="19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591" w:type="dxa"/>
            <w:tcBorders/>
            <w:shd w:fill="auto" w:val="clear"/>
          </w:tcPr>
          <w:p>
            <w:pPr>
              <w:pStyle w:val="TableContents"/>
              <w:spacing w:before="0" w:after="0"/>
              <w:ind w:left="0" w:right="0" w:hanging="0"/>
              <w:jc w:val="left"/>
              <w:rPr/>
            </w:pPr>
            <w:r>
              <w:rPr/>
              <w: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a check mark whether the registrant is a shell company (as defined in Rule 12b-2 of the Exchange Act). Yes </w:t>
      </w:r>
      <w:r>
        <w:rPr>
          <w:rFonts w:ascii="Wingdings" w:hAnsi="Wingdings"/>
          <w:sz w:val="20"/>
        </w:rPr>
        <w:t>o</w:t>
      </w:r>
      <w:r>
        <w:rPr>
          <w:rFonts w:ascii="Times New Roman" w:hAnsi="Times New Roman"/>
          <w:sz w:val="20"/>
        </w:rPr>
        <w:t>  No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APPLICABLE ONLY TO ISSUERS INVOLVED IN BANKRUPTCY PROCEEDINGS DURING THE PRECEDING FIVE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whether the registrant filed all documents and reports required to be filed by Section 12, 13, or 15(d) of the Exchange Act of 1934 after the distribution of securities under a plan confirmed by a court. Yes </w:t>
      </w:r>
      <w:r>
        <w:rPr>
          <w:rFonts w:ascii="Wingdings" w:hAnsi="Wingdings"/>
          <w:sz w:val="20"/>
        </w:rPr>
        <w:t>o</w:t>
      </w:r>
      <w:r>
        <w:rPr>
          <w:rFonts w:ascii="Times New Roman" w:hAnsi="Times New Roman"/>
          <w:sz w:val="20"/>
        </w:rPr>
        <w:t xml:space="preserve">   No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August 13, 2013, 8,961,583 shares of the registrant’s common stock, $0.001 par value, were outstanding.</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8" w:name="TOC"/>
      <w:bookmarkEnd w:id="8"/>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Table of Contents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918"/>
        <w:gridCol w:w="8065"/>
        <w:gridCol w:w="101"/>
        <w:gridCol w:w="101"/>
        <w:gridCol w:w="918"/>
        <w:gridCol w:w="102"/>
      </w:tblGrid>
      <w:tr>
        <w:trPr/>
        <w:tc>
          <w:tcPr>
            <w:tcW w:w="918" w:type="dxa"/>
            <w:tcBorders/>
            <w:shd w:fill="auto" w:val="clear"/>
            <w:vAlign w:val="bottom"/>
          </w:tcPr>
          <w:p>
            <w:pPr>
              <w:pStyle w:val="TableContents"/>
              <w:spacing w:before="0" w:after="283"/>
              <w:jc w:val="left"/>
              <w:rPr/>
            </w:pPr>
            <w:r>
              <w:rPr/>
              <w:t> </w:t>
            </w:r>
          </w:p>
        </w:tc>
        <w:tc>
          <w:tcPr>
            <w:tcW w:w="806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Page</w:t>
            </w:r>
          </w:p>
        </w:tc>
        <w:tc>
          <w:tcPr>
            <w:tcW w:w="102" w:type="dxa"/>
            <w:tcBorders/>
            <w:shd w:fill="auto" w:val="clear"/>
            <w:vAlign w:val="bottom"/>
          </w:tcPr>
          <w:p>
            <w:pPr>
              <w:pStyle w:val="TableContents"/>
              <w:spacing w:before="0" w:after="283"/>
              <w:jc w:val="left"/>
              <w:rPr/>
            </w:pPr>
            <w:r>
              <w:rPr/>
              <w:t> </w:t>
            </w:r>
          </w:p>
        </w:tc>
      </w:tr>
      <w:tr>
        <w:trPr/>
        <w:tc>
          <w:tcPr>
            <w:tcW w:w="918" w:type="dxa"/>
            <w:tcBorders/>
            <w:shd w:fill="auto" w:val="clear"/>
            <w:vAlign w:val="bottom"/>
          </w:tcPr>
          <w:p>
            <w:pPr>
              <w:pStyle w:val="TableContents"/>
              <w:spacing w:before="0" w:after="283"/>
              <w:jc w:val="left"/>
              <w:rPr/>
            </w:pPr>
            <w:r>
              <w:rPr/>
              <w:t> </w:t>
            </w:r>
          </w:p>
        </w:tc>
        <w:tc>
          <w:tcPr>
            <w:tcW w:w="806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jc w:val="right"/>
              <w:rPr/>
            </w:pPr>
            <w:r>
              <w:rPr/>
              <w:t> </w:t>
            </w:r>
          </w:p>
        </w:tc>
        <w:tc>
          <w:tcPr>
            <w:tcW w:w="1019" w:type="dxa"/>
            <w:gridSpan w:val="2"/>
            <w:tcBorders/>
            <w:shd w:fill="auto" w:val="clear"/>
            <w:vAlign w:val="bottom"/>
          </w:tcPr>
          <w:p>
            <w:pPr>
              <w:pStyle w:val="TableContents"/>
              <w:spacing w:before="0" w:after="283"/>
              <w:jc w:val="right"/>
              <w:rPr/>
            </w:pPr>
            <w:r>
              <w:rPr/>
              <w:t> </w:t>
            </w:r>
          </w:p>
        </w:tc>
        <w:tc>
          <w:tcPr>
            <w:tcW w:w="102" w:type="dxa"/>
            <w:tcBorders/>
            <w:shd w:fill="auto" w:val="clear"/>
            <w:vAlign w:val="bottom"/>
          </w:tcPr>
          <w:p>
            <w:pPr>
              <w:pStyle w:val="TableContents"/>
              <w:spacing w:before="0" w:after="283"/>
              <w:jc w:val="left"/>
              <w:rPr/>
            </w:pPr>
            <w:r>
              <w:rPr/>
              <w:t> </w:t>
            </w:r>
          </w:p>
        </w:tc>
      </w:tr>
      <w:tr>
        <w:trPr/>
        <w:tc>
          <w:tcPr>
            <w:tcW w:w="918" w:type="dxa"/>
            <w:tcBorders/>
            <w:shd w:fill="auto" w:val="clear"/>
            <w:vAlign w:val="bottom"/>
          </w:tcPr>
          <w:p>
            <w:pPr>
              <w:pStyle w:val="TableContents"/>
              <w:spacing w:before="0" w:after="0"/>
              <w:ind w:left="540" w:right="0" w:hanging="540"/>
              <w:jc w:val="left"/>
              <w:rPr/>
            </w:pPr>
            <w:hyperlink w:anchor="part1">
              <w:r>
                <w:rPr>
                  <w:rStyle w:val="InternetLink"/>
                  <w:rFonts w:ascii="times new roman" w:hAnsi="times new roman"/>
                  <w:b/>
                  <w:sz w:val="20"/>
                </w:rPr>
                <w:t>Part I</w:t>
              </w:r>
            </w:hyperlink>
          </w:p>
        </w:tc>
        <w:tc>
          <w:tcPr>
            <w:tcW w:w="8065" w:type="dxa"/>
            <w:tcBorders/>
            <w:shd w:fill="auto" w:val="clear"/>
            <w:vAlign w:val="bottom"/>
          </w:tcPr>
          <w:p>
            <w:pPr>
              <w:pStyle w:val="TableContents"/>
              <w:spacing w:before="0" w:after="0"/>
              <w:ind w:left="0" w:right="0" w:hanging="0"/>
              <w:jc w:val="left"/>
              <w:rPr/>
            </w:pPr>
            <w:hyperlink w:anchor="part1">
              <w:r>
                <w:rPr>
                  <w:rStyle w:val="InternetLink"/>
                  <w:rFonts w:ascii="times new roman" w:hAnsi="times new roman"/>
                  <w:b/>
                  <w:sz w:val="20"/>
                </w:rPr>
                <w:t>FINANCIAL INFORMATION</w:t>
              </w:r>
            </w:hyperlink>
          </w:p>
        </w:tc>
        <w:tc>
          <w:tcPr>
            <w:tcW w:w="101"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2" w:type="dxa"/>
            <w:tcBorders/>
            <w:shd w:fill="auto" w:val="clear"/>
            <w:vAlign w:val="bottom"/>
          </w:tcPr>
          <w:p>
            <w:pPr>
              <w:pStyle w:val="TableContents"/>
              <w:spacing w:before="0" w:after="283"/>
              <w:jc w:val="left"/>
              <w:rPr/>
            </w:pPr>
            <w:r>
              <w:rPr/>
              <w:t> </w:t>
            </w:r>
          </w:p>
        </w:tc>
      </w:tr>
      <w:tr>
        <w:trPr/>
        <w:tc>
          <w:tcPr>
            <w:tcW w:w="918" w:type="dxa"/>
            <w:tcBorders/>
            <w:shd w:fill="auto" w:val="clear"/>
            <w:vAlign w:val="bottom"/>
          </w:tcPr>
          <w:p>
            <w:pPr>
              <w:pStyle w:val="TableContents"/>
              <w:spacing w:before="0" w:after="283"/>
              <w:jc w:val="left"/>
              <w:rPr/>
            </w:pPr>
            <w:r>
              <w:rPr/>
              <w:t> </w:t>
            </w:r>
          </w:p>
        </w:tc>
        <w:tc>
          <w:tcPr>
            <w:tcW w:w="806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pPr>
            <w:r>
              <w:rPr/>
              <w:t> </w:t>
            </w:r>
          </w:p>
        </w:tc>
        <w:tc>
          <w:tcPr>
            <w:tcW w:w="102" w:type="dxa"/>
            <w:tcBorders/>
            <w:shd w:fill="auto" w:val="clear"/>
            <w:vAlign w:val="bottom"/>
          </w:tcPr>
          <w:p>
            <w:pPr>
              <w:pStyle w:val="TableContents"/>
              <w:spacing w:before="0" w:after="283"/>
              <w:jc w:val="left"/>
              <w:rPr/>
            </w:pPr>
            <w:r>
              <w:rPr/>
              <w:t> </w:t>
            </w:r>
          </w:p>
        </w:tc>
      </w:tr>
      <w:tr>
        <w:trPr/>
        <w:tc>
          <w:tcPr>
            <w:tcW w:w="918" w:type="dxa"/>
            <w:tcBorders/>
            <w:shd w:fill="CCEEFF" w:val="clear"/>
            <w:vAlign w:val="bottom"/>
          </w:tcPr>
          <w:p>
            <w:pPr>
              <w:pStyle w:val="TableContents"/>
              <w:spacing w:before="0" w:after="0"/>
              <w:ind w:left="900" w:right="0" w:hanging="540"/>
              <w:jc w:val="left"/>
              <w:rPr/>
            </w:pPr>
            <w:hyperlink w:anchor="item1">
              <w:r>
                <w:rPr>
                  <w:rStyle w:val="InternetLink"/>
                  <w:rFonts w:ascii="times new roman" w:hAnsi="times new roman"/>
                  <w:sz w:val="20"/>
                </w:rPr>
                <w:t>Item 1.</w:t>
              </w:r>
            </w:hyperlink>
          </w:p>
        </w:tc>
        <w:tc>
          <w:tcPr>
            <w:tcW w:w="8065" w:type="dxa"/>
            <w:tcBorders/>
            <w:shd w:fill="CCEEFF" w:val="clear"/>
            <w:vAlign w:val="bottom"/>
          </w:tcPr>
          <w:p>
            <w:pPr>
              <w:pStyle w:val="TableContents"/>
              <w:spacing w:before="0" w:after="0"/>
              <w:ind w:left="0" w:right="0" w:hanging="0"/>
              <w:jc w:val="left"/>
              <w:rPr/>
            </w:pPr>
            <w:hyperlink w:anchor="item1">
              <w:r>
                <w:rPr>
                  <w:rStyle w:val="InternetLink"/>
                  <w:rFonts w:ascii="times new roman" w:hAnsi="times new roman"/>
                  <w:sz w:val="20"/>
                </w:rPr>
                <w:t>Financial Statements (Unaudited)</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2" w:type="dxa"/>
            <w:tcBorders/>
            <w:shd w:fill="CCEE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283"/>
              <w:jc w:val="left"/>
              <w:rPr/>
            </w:pPr>
            <w:r>
              <w:rPr/>
              <w:t> </w:t>
            </w:r>
          </w:p>
        </w:tc>
        <w:tc>
          <w:tcPr>
            <w:tcW w:w="8065"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CCEEFF" w:val="clear"/>
            <w:vAlign w:val="bottom"/>
          </w:tcPr>
          <w:p>
            <w:pPr>
              <w:pStyle w:val="TableContents"/>
              <w:spacing w:before="0" w:after="0"/>
              <w:ind w:left="900" w:right="0" w:hanging="540"/>
              <w:jc w:val="left"/>
              <w:rPr/>
            </w:pPr>
            <w:hyperlink w:anchor="item2">
              <w:r>
                <w:rPr>
                  <w:rStyle w:val="InternetLink"/>
                  <w:rFonts w:ascii="times new roman" w:hAnsi="times new roman"/>
                  <w:sz w:val="20"/>
                </w:rPr>
                <w:t>Item 2.</w:t>
              </w:r>
            </w:hyperlink>
          </w:p>
        </w:tc>
        <w:tc>
          <w:tcPr>
            <w:tcW w:w="8065" w:type="dxa"/>
            <w:tcBorders/>
            <w:shd w:fill="CCEEFF" w:val="clear"/>
            <w:vAlign w:val="bottom"/>
          </w:tcPr>
          <w:p>
            <w:pPr>
              <w:pStyle w:val="TableContents"/>
              <w:spacing w:before="0" w:after="0"/>
              <w:ind w:left="0" w:right="0" w:hanging="0"/>
              <w:jc w:val="left"/>
              <w:rPr/>
            </w:pPr>
            <w:hyperlink w:anchor="item2">
              <w:r>
                <w:rPr>
                  <w:rStyle w:val="InternetLink"/>
                  <w:rFonts w:ascii="times new roman" w:hAnsi="times new roman"/>
                  <w:sz w:val="20"/>
                </w:rPr>
                <w:t>Management’s Discussion and Analysis of Financial Condition and Results of Operations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02" w:type="dxa"/>
            <w:tcBorders/>
            <w:shd w:fill="CCEE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283"/>
              <w:jc w:val="left"/>
              <w:rPr/>
            </w:pPr>
            <w:r>
              <w:rPr/>
              <w:t> </w:t>
            </w:r>
          </w:p>
        </w:tc>
        <w:tc>
          <w:tcPr>
            <w:tcW w:w="8065"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CCEEFF" w:val="clear"/>
            <w:vAlign w:val="bottom"/>
          </w:tcPr>
          <w:p>
            <w:pPr>
              <w:pStyle w:val="TableContents"/>
              <w:spacing w:before="0" w:after="0"/>
              <w:ind w:left="0" w:right="0" w:firstLine="360"/>
              <w:jc w:val="left"/>
              <w:rPr/>
            </w:pPr>
            <w:hyperlink w:anchor="item3">
              <w:r>
                <w:rPr>
                  <w:rStyle w:val="InternetLink"/>
                  <w:rFonts w:ascii="times new roman" w:hAnsi="times new roman"/>
                  <w:sz w:val="20"/>
                </w:rPr>
                <w:t>Item 3.</w:t>
              </w:r>
            </w:hyperlink>
          </w:p>
        </w:tc>
        <w:tc>
          <w:tcPr>
            <w:tcW w:w="8065" w:type="dxa"/>
            <w:tcBorders/>
            <w:shd w:fill="CCEEFF" w:val="clear"/>
            <w:vAlign w:val="bottom"/>
          </w:tcPr>
          <w:p>
            <w:pPr>
              <w:pStyle w:val="TableContents"/>
              <w:spacing w:before="0" w:after="0"/>
              <w:ind w:left="0" w:right="0" w:hanging="0"/>
              <w:jc w:val="left"/>
              <w:rPr/>
            </w:pPr>
            <w:hyperlink w:anchor="item3">
              <w:r>
                <w:rPr>
                  <w:rStyle w:val="InternetLink"/>
                  <w:rFonts w:ascii="times new roman" w:hAnsi="times new roman"/>
                  <w:sz w:val="20"/>
                </w:rPr>
                <w:t>Quantitative and Qualitative Disclosures About Market Risk</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27</w:t>
            </w:r>
          </w:p>
        </w:tc>
        <w:tc>
          <w:tcPr>
            <w:tcW w:w="102" w:type="dxa"/>
            <w:tcBorders/>
            <w:shd w:fill="CCEE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283"/>
              <w:rPr/>
            </w:pPr>
            <w:r>
              <w:rPr/>
              <w:t> </w:t>
            </w:r>
          </w:p>
        </w:tc>
        <w:tc>
          <w:tcPr>
            <w:tcW w:w="8065"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CCEEFF" w:val="clear"/>
            <w:vAlign w:val="bottom"/>
          </w:tcPr>
          <w:p>
            <w:pPr>
              <w:pStyle w:val="TableContents"/>
              <w:spacing w:before="0" w:after="0"/>
              <w:ind w:left="900" w:right="0" w:hanging="540"/>
              <w:jc w:val="left"/>
              <w:rPr/>
            </w:pPr>
            <w:hyperlink w:anchor="item4">
              <w:r>
                <w:rPr>
                  <w:rStyle w:val="InternetLink"/>
                  <w:rFonts w:ascii="times new roman" w:hAnsi="times new roman"/>
                  <w:sz w:val="20"/>
                </w:rPr>
                <w:t>Item 4.</w:t>
              </w:r>
            </w:hyperlink>
          </w:p>
        </w:tc>
        <w:tc>
          <w:tcPr>
            <w:tcW w:w="8065" w:type="dxa"/>
            <w:tcBorders/>
            <w:shd w:fill="CCEEFF" w:val="clear"/>
            <w:vAlign w:val="bottom"/>
          </w:tcPr>
          <w:p>
            <w:pPr>
              <w:pStyle w:val="TableContents"/>
              <w:spacing w:before="0" w:after="0"/>
              <w:ind w:left="0" w:right="0" w:hanging="0"/>
              <w:jc w:val="left"/>
              <w:rPr/>
            </w:pPr>
            <w:hyperlink w:anchor="item4">
              <w:r>
                <w:rPr>
                  <w:rStyle w:val="InternetLink"/>
                  <w:rFonts w:ascii="times new roman" w:hAnsi="times new roman"/>
                  <w:sz w:val="20"/>
                </w:rPr>
                <w:t>Controls and Procedures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27</w:t>
            </w:r>
          </w:p>
        </w:tc>
        <w:tc>
          <w:tcPr>
            <w:tcW w:w="102" w:type="dxa"/>
            <w:tcBorders/>
            <w:shd w:fill="CCEE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283"/>
              <w:jc w:val="left"/>
              <w:rPr/>
            </w:pPr>
            <w:r>
              <w:rPr/>
              <w:t> </w:t>
            </w:r>
          </w:p>
        </w:tc>
        <w:tc>
          <w:tcPr>
            <w:tcW w:w="8065"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0"/>
              <w:ind w:left="540" w:right="0" w:hanging="540"/>
              <w:jc w:val="left"/>
              <w:rPr/>
            </w:pPr>
            <w:hyperlink w:anchor="part2">
              <w:r>
                <w:rPr>
                  <w:rStyle w:val="InternetLink"/>
                  <w:rFonts w:ascii="times new roman" w:hAnsi="times new roman"/>
                  <w:b/>
                  <w:sz w:val="20"/>
                </w:rPr>
                <w:t>Part II</w:t>
              </w:r>
            </w:hyperlink>
          </w:p>
        </w:tc>
        <w:tc>
          <w:tcPr>
            <w:tcW w:w="8065" w:type="dxa"/>
            <w:tcBorders/>
            <w:shd w:fill="FFFFFF" w:val="clear"/>
            <w:vAlign w:val="bottom"/>
          </w:tcPr>
          <w:p>
            <w:pPr>
              <w:pStyle w:val="TableContents"/>
              <w:spacing w:before="0" w:after="0"/>
              <w:ind w:left="0" w:right="0" w:hanging="0"/>
              <w:jc w:val="left"/>
              <w:rPr/>
            </w:pPr>
            <w:hyperlink w:anchor="part2">
              <w:r>
                <w:rPr>
                  <w:rStyle w:val="InternetLink"/>
                  <w:rFonts w:ascii="times new roman" w:hAnsi="times new roman"/>
                  <w:b/>
                  <w:sz w:val="20"/>
                </w:rPr>
                <w:t>OTHER INFORMATION</w:t>
              </w:r>
            </w:hyperlink>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283"/>
              <w:jc w:val="left"/>
              <w:rPr/>
            </w:pPr>
            <w:r>
              <w:rPr/>
              <w:t> </w:t>
            </w:r>
          </w:p>
        </w:tc>
        <w:tc>
          <w:tcPr>
            <w:tcW w:w="8065"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CCEEFF" w:val="clear"/>
            <w:vAlign w:val="bottom"/>
          </w:tcPr>
          <w:p>
            <w:pPr>
              <w:pStyle w:val="TableContents"/>
              <w:spacing w:before="0" w:after="0"/>
              <w:ind w:left="900" w:right="0" w:hanging="540"/>
              <w:jc w:val="left"/>
              <w:rPr/>
            </w:pPr>
            <w:hyperlink w:anchor="part2item1">
              <w:r>
                <w:rPr>
                  <w:rStyle w:val="InternetLink"/>
                  <w:rFonts w:ascii="times new roman" w:hAnsi="times new roman"/>
                  <w:sz w:val="20"/>
                </w:rPr>
                <w:t>Item 1.</w:t>
              </w:r>
            </w:hyperlink>
          </w:p>
        </w:tc>
        <w:tc>
          <w:tcPr>
            <w:tcW w:w="8065" w:type="dxa"/>
            <w:tcBorders/>
            <w:shd w:fill="CCEEFF" w:val="clear"/>
            <w:vAlign w:val="bottom"/>
          </w:tcPr>
          <w:p>
            <w:pPr>
              <w:pStyle w:val="TableContents"/>
              <w:spacing w:before="0" w:after="0"/>
              <w:ind w:left="0" w:right="0" w:hanging="0"/>
              <w:jc w:val="left"/>
              <w:rPr/>
            </w:pPr>
            <w:hyperlink w:anchor="part2item1">
              <w:r>
                <w:rPr>
                  <w:rStyle w:val="InternetLink"/>
                  <w:rFonts w:ascii="times new roman" w:hAnsi="times new roman"/>
                  <w:sz w:val="20"/>
                </w:rPr>
                <w:t>Legal Proceedings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02" w:type="dxa"/>
            <w:tcBorders/>
            <w:shd w:fill="CCEE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283"/>
              <w:rPr/>
            </w:pPr>
            <w:r>
              <w:rPr/>
              <w:t> </w:t>
            </w:r>
          </w:p>
        </w:tc>
        <w:tc>
          <w:tcPr>
            <w:tcW w:w="8065"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CCEEFF" w:val="clear"/>
            <w:vAlign w:val="bottom"/>
          </w:tcPr>
          <w:p>
            <w:pPr>
              <w:pStyle w:val="TableContents"/>
              <w:spacing w:before="0" w:after="0"/>
              <w:ind w:left="900" w:right="0" w:hanging="540"/>
              <w:jc w:val="left"/>
              <w:rPr/>
            </w:pPr>
            <w:hyperlink w:anchor="part2item1a">
              <w:r>
                <w:rPr>
                  <w:rStyle w:val="InternetLink"/>
                  <w:rFonts w:ascii="times new roman" w:hAnsi="times new roman"/>
                  <w:sz w:val="20"/>
                </w:rPr>
                <w:t>Item 1A.</w:t>
              </w:r>
            </w:hyperlink>
          </w:p>
        </w:tc>
        <w:tc>
          <w:tcPr>
            <w:tcW w:w="8065" w:type="dxa"/>
            <w:tcBorders/>
            <w:shd w:fill="CCEEFF" w:val="clear"/>
            <w:vAlign w:val="bottom"/>
          </w:tcPr>
          <w:p>
            <w:pPr>
              <w:pStyle w:val="TableContents"/>
              <w:spacing w:before="0" w:after="0"/>
              <w:ind w:left="0" w:right="0" w:hanging="0"/>
              <w:jc w:val="left"/>
              <w:rPr/>
            </w:pPr>
            <w:hyperlink w:anchor="part2item1a">
              <w:r>
                <w:rPr>
                  <w:rStyle w:val="InternetLink"/>
                  <w:rFonts w:ascii="times new roman" w:hAnsi="times new roman"/>
                  <w:sz w:val="20"/>
                </w:rPr>
                <w:t>Risk Factors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02" w:type="dxa"/>
            <w:tcBorders/>
            <w:shd w:fill="CCEE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283"/>
              <w:jc w:val="left"/>
              <w:rPr/>
            </w:pPr>
            <w:r>
              <w:rPr/>
              <w:t> </w:t>
            </w:r>
          </w:p>
        </w:tc>
        <w:tc>
          <w:tcPr>
            <w:tcW w:w="8065"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CCEEFF" w:val="clear"/>
            <w:vAlign w:val="bottom"/>
          </w:tcPr>
          <w:p>
            <w:pPr>
              <w:pStyle w:val="TableContents"/>
              <w:spacing w:before="0" w:after="0"/>
              <w:ind w:left="900" w:right="0" w:hanging="540"/>
              <w:jc w:val="left"/>
              <w:rPr/>
            </w:pPr>
            <w:hyperlink w:anchor="part2item6">
              <w:r>
                <w:rPr>
                  <w:rStyle w:val="InternetLink"/>
                  <w:rFonts w:ascii="times new roman" w:hAnsi="times new roman"/>
                  <w:sz w:val="20"/>
                </w:rPr>
                <w:t>Item 6.</w:t>
              </w:r>
            </w:hyperlink>
          </w:p>
        </w:tc>
        <w:tc>
          <w:tcPr>
            <w:tcW w:w="8065" w:type="dxa"/>
            <w:tcBorders/>
            <w:shd w:fill="CCEEFF" w:val="clear"/>
            <w:vAlign w:val="bottom"/>
          </w:tcPr>
          <w:p>
            <w:pPr>
              <w:pStyle w:val="TableContents"/>
              <w:spacing w:before="0" w:after="0"/>
              <w:ind w:left="0" w:right="0" w:hanging="0"/>
              <w:jc w:val="left"/>
              <w:rPr/>
            </w:pPr>
            <w:hyperlink w:anchor="part2item6">
              <w:r>
                <w:rPr>
                  <w:rStyle w:val="InternetLink"/>
                  <w:rFonts w:ascii="times new roman" w:hAnsi="times new roman"/>
                  <w:sz w:val="20"/>
                </w:rPr>
                <w:t>Exhibits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02" w:type="dxa"/>
            <w:tcBorders/>
            <w:shd w:fill="CCEEFF" w:val="clear"/>
            <w:vAlign w:val="bottom"/>
          </w:tcPr>
          <w:p>
            <w:pPr>
              <w:pStyle w:val="TableContents"/>
              <w:spacing w:before="0" w:after="283"/>
              <w:jc w:val="left"/>
              <w:rPr/>
            </w:pPr>
            <w:r>
              <w:rPr/>
              <w:t> </w:t>
            </w:r>
          </w:p>
        </w:tc>
      </w:tr>
      <w:tr>
        <w:trPr/>
        <w:tc>
          <w:tcPr>
            <w:tcW w:w="918" w:type="dxa"/>
            <w:tcBorders/>
            <w:shd w:fill="FFFFFF" w:val="clear"/>
            <w:vAlign w:val="bottom"/>
          </w:tcPr>
          <w:p>
            <w:pPr>
              <w:pStyle w:val="TableContents"/>
              <w:spacing w:before="0" w:after="283"/>
              <w:rPr/>
            </w:pPr>
            <w:r>
              <w:rPr/>
              <w:t> </w:t>
            </w:r>
          </w:p>
        </w:tc>
        <w:tc>
          <w:tcPr>
            <w:tcW w:w="8065"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918" w:type="dxa"/>
            <w:tcBorders/>
            <w:shd w:fill="CCEEFF" w:val="clear"/>
            <w:vAlign w:val="bottom"/>
          </w:tcPr>
          <w:p>
            <w:pPr>
              <w:pStyle w:val="TableContents"/>
              <w:spacing w:before="0" w:after="283"/>
              <w:rPr/>
            </w:pPr>
            <w:r>
              <w:rPr/>
              <w:t> </w:t>
            </w:r>
          </w:p>
        </w:tc>
        <w:tc>
          <w:tcPr>
            <w:tcW w:w="8065" w:type="dxa"/>
            <w:tcBorders/>
            <w:shd w:fill="CCEEFF" w:val="clear"/>
            <w:vAlign w:val="bottom"/>
          </w:tcPr>
          <w:p>
            <w:pPr>
              <w:pStyle w:val="TableContents"/>
              <w:spacing w:before="0" w:after="0"/>
              <w:ind w:left="0" w:right="0" w:hanging="0"/>
              <w:jc w:val="left"/>
              <w:rPr/>
            </w:pPr>
            <w:hyperlink w:anchor="signatures">
              <w:r>
                <w:rPr>
                  <w:rStyle w:val="InternetLink"/>
                  <w:rFonts w:ascii="times new roman" w:hAnsi="times new roman"/>
                  <w:sz w:val="20"/>
                </w:rPr>
                <w:t>Signatures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 w:name="PGBRK"/>
      <w:bookmarkStart w:id="10" w:name="PGBRK"/>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FTR"/>
      <w:bookmarkStart w:id="12" w:name="FT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 w:name="GLFTR"/>
      <w:bookmarkEnd w:id="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 w:name="PN"/>
      <w:bookmarkEnd w:id="14"/>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 w:name="GLHDR"/>
        <w:bookmarkEnd w:id="1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jc w:val="center"/>
        <w:rPr>
          <w:rFonts w:ascii="Times New Roman" w:hAnsi="Times New Roman"/>
          <w:b/>
          <w:sz w:val="20"/>
        </w:rPr>
      </w:pPr>
      <w:bookmarkStart w:id="16" w:name="PART1"/>
      <w:bookmarkEnd w:id="16"/>
      <w:r>
        <w:rPr>
          <w:rFonts w:ascii="Times New Roman" w:hAnsi="Times New Roman"/>
          <w:b/>
          <w:sz w:val="20"/>
        </w:rPr>
        <w:t>PART I</w:t>
      </w:r>
    </w:p>
    <w:p>
      <w:pPr>
        <w:pStyle w:val="TextBody"/>
        <w:spacing w:before="0" w:after="0"/>
        <w:jc w:val="center"/>
        <w:rPr>
          <w:rFonts w:ascii="Times New Roman" w:hAnsi="Times New Roman"/>
          <w:b/>
          <w:sz w:val="20"/>
        </w:rPr>
      </w:pPr>
      <w:r>
        <w:rPr>
          <w:rFonts w:ascii="Times New Roman" w:hAnsi="Times New Roman"/>
          <w:b/>
          <w:sz w:val="20"/>
        </w:rPr>
        <w:t>FINANCIAL INFORMATION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bookmarkStart w:id="17" w:name="ITEM1"/>
      <w:bookmarkEnd w:id="17"/>
      <w:r>
        <w:rPr>
          <w:rFonts w:ascii="Times New Roman" w:hAnsi="Times New Roman"/>
          <w:b/>
          <w:sz w:val="20"/>
        </w:rPr>
        <w:t>ITEM 1. FINANCIAL STATEMENTS (UNAUDITED)</w:t>
      </w: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318"/>
        <w:gridCol w:w="106"/>
        <w:gridCol w:w="125"/>
        <w:gridCol w:w="1096"/>
        <w:gridCol w:w="112"/>
        <w:gridCol w:w="106"/>
        <w:gridCol w:w="125"/>
        <w:gridCol w:w="1096"/>
        <w:gridCol w:w="121"/>
      </w:tblGrid>
      <w:tr>
        <w:trPr/>
        <w:tc>
          <w:tcPr>
            <w:tcW w:w="7318" w:type="dxa"/>
            <w:tcBorders/>
            <w:shd w:fill="auto" w:val="clear"/>
            <w:vAlign w:val="bottom"/>
          </w:tcPr>
          <w:p>
            <w:pPr>
              <w:pStyle w:val="TableContents"/>
              <w:spacing w:before="0" w:after="283"/>
              <w:ind w:left="0" w:right="0" w:hanging="0"/>
              <w:rPr/>
            </w:pPr>
            <w:r>
              <w:rPr/>
              <w:t> </w:t>
            </w:r>
          </w:p>
        </w:tc>
        <w:tc>
          <w:tcPr>
            <w:tcW w:w="106" w:type="dxa"/>
            <w:tcBorders/>
            <w:shd w:fill="auto" w:val="clear"/>
            <w:vAlign w:val="bottom"/>
          </w:tcPr>
          <w:p>
            <w:pPr>
              <w:pStyle w:val="TableContents"/>
              <w:spacing w:before="0" w:after="283"/>
              <w:ind w:left="0" w:right="0" w:hanging="0"/>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12" w:type="dxa"/>
            <w:tcBorders/>
            <w:shd w:fill="auto" w:val="clear"/>
            <w:vAlign w:val="bottom"/>
          </w:tcPr>
          <w:p>
            <w:pPr>
              <w:pStyle w:val="TableContents"/>
              <w:spacing w:before="0" w:after="283"/>
              <w:ind w:left="0" w:right="0" w:hanging="0"/>
              <w:jc w:val="center"/>
              <w:rPr/>
            </w:pPr>
            <w:r>
              <w:rPr/>
              <w:t> </w:t>
            </w:r>
          </w:p>
        </w:tc>
        <w:tc>
          <w:tcPr>
            <w:tcW w:w="106" w:type="dxa"/>
            <w:tcBorders/>
            <w:shd w:fill="auto" w:val="clear"/>
            <w:vAlign w:val="bottom"/>
          </w:tcPr>
          <w:p>
            <w:pPr>
              <w:pStyle w:val="TableContents"/>
              <w:spacing w:before="0" w:after="283"/>
              <w:ind w:left="0" w:right="0" w:hanging="0"/>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1" w:type="dxa"/>
            <w:tcBorders/>
            <w:shd w:fill="auto" w:val="clear"/>
            <w:vAlign w:val="bottom"/>
          </w:tcPr>
          <w:p>
            <w:pPr>
              <w:pStyle w:val="TableContents"/>
              <w:spacing w:before="0" w:after="283"/>
              <w:ind w:left="0" w:right="0" w:hanging="0"/>
              <w:jc w:val="center"/>
              <w:rPr/>
            </w:pPr>
            <w:r>
              <w:rPr/>
              <w:t> </w:t>
            </w:r>
          </w:p>
        </w:tc>
      </w:tr>
      <w:tr>
        <w:trPr/>
        <w:tc>
          <w:tcPr>
            <w:tcW w:w="7318" w:type="dxa"/>
            <w:tcBorders/>
            <w:shd w:fill="auto" w:val="clear"/>
            <w:vAlign w:val="bottom"/>
          </w:tcPr>
          <w:p>
            <w:pPr>
              <w:pStyle w:val="TableContents"/>
              <w:spacing w:before="0" w:after="283"/>
              <w:ind w:left="0" w:right="0" w:hanging="0"/>
              <w:jc w:val="center"/>
              <w:rPr/>
            </w:pPr>
            <w:r>
              <w:rPr/>
              <w:t> </w:t>
            </w:r>
          </w:p>
        </w:tc>
        <w:tc>
          <w:tcPr>
            <w:tcW w:w="106" w:type="dxa"/>
            <w:tcBorders/>
            <w:shd w:fill="auto" w:val="clear"/>
            <w:vAlign w:val="bottom"/>
          </w:tcPr>
          <w:p>
            <w:pPr>
              <w:pStyle w:val="TableContents"/>
              <w:spacing w:before="0" w:after="283"/>
              <w:ind w:left="0" w:right="0" w:hanging="0"/>
              <w:jc w:val="center"/>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2" w:type="dxa"/>
            <w:tcBorders/>
            <w:shd w:fill="auto" w:val="clear"/>
            <w:vAlign w:val="bottom"/>
          </w:tcPr>
          <w:p>
            <w:pPr>
              <w:pStyle w:val="TableContents"/>
              <w:spacing w:before="0" w:after="283"/>
              <w:ind w:left="0" w:right="0" w:hanging="0"/>
              <w:jc w:val="center"/>
              <w:rPr/>
            </w:pPr>
            <w:r>
              <w:rPr/>
              <w:t> </w:t>
            </w:r>
          </w:p>
        </w:tc>
        <w:tc>
          <w:tcPr>
            <w:tcW w:w="106" w:type="dxa"/>
            <w:tcBorders/>
            <w:shd w:fill="auto" w:val="clear"/>
            <w:vAlign w:val="bottom"/>
          </w:tcPr>
          <w:p>
            <w:pPr>
              <w:pStyle w:val="TableContents"/>
              <w:spacing w:before="0" w:after="283"/>
              <w:ind w:left="0" w:right="0" w:hanging="0"/>
              <w:jc w:val="center"/>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21" w:type="dxa"/>
            <w:tcBorders/>
            <w:shd w:fill="auto" w:val="clear"/>
            <w:vAlign w:val="bottom"/>
          </w:tcPr>
          <w:p>
            <w:pPr>
              <w:pStyle w:val="TableContents"/>
              <w:spacing w:before="0" w:after="283"/>
              <w:ind w:left="0" w:right="0" w:hanging="0"/>
              <w:jc w:val="center"/>
              <w:rPr/>
            </w:pPr>
            <w:r>
              <w:rPr/>
              <w:t> </w:t>
            </w:r>
          </w:p>
        </w:tc>
      </w:tr>
      <w:tr>
        <w:trPr/>
        <w:tc>
          <w:tcPr>
            <w:tcW w:w="7318" w:type="dxa"/>
            <w:tcBorders/>
            <w:shd w:fill="auto" w:val="clear"/>
            <w:vAlign w:val="bottom"/>
          </w:tcPr>
          <w:p>
            <w:pPr>
              <w:pStyle w:val="TableContents"/>
              <w:spacing w:before="0" w:after="283"/>
              <w:ind w:left="0" w:right="0" w:hanging="0"/>
              <w:jc w:val="center"/>
              <w:rPr/>
            </w:pPr>
            <w:r>
              <w:rPr/>
              <w:t> </w:t>
            </w:r>
          </w:p>
        </w:tc>
        <w:tc>
          <w:tcPr>
            <w:tcW w:w="106" w:type="dxa"/>
            <w:tcBorders/>
            <w:shd w:fill="auto" w:val="clear"/>
            <w:vAlign w:val="bottom"/>
          </w:tcPr>
          <w:p>
            <w:pPr>
              <w:pStyle w:val="TableContents"/>
              <w:spacing w:before="0" w:after="283"/>
              <w:ind w:left="0" w:right="0" w:hanging="0"/>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(Unaudited)</w:t>
            </w:r>
          </w:p>
        </w:tc>
        <w:tc>
          <w:tcPr>
            <w:tcW w:w="112" w:type="dxa"/>
            <w:tcBorders/>
            <w:shd w:fill="auto" w:val="clear"/>
            <w:vAlign w:val="bottom"/>
          </w:tcPr>
          <w:p>
            <w:pPr>
              <w:pStyle w:val="TableContents"/>
              <w:spacing w:before="0" w:after="283"/>
              <w:ind w:left="0" w:right="0" w:hanging="0"/>
              <w:jc w:val="center"/>
              <w:rPr/>
            </w:pPr>
            <w:r>
              <w:rPr/>
              <w:t> </w:t>
            </w:r>
          </w:p>
        </w:tc>
        <w:tc>
          <w:tcPr>
            <w:tcW w:w="106" w:type="dxa"/>
            <w:tcBorders/>
            <w:shd w:fill="auto" w:val="clear"/>
            <w:vAlign w:val="bottom"/>
          </w:tcPr>
          <w:p>
            <w:pPr>
              <w:pStyle w:val="TableContents"/>
              <w:spacing w:before="0" w:after="283"/>
              <w:ind w:left="0" w:right="0" w:hanging="0"/>
              <w:jc w:val="center"/>
              <w:rPr/>
            </w:pPr>
            <w:r>
              <w:rPr/>
              <w:t> </w:t>
            </w:r>
          </w:p>
        </w:tc>
        <w:tc>
          <w:tcPr>
            <w:tcW w:w="1221" w:type="dxa"/>
            <w:gridSpan w:val="2"/>
            <w:tcBorders/>
            <w:shd w:fill="auto" w:val="clear"/>
            <w:vAlign w:val="bottom"/>
          </w:tcPr>
          <w:p>
            <w:pPr>
              <w:pStyle w:val="TableContents"/>
              <w:spacing w:before="0" w:after="283"/>
              <w:jc w:val="center"/>
              <w:rPr/>
            </w:pPr>
            <w:r>
              <w:rPr/>
              <w:t> </w:t>
            </w:r>
          </w:p>
        </w:tc>
        <w:tc>
          <w:tcPr>
            <w:tcW w:w="121" w:type="dxa"/>
            <w:tcBorders/>
            <w:shd w:fill="auto" w:val="clear"/>
            <w:vAlign w:val="bottom"/>
          </w:tcPr>
          <w:p>
            <w:pPr>
              <w:pStyle w:val="TableContents"/>
              <w:spacing w:before="0" w:after="283"/>
              <w:jc w:val="left"/>
              <w:rPr/>
            </w:pPr>
            <w:r>
              <w:rPr/>
              <w:t> </w:t>
            </w:r>
          </w:p>
        </w:tc>
      </w:tr>
      <w:tr>
        <w:trPr/>
        <w:tc>
          <w:tcPr>
            <w:tcW w:w="10205" w:type="dxa"/>
            <w:gridSpan w:val="9"/>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17,970,320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Restricted short-term investment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50,034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340,474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61,552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offering costs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596,281</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18,360,828</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10,693,448</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Furniture and equipment, net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15,647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12,548</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18,376,475</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10,705,996</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10205" w:type="dxa"/>
            <w:gridSpan w:val="9"/>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EQUITY</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expenses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868,374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635,384</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Phase 3 expenses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55,784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55,784</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payroll and related liabilities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182,008</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18,391</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1,107,833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709,559</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$0.001 par value, 395,000,000 shares authorized,</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8,961,583 and 6,772,066 shares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June 30, 2013 and December 31, 2012, respectively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8,961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45,047,482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34,093,933</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(27,787,801</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(24,104,268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EQUITY</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17,268,642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9,996,437</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EQUITY</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18,376,475</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10,705,996</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 w:name="PGBRK1"/>
      <w:bookmarkStart w:id="19" w:name="PGBRK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FTR1"/>
      <w:bookmarkStart w:id="21" w:name="FT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 w:name="GLFTR1"/>
      <w:bookmarkEnd w:id="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3" w:name="PN1"/>
      <w:bookmarkEnd w:id="23"/>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4" w:name="GLHDR1"/>
        <w:bookmarkEnd w:id="24"/>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 CONDENSED CONSOLIDATED STATEMENTS OF OPERATIONS</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372"/>
        <w:gridCol w:w="96"/>
        <w:gridCol w:w="125"/>
        <w:gridCol w:w="1029"/>
        <w:gridCol w:w="105"/>
        <w:gridCol w:w="96"/>
        <w:gridCol w:w="125"/>
        <w:gridCol w:w="1029"/>
        <w:gridCol w:w="105"/>
        <w:gridCol w:w="96"/>
        <w:gridCol w:w="125"/>
        <w:gridCol w:w="1029"/>
        <w:gridCol w:w="105"/>
        <w:gridCol w:w="96"/>
        <w:gridCol w:w="124"/>
        <w:gridCol w:w="1029"/>
        <w:gridCol w:w="105"/>
        <w:gridCol w:w="96"/>
        <w:gridCol w:w="125"/>
        <w:gridCol w:w="1076"/>
        <w:gridCol w:w="117"/>
      </w:tblGrid>
      <w:tr>
        <w:trPr/>
        <w:tc>
          <w:tcPr>
            <w:tcW w:w="3372" w:type="dxa"/>
            <w:tcBorders/>
            <w:shd w:fill="auto" w:val="clear"/>
            <w:vAlign w:val="bottom"/>
          </w:tcPr>
          <w:p>
            <w:pPr>
              <w:pStyle w:val="TableContents"/>
              <w:spacing w:before="0" w:after="283"/>
              <w:ind w:left="0" w:right="0" w:hanging="0"/>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3"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201" w:type="dxa"/>
            <w:gridSpan w:val="2"/>
            <w:tcBorders/>
            <w:shd w:fill="auto" w:val="clear"/>
            <w:vAlign w:val="bottom"/>
          </w:tcPr>
          <w:p>
            <w:pPr>
              <w:pStyle w:val="TableContents"/>
              <w:spacing w:before="0" w:after="283"/>
              <w:ind w:left="0" w:right="0" w:hanging="0"/>
              <w:jc w:val="center"/>
              <w:rPr/>
            </w:pPr>
            <w:r>
              <w:rPr/>
              <w:t> </w:t>
            </w:r>
            <w:r>
              <w:rPr>
                <w:rFonts w:ascii="times new roman" w:hAnsi="times new roman"/>
                <w:b/>
                <w:sz w:val="16"/>
              </w:rPr>
              <w:t>For the Period  </w:t>
            </w:r>
          </w:p>
        </w:tc>
        <w:tc>
          <w:tcPr>
            <w:tcW w:w="117" w:type="dxa"/>
            <w:tcBorders/>
            <w:shd w:fill="auto" w:val="clear"/>
            <w:vAlign w:val="bottom"/>
          </w:tcPr>
          <w:p>
            <w:pPr>
              <w:pStyle w:val="TableContents"/>
              <w:spacing w:before="0" w:after="283"/>
              <w:jc w:val="center"/>
              <w:rPr/>
            </w:pPr>
            <w:r>
              <w:rPr/>
              <w:t> </w:t>
            </w:r>
          </w:p>
        </w:tc>
      </w:tr>
      <w:tr>
        <w:trPr/>
        <w:tc>
          <w:tcPr>
            <w:tcW w:w="3372" w:type="dxa"/>
            <w:tcBorders/>
            <w:shd w:fill="auto" w:val="clear"/>
            <w:vAlign w:val="bottom"/>
          </w:tcPr>
          <w:p>
            <w:pPr>
              <w:pStyle w:val="TableContents"/>
              <w:spacing w:before="0" w:after="283"/>
              <w:ind w:left="0" w:right="0" w:hanging="0"/>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3"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From July 24, </w:t>
            </w:r>
          </w:p>
        </w:tc>
        <w:tc>
          <w:tcPr>
            <w:tcW w:w="117" w:type="dxa"/>
            <w:tcBorders/>
            <w:shd w:fill="auto" w:val="clear"/>
            <w:vAlign w:val="bottom"/>
          </w:tcPr>
          <w:p>
            <w:pPr>
              <w:pStyle w:val="TableContents"/>
              <w:spacing w:before="0" w:after="283"/>
              <w:jc w:val="center"/>
              <w:rPr/>
            </w:pPr>
            <w:r>
              <w:rPr/>
              <w:t> </w:t>
            </w:r>
          </w:p>
        </w:tc>
      </w:tr>
      <w:tr>
        <w:trPr/>
        <w:tc>
          <w:tcPr>
            <w:tcW w:w="3372" w:type="dxa"/>
            <w:tcBorders/>
            <w:shd w:fill="auto" w:val="clear"/>
            <w:vAlign w:val="bottom"/>
          </w:tcPr>
          <w:p>
            <w:pPr>
              <w:pStyle w:val="TableContents"/>
              <w:spacing w:before="0" w:after="283"/>
              <w:ind w:left="0" w:right="0" w:hanging="0"/>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3" w:type="dxa"/>
            <w:gridSpan w:val="2"/>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1998 </w:t>
            </w:r>
          </w:p>
        </w:tc>
        <w:tc>
          <w:tcPr>
            <w:tcW w:w="117" w:type="dxa"/>
            <w:tcBorders/>
            <w:shd w:fill="auto" w:val="clear"/>
            <w:vAlign w:val="bottom"/>
          </w:tcPr>
          <w:p>
            <w:pPr>
              <w:pStyle w:val="TableContents"/>
              <w:spacing w:before="0" w:after="283"/>
              <w:jc w:val="center"/>
              <w:rPr/>
            </w:pPr>
            <w:r>
              <w:rPr/>
              <w:t> </w:t>
            </w:r>
          </w:p>
        </w:tc>
      </w:tr>
      <w:tr>
        <w:trPr/>
        <w:tc>
          <w:tcPr>
            <w:tcW w:w="3372" w:type="dxa"/>
            <w:tcBorders/>
            <w:shd w:fill="auto" w:val="clear"/>
            <w:vAlign w:val="bottom"/>
          </w:tcPr>
          <w:p>
            <w:pPr>
              <w:pStyle w:val="TableContents"/>
              <w:spacing w:before="0" w:after="283"/>
              <w:ind w:left="0" w:right="0" w:hanging="0"/>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Six</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Six</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201" w:type="dxa"/>
            <w:gridSpan w:val="2"/>
            <w:tcBorders/>
            <w:shd w:fill="auto" w:val="clear"/>
            <w:vAlign w:val="bottom"/>
          </w:tcPr>
          <w:p>
            <w:pPr>
              <w:pStyle w:val="TableContents"/>
              <w:spacing w:before="0" w:after="283"/>
              <w:ind w:left="0" w:right="0" w:hanging="0"/>
              <w:jc w:val="center"/>
              <w:rPr>
                <w:b/>
              </w:rPr>
            </w:pPr>
            <w:r>
              <w:rPr>
                <w:b/>
              </w:rPr>
              <w:t>(Inception)</w:t>
            </w:r>
          </w:p>
        </w:tc>
        <w:tc>
          <w:tcPr>
            <w:tcW w:w="117" w:type="dxa"/>
            <w:tcBorders/>
            <w:shd w:fill="auto" w:val="clear"/>
            <w:vAlign w:val="bottom"/>
          </w:tcPr>
          <w:p>
            <w:pPr>
              <w:pStyle w:val="TableContents"/>
              <w:spacing w:before="0" w:after="283"/>
              <w:ind w:left="0" w:right="0" w:hanging="0"/>
              <w:jc w:val="center"/>
              <w:rPr/>
            </w:pPr>
            <w:r>
              <w:rPr/>
              <w:t> </w:t>
            </w:r>
          </w:p>
        </w:tc>
      </w:tr>
      <w:tr>
        <w:trPr/>
        <w:tc>
          <w:tcPr>
            <w:tcW w:w="3372"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pPr>
            <w:r>
              <w:rPr/>
              <w:t> </w:t>
            </w:r>
            <w:r>
              <w:rPr>
                <w:rFonts w:ascii="times new roman" w:hAnsi="times new roman"/>
                <w:b/>
                <w:sz w:val="16"/>
              </w:rPr>
              <w:t xml:space="preserve">through </w:t>
            </w:r>
          </w:p>
        </w:tc>
        <w:tc>
          <w:tcPr>
            <w:tcW w:w="117" w:type="dxa"/>
            <w:tcBorders/>
            <w:shd w:fill="auto" w:val="clear"/>
            <w:vAlign w:val="bottom"/>
          </w:tcPr>
          <w:p>
            <w:pPr>
              <w:pStyle w:val="TableContents"/>
              <w:spacing w:before="0" w:after="283"/>
              <w:ind w:left="0" w:right="0" w:hanging="0"/>
              <w:jc w:val="center"/>
              <w:rPr/>
            </w:pPr>
            <w:r>
              <w:rPr/>
              <w:t> </w:t>
            </w:r>
          </w:p>
        </w:tc>
      </w:tr>
      <w:tr>
        <w:trPr/>
        <w:tc>
          <w:tcPr>
            <w:tcW w:w="3372"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17" w:type="dxa"/>
            <w:tcBorders/>
            <w:shd w:fill="auto" w:val="clear"/>
            <w:vAlign w:val="bottom"/>
          </w:tcPr>
          <w:p>
            <w:pPr>
              <w:pStyle w:val="TableContents"/>
              <w:spacing w:before="0" w:after="283"/>
              <w:ind w:left="0" w:right="0" w:hanging="0"/>
              <w:jc w:val="center"/>
              <w:rPr/>
            </w:pPr>
            <w:r>
              <w:rPr/>
              <w:t> </w:t>
            </w:r>
          </w:p>
        </w:tc>
      </w:tr>
      <w:tr>
        <w:trPr/>
        <w:tc>
          <w:tcPr>
            <w:tcW w:w="3372"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1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05" w:type="dxa"/>
            <w:tcBorders/>
            <w:shd w:fill="auto" w:val="clear"/>
            <w:vAlign w:val="bottom"/>
          </w:tcPr>
          <w:p>
            <w:pPr>
              <w:pStyle w:val="TableContents"/>
              <w:spacing w:before="0" w:after="283"/>
              <w:ind w:left="0" w:right="0" w:hanging="0"/>
              <w:jc w:val="center"/>
              <w:rPr/>
            </w:pPr>
            <w:r>
              <w:rPr/>
              <w:t> </w:t>
            </w:r>
          </w:p>
        </w:tc>
        <w:tc>
          <w:tcPr>
            <w:tcW w:w="96" w:type="dxa"/>
            <w:tcBorders/>
            <w:shd w:fill="auto" w:val="clear"/>
            <w:vAlign w:val="bottom"/>
          </w:tcPr>
          <w:p>
            <w:pPr>
              <w:pStyle w:val="TableContents"/>
              <w:spacing w:before="0" w:after="283"/>
              <w:ind w:left="0" w:right="0" w:hanging="0"/>
              <w:jc w:val="center"/>
              <w:rPr/>
            </w:pPr>
            <w:r>
              <w:rPr/>
              <w:t> </w:t>
            </w:r>
          </w:p>
        </w:tc>
        <w:tc>
          <w:tcPr>
            <w:tcW w:w="12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7" w:type="dxa"/>
            <w:tcBorders/>
            <w:shd w:fill="auto" w:val="clear"/>
            <w:vAlign w:val="bottom"/>
          </w:tcPr>
          <w:p>
            <w:pPr>
              <w:pStyle w:val="TableContents"/>
              <w:spacing w:before="0" w:after="283"/>
              <w:jc w:val="left"/>
              <w:rPr/>
            </w:pPr>
            <w:r>
              <w:rPr/>
              <w:t> </w:t>
            </w:r>
          </w:p>
        </w:tc>
      </w:tr>
      <w:tr>
        <w:trPr/>
        <w:tc>
          <w:tcPr>
            <w:tcW w:w="33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96"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53"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201"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License revenues</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105,000</w:t>
            </w:r>
          </w:p>
        </w:tc>
        <w:tc>
          <w:tcPr>
            <w:tcW w:w="117" w:type="dxa"/>
            <w:tcBorders/>
            <w:shd w:fill="CCEEFF" w:val="clear"/>
            <w:vAlign w:val="bottom"/>
          </w:tcPr>
          <w:p>
            <w:pPr>
              <w:pStyle w:val="TableContents"/>
              <w:spacing w:before="0" w:after="283"/>
              <w:jc w:val="left"/>
              <w:rPr/>
            </w:pPr>
            <w:r>
              <w:rPr/>
              <w:t> </w:t>
            </w:r>
          </w:p>
        </w:tc>
      </w:tr>
      <w:tr>
        <w:trPr/>
        <w:tc>
          <w:tcPr>
            <w:tcW w:w="33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1,556,145</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984,667</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2,576,094</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1,293,623</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15,129,795</w:t>
            </w:r>
          </w:p>
        </w:tc>
        <w:tc>
          <w:tcPr>
            <w:tcW w:w="117" w:type="dxa"/>
            <w:tcBorders/>
            <w:shd w:fill="CCEEFF" w:val="clear"/>
            <w:vAlign w:val="bottom"/>
          </w:tcPr>
          <w:p>
            <w:pPr>
              <w:pStyle w:val="TableContents"/>
              <w:spacing w:before="0" w:after="283"/>
              <w:jc w:val="left"/>
              <w:rPr/>
            </w:pPr>
            <w:r>
              <w:rPr/>
              <w:t> </w:t>
            </w:r>
          </w:p>
        </w:tc>
      </w:tr>
      <w:tr>
        <w:trPr/>
        <w:tc>
          <w:tcPr>
            <w:tcW w:w="33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677,347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133,611</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1,132,447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276,574</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10,251,208</w:t>
            </w:r>
          </w:p>
        </w:tc>
        <w:tc>
          <w:tcPr>
            <w:tcW w:w="117" w:type="dxa"/>
            <w:tcBorders/>
            <w:shd w:fill="FFFFFF" w:val="clear"/>
            <w:vAlign w:val="bottom"/>
          </w:tcPr>
          <w:p>
            <w:pPr>
              <w:pStyle w:val="TableContents"/>
              <w:spacing w:before="0" w:after="283"/>
              <w:jc w:val="left"/>
              <w:rPr/>
            </w:pPr>
            <w:r>
              <w:rPr/>
              <w:t> </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(2,230,992</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(1,118,278</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(3,703,541</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(1,470,197</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(25,276,003</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(3,576</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(24,658</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(1,730,892</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12,940</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5,584</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20,008</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5,584</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162,999</w:t>
            </w:r>
          </w:p>
        </w:tc>
        <w:tc>
          <w:tcPr>
            <w:tcW w:w="117" w:type="dxa"/>
            <w:tcBorders/>
            <w:shd w:fill="FFFFFF" w:val="clear"/>
            <w:vAlign w:val="bottom"/>
          </w:tcPr>
          <w:p>
            <w:pPr>
              <w:pStyle w:val="TableContents"/>
              <w:spacing w:before="0" w:after="283"/>
              <w:jc w:val="left"/>
              <w:rPr/>
            </w:pPr>
            <w:r>
              <w:rPr/>
              <w:t> </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extinguishment of debt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(189,323</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17" w:type="dxa"/>
            <w:tcBorders/>
            <w:shd w:fill="FFFFFF" w:val="clear"/>
            <w:vAlign w:val="bottom"/>
          </w:tcPr>
          <w:p>
            <w:pPr>
              <w:pStyle w:val="TableContents"/>
              <w:spacing w:before="0" w:after="283"/>
              <w:jc w:val="left"/>
              <w:rPr/>
            </w:pPr>
            <w:r>
              <w:rPr/>
              <w:t> </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forgiveness of liabilities</w:t>
            </w:r>
          </w:p>
        </w:tc>
        <w:tc>
          <w:tcPr>
            <w:tcW w:w="9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176,505</w:t>
            </w:r>
          </w:p>
        </w:tc>
        <w:tc>
          <w:tcPr>
            <w:tcW w:w="117" w:type="dxa"/>
            <w:tcBorders/>
            <w:shd w:fill="CCEEFF" w:val="clear"/>
            <w:vAlign w:val="bottom"/>
          </w:tcPr>
          <w:p>
            <w:pPr>
              <w:pStyle w:val="TableContents"/>
              <w:spacing w:before="0" w:after="283"/>
              <w:jc w:val="left"/>
              <w:rPr/>
            </w:pPr>
            <w:r>
              <w:rPr/>
              <w:t> </w:t>
            </w:r>
          </w:p>
        </w:tc>
      </w:tr>
      <w:tr>
        <w:trPr/>
        <w:tc>
          <w:tcPr>
            <w:tcW w:w="33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income (expense), net</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12,940</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(187,315</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20,008</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(1,214,484</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(2,211,798</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(2,218,052</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(1,305,593</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(3,683,533</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(2,684,681</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(27,487,801</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dividend to preferred stockholders</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attributable to common stockholders</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(2,218,052</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(1,505,593</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(3,683,533</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(2,884,681</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(27,787,801</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share of common stock, basic and diluted:</w:t>
            </w:r>
          </w:p>
        </w:tc>
        <w:tc>
          <w:tcPr>
            <w:tcW w:w="96"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(0.39</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(0.44</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 shares of common stock</w:t>
            </w:r>
          </w:p>
        </w:tc>
        <w:tc>
          <w:tcPr>
            <w:tcW w:w="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33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basic and diluted</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8,890,668</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3,874,554</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8,342,497</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2,469,171</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 w:name="PGBRK2"/>
      <w:bookmarkStart w:id="26" w:name="PGBRK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FTR2"/>
      <w:bookmarkStart w:id="28" w:name="FTR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 w:name="GLFTR2"/>
      <w:bookmarkEnd w:id="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0" w:name="PN2"/>
      <w:bookmarkEnd w:id="30"/>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HDR"/>
      <w:bookmarkStart w:id="32" w:name="HDR"/>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3" w:name="GLHDR2"/>
        <w:bookmarkEnd w:id="3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 CONDENSED CONSOLIDATED STATEMENTS OF CASH FLOWS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33"/>
        <w:gridCol w:w="104"/>
        <w:gridCol w:w="125"/>
        <w:gridCol w:w="1078"/>
        <w:gridCol w:w="111"/>
        <w:gridCol w:w="104"/>
        <w:gridCol w:w="125"/>
        <w:gridCol w:w="1064"/>
        <w:gridCol w:w="110"/>
        <w:gridCol w:w="104"/>
        <w:gridCol w:w="125"/>
        <w:gridCol w:w="1098"/>
        <w:gridCol w:w="124"/>
      </w:tblGrid>
      <w:tr>
        <w:trPr/>
        <w:tc>
          <w:tcPr>
            <w:tcW w:w="5933" w:type="dxa"/>
            <w:tcBorders/>
            <w:shd w:fill="auto" w:val="clear"/>
            <w:vAlign w:val="bottom"/>
          </w:tcPr>
          <w:p>
            <w:pPr>
              <w:pStyle w:val="TableContents"/>
              <w:spacing w:before="0" w:after="283"/>
              <w:rPr/>
            </w:pPr>
            <w:r>
              <w:rPr/>
              <w:t> </w:t>
            </w:r>
          </w:p>
        </w:tc>
        <w:tc>
          <w:tcPr>
            <w:tcW w:w="1307" w:type="dxa"/>
            <w:gridSpan w:val="3"/>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jc w:val="center"/>
              <w:rPr/>
            </w:pPr>
            <w:r>
              <w:rPr/>
              <w:t> </w:t>
            </w:r>
            <w:r>
              <w:rPr>
                <w:rFonts w:ascii="times new roman" w:hAnsi="times new roman"/>
                <w:b/>
                <w:sz w:val="16"/>
              </w:rPr>
              <w:t>For the Period</w:t>
            </w:r>
          </w:p>
        </w:tc>
        <w:tc>
          <w:tcPr>
            <w:tcW w:w="124"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283"/>
              <w:rPr/>
            </w:pPr>
            <w:r>
              <w:rPr/>
              <w:t> </w:t>
            </w:r>
          </w:p>
        </w:tc>
        <w:tc>
          <w:tcPr>
            <w:tcW w:w="1307" w:type="dxa"/>
            <w:gridSpan w:val="3"/>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From July 24,</w:t>
            </w:r>
          </w:p>
        </w:tc>
        <w:tc>
          <w:tcPr>
            <w:tcW w:w="124"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283"/>
              <w:rPr/>
            </w:pPr>
            <w:r>
              <w:rPr/>
              <w:t> </w:t>
            </w:r>
          </w:p>
        </w:tc>
        <w:tc>
          <w:tcPr>
            <w:tcW w:w="1307" w:type="dxa"/>
            <w:gridSpan w:val="3"/>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jc w:val="center"/>
              <w:rPr>
                <w:b/>
              </w:rPr>
            </w:pPr>
            <w:r>
              <w:rPr>
                <w:rFonts w:ascii="times new roman" w:hAnsi="times new roman"/>
                <w:b/>
                <w:sz w:val="16"/>
              </w:rPr>
              <w:t>1998</w:t>
            </w:r>
            <w:r>
              <w:rPr>
                <w:b/>
              </w:rPr>
              <w:t xml:space="preserve"> </w:t>
            </w:r>
          </w:p>
        </w:tc>
        <w:tc>
          <w:tcPr>
            <w:tcW w:w="124"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283"/>
              <w:rPr/>
            </w:pPr>
            <w:r>
              <w:rPr/>
              <w:t> </w:t>
            </w:r>
          </w:p>
        </w:tc>
        <w:tc>
          <w:tcPr>
            <w:tcW w:w="1307"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Six</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Six</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(Inception)</w:t>
            </w:r>
          </w:p>
        </w:tc>
        <w:tc>
          <w:tcPr>
            <w:tcW w:w="124"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283"/>
              <w:rPr/>
            </w:pPr>
            <w:r>
              <w:rPr/>
              <w:t> </w:t>
            </w:r>
          </w:p>
        </w:tc>
        <w:tc>
          <w:tcPr>
            <w:tcW w:w="1307"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jc w:val="center"/>
              <w:rPr>
                <w:b/>
              </w:rPr>
            </w:pPr>
            <w:r>
              <w:rPr>
                <w:b/>
              </w:rPr>
              <w:t>through</w:t>
            </w:r>
          </w:p>
        </w:tc>
        <w:tc>
          <w:tcPr>
            <w:tcW w:w="124"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283"/>
              <w:rPr/>
            </w:pPr>
            <w:r>
              <w:rPr/>
              <w:t> </w:t>
            </w:r>
          </w:p>
        </w:tc>
        <w:tc>
          <w:tcPr>
            <w:tcW w:w="1307"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pPr>
            <w:r>
              <w:rPr/>
              <w:t> </w:t>
            </w:r>
            <w:r>
              <w:rPr>
                <w:rFonts w:ascii="times new roman" w:hAnsi="times new roman"/>
                <w:b/>
                <w:sz w:val="16"/>
              </w:rPr>
              <w:t>June 30,</w:t>
            </w:r>
          </w:p>
        </w:tc>
        <w:tc>
          <w:tcPr>
            <w:tcW w:w="124"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283"/>
              <w:rPr/>
            </w:pPr>
            <w:r>
              <w:rPr/>
              <w:t> </w:t>
            </w:r>
          </w:p>
        </w:tc>
        <w:tc>
          <w:tcPr>
            <w:tcW w:w="1307"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24"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04"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(3,683,533</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(2,684,681</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(27,487,801</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ind w:left="480" w:right="0" w:hanging="0"/>
              <w:jc w:val="left"/>
              <w:rPr/>
            </w:pPr>
            <w:r>
              <w:rPr/>
              <w:t> </w:t>
            </w:r>
          </w:p>
        </w:tc>
      </w:tr>
      <w:tr>
        <w:trPr/>
        <w:tc>
          <w:tcPr>
            <w:tcW w:w="5933" w:type="dxa"/>
            <w:tcBorders/>
            <w:shd w:fill="FFFF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contributed services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forgiveness of liabilities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(176,505</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prepaid consulting fees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807,608</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2,073</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8,171</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extinguishment of debt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Non-cash interest on notes payable</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24,658</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1,730,892</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1,448,384</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848,038</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5,733,812</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Payments made on behalf of Company by related party</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254,142</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assets and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consulting costs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(278,956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(31,148</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(340,508</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expenses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283,984</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117,156</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823,945</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Phase 3 expenses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payroll and related liabilities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163,617</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11,915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268,599</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1,667</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1,667</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(2,062,764</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(617,405</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(14,733,697</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restricted short-term investment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Purchases of furniture and equipment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(5,172</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(15,308</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(23,818</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(55,172</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(15,308</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(73,818</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Payment for settlement of shares in connection with</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ind w:left="480" w:right="0" w:hanging="0"/>
              <w:jc w:val="left"/>
              <w:rPr/>
            </w:pPr>
            <w:r>
              <w:rPr/>
              <w:t> </w:t>
            </w:r>
          </w:p>
        </w:tc>
      </w:tr>
      <w:tr>
        <w:trPr/>
        <w:tc>
          <w:tcPr>
            <w:tcW w:w="5933" w:type="dxa"/>
            <w:tcBorders/>
            <w:shd w:fill="FFFF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reverse stock split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(191</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(191</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issuance of notes payable to a related party</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976,300</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received in connection with debt modification</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issuance of preferred stock</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notes payable</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2,500,000</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deemed dividend paid at conversion</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advances from related party</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Repayment of advances from related party</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(281,679</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contributions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168,707</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purchase of common stock and</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ind w:left="480" w:right="0" w:hanging="0"/>
              <w:jc w:val="left"/>
              <w:rPr/>
            </w:pPr>
            <w:r>
              <w:rPr/>
              <w:t> </w:t>
            </w:r>
          </w:p>
        </w:tc>
      </w:tr>
      <w:tr>
        <w:trPr/>
        <w:tc>
          <w:tcPr>
            <w:tcW w:w="5933" w:type="dxa"/>
            <w:tcBorders/>
            <w:shd w:fill="CCEE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exercise of warrants and stock options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100,250</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issuance of common stock and warrants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ind w:left="480" w:right="0" w:hanging="0"/>
              <w:jc w:val="left"/>
              <w:rPr/>
            </w:pPr>
            <w:r>
              <w:rPr/>
              <w:t> </w:t>
            </w:r>
          </w:p>
        </w:tc>
      </w:tr>
      <w:tr>
        <w:trPr/>
        <w:tc>
          <w:tcPr>
            <w:tcW w:w="5933" w:type="dxa"/>
            <w:tcBorders/>
            <w:shd w:fill="FFFF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for cash, net of offering costs</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10,052,832</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7,903,845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29,336,911</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10,052,641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8,203,845</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32,777,835</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7,934,705</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7,571,132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17,970,320</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beginning of period</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end of period</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17,970,320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7,717,292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17,970,320</w:t>
            </w:r>
          </w:p>
        </w:tc>
        <w:tc>
          <w:tcPr>
            <w:tcW w:w="124" w:type="dxa"/>
            <w:tcBorders/>
            <w:shd w:fill="FFFFFF" w:val="clear"/>
            <w:vAlign w:val="bottom"/>
          </w:tcPr>
          <w:p>
            <w:pPr>
              <w:pStyle w:val="TableContents"/>
              <w:spacing w:before="0" w:after="283"/>
              <w:jc w:val="left"/>
              <w:rPr/>
            </w:pPr>
            <w:r>
              <w:rPr/>
              <w:t> </w:t>
            </w:r>
          </w:p>
        </w:tc>
      </w:tr>
      <w:tr>
        <w:trPr/>
        <w:tc>
          <w:tcPr>
            <w:tcW w:w="7240"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paid for income taxes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13,600</w:t>
            </w:r>
          </w:p>
        </w:tc>
        <w:tc>
          <w:tcPr>
            <w:tcW w:w="124" w:type="dxa"/>
            <w:tcBorders/>
            <w:shd w:fill="FFFFFF" w:val="clear"/>
            <w:vAlign w:val="bottom"/>
          </w:tcPr>
          <w:p>
            <w:pPr>
              <w:pStyle w:val="TableContents"/>
              <w:spacing w:before="0" w:after="283"/>
              <w:jc w:val="left"/>
              <w:rPr/>
            </w:pPr>
            <w:r>
              <w:rPr/>
              <w:t> </w:t>
            </w:r>
          </w:p>
        </w:tc>
      </w:tr>
      <w:tr>
        <w:trPr/>
        <w:tc>
          <w:tcPr>
            <w:tcW w:w="7240"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DISCLOSURES OF NON-CASH INVESTING</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 FINANCING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ind w:left="480" w:right="0" w:hanging="0"/>
              <w:jc w:val="left"/>
              <w:rPr/>
            </w:pPr>
            <w:r>
              <w:rPr/>
              <w:t> </w:t>
            </w:r>
          </w:p>
        </w:tc>
      </w:tr>
      <w:tr>
        <w:trPr/>
        <w:tc>
          <w:tcPr>
            <w:tcW w:w="5933" w:type="dxa"/>
            <w:tcBorders/>
            <w:shd w:fill="FFFF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consulting firms for prepaid consulting fees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432,007</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offering costs in connection with equity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ind w:left="480" w:right="0" w:hanging="0"/>
              <w:jc w:val="left"/>
              <w:rPr/>
            </w:pPr>
            <w:r>
              <w:rPr/>
              <w:t> </w:t>
            </w:r>
          </w:p>
        </w:tc>
      </w:tr>
      <w:tr>
        <w:trPr/>
        <w:tc>
          <w:tcPr>
            <w:tcW w:w="5933" w:type="dxa"/>
            <w:tcBorders/>
            <w:shd w:fill="CCEE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offering recorded in account payable</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87,732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related party accounts payable into common stock</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notes payable and accrued interest into</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ind w:left="480" w:right="0" w:hanging="0"/>
              <w:jc w:val="left"/>
              <w:rPr/>
            </w:pPr>
            <w:r>
              <w:rPr/>
              <w:t> </w:t>
            </w:r>
          </w:p>
        </w:tc>
      </w:tr>
      <w:tr>
        <w:trPr/>
        <w:tc>
          <w:tcPr>
            <w:tcW w:w="5933" w:type="dxa"/>
            <w:tcBorders/>
            <w:shd w:fill="CCEE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common stock</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1,905,137</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3,435,314</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payable and accrued interest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ind w:left="480" w:right="0" w:hanging="0"/>
              <w:jc w:val="left"/>
              <w:rPr/>
            </w:pPr>
            <w:r>
              <w:rPr/>
              <w:t> </w:t>
            </w:r>
          </w:p>
        </w:tc>
      </w:tr>
      <w:tr>
        <w:trPr/>
        <w:tc>
          <w:tcPr>
            <w:tcW w:w="5933" w:type="dxa"/>
            <w:tcBorders/>
            <w:shd w:fill="FFFF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shareholders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advances to notes payable to shareholders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196,300</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Accretion of preferred stock discount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Related party acquisition of Phase 3 liabilities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preferred stock into common stock</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4"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Reclassification of deferred offering costs in connection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ind w:left="480" w:right="0" w:hanging="0"/>
              <w:jc w:val="left"/>
              <w:rPr/>
            </w:pPr>
            <w:r>
              <w:rPr/>
              <w:t> </w:t>
            </w:r>
          </w:p>
        </w:tc>
      </w:tr>
      <w:tr>
        <w:trPr/>
        <w:tc>
          <w:tcPr>
            <w:tcW w:w="5933" w:type="dxa"/>
            <w:tcBorders/>
            <w:shd w:fill="CCEE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with equity offering</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596,281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596,281</w:t>
            </w:r>
          </w:p>
        </w:tc>
        <w:tc>
          <w:tcPr>
            <w:tcW w:w="124"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for consulting services included</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ind w:left="480" w:right="0" w:hanging="0"/>
              <w:jc w:val="left"/>
              <w:rPr/>
            </w:pPr>
            <w:r>
              <w:rPr/>
              <w:t> </w:t>
            </w:r>
          </w:p>
        </w:tc>
      </w:tr>
      <w:tr>
        <w:trPr/>
        <w:tc>
          <w:tcPr>
            <w:tcW w:w="5933" w:type="dxa"/>
            <w:tcBorders/>
            <w:shd w:fill="FFFFFF" w:val="clear"/>
            <w:vAlign w:val="bottom"/>
          </w:tcPr>
          <w:p>
            <w:pPr>
              <w:pStyle w:val="TableContents"/>
              <w:spacing w:before="0" w:after="0"/>
              <w:ind w:left="960" w:right="0" w:hanging="0"/>
              <w:jc w:val="left"/>
              <w:rPr>
                <w:rFonts w:ascii="times new roman" w:hAnsi="times new roman"/>
                <w:sz w:val="20"/>
              </w:rPr>
            </w:pPr>
            <w:r>
              <w:rPr>
                <w:rFonts w:ascii="times new roman" w:hAnsi="times new roman"/>
                <w:sz w:val="20"/>
              </w:rPr>
              <w:t>in accounts payable and accrued expenses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139,444</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139,444</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 w:name="PGBRK3"/>
      <w:bookmarkStart w:id="35" w:name="PGBRK3"/>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FTR3"/>
      <w:bookmarkStart w:id="37" w:name="FTR3"/>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 w:name="GLFTR3"/>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9" w:name="PN3"/>
      <w:bookmarkEnd w:id="39"/>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HDR1"/>
      <w:bookmarkStart w:id="41" w:name="HDR1"/>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2" w:name="GLHDR3"/>
        <w:bookmarkEnd w:id="4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THE UNAUDITED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For the six months ended June 30, 2013 and 2012 and the period from July 24, 1998 (Inception) through June 30, 2013</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 1. OVERVIEW AND BASIS OF PRESENTATION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Company and Background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Imprimis Pharmaceuticals, Inc. (“Imprimis”, the “Company”, “we”, “us”, or “our”) is a specialty pharmaceutical company focused on the commercial development of compounded drug formulations. Imprimis expects to use its proprietary Accudel™ drug delivery technologies, proprietary drug formulations, and its exclusive relationship with Professional Compounding Centers of America, Inc. (“PCCA”), to identify pharmaceutical development opportunities where there are significant unmet medical needs.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most near term drug candidate, Impracor™, utilizes its patented Accudel topical cream formulation to enable highly targeted site-specific treatment. Impracor, which is a Phase 3 clinical trial pain product candidate, delivers the active pharmaceutical ingredient (API), ketoprofen, a non-steroidal anti-inflammatory drug (NSAID), through the skin directly into the underlying tissues where the drug exerts its localized anti-inflammatory and analgesic effects.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and on February 7, 2013, the Company effected a one-for-five reverse stock split. All share and per share amounts and calculations in this report reflect the effects of these reverse stock splits.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six months ended June 30, 2013 are not necessarily indicative of the results that may be expected for the year ending December 31, 2013. For further information, refer to the Company’s audited consolidated financial statements and footnotes thereto included in the Company’s Annual Report on Form 10-K for the year ended December 31, 2012.</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4"/>
      <w:bookmarkStart w:id="44" w:name="PGBRK4"/>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4"/>
      <w:bookmarkStart w:id="46" w:name="FTR4"/>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 w:name="GLFTR4"/>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8" w:name="PN4"/>
      <w:bookmarkEnd w:id="48"/>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2"/>
      <w:bookmarkStart w:id="50" w:name="HDR2"/>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51" w:name="GLHDR4"/>
        <w:bookmarkEnd w:id="5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Development Stage Enterprise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a development stage company as defined under Financial Accounting Standards Board (“FASB”) guidance. All losses accumulated since inception have been considered as part of the Company’s development stage activities.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These condensed consolidated financial statements contemplate the realization of assets and the satisfaction of liabilities in the normal course of business. The Company is a development stage enterprise and has incurred recurring operating losses, has had negative operating cash flows and has not recognized any significant revenues since July 24, 1998 (Inception). In addition, the Company has a deficit accumulated during the development stage of approximately $27.8 million at June 30, 2013, and anticipates incurring further losses through the remainder of the fiscal year 2013 and beyond. The Company has not yet generated significant sales revenue and has funded its operating losses to date through debt and equity offerings and borrowings under its line of credit. The Company believes that its existing cash and cash equivalents will be sufficient to cover its cash flow requirements for at least the next twelve months.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it has identified an alternative future use. No costs associated with acquiring intellectual property rights have been capitalized to date. Costs of maintaining intellectual property rights are expensed as incurred.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expenses all costs related to research and development as they are incurred. Research and development expenses consist of expenses incurred in performing research and development activities including salaries and benefits, and other overhead expenses, clinical trials, contract services and outsourced contracts.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Revenue Recognition and Deferred Revenue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will recognize revenues when all of the following criteria have been met: (1) persuasive evidence of an arrangement exists; (2) delivery has occurred; (3) the selling price is fixed and determinable; and (4) collectability is reasonably assured. The Company believes it will not generate significant revenues until one or more of its drug candidates are approved by the U.S. Food and Drug Administration (“FDA”) and the Company is able to commercialize one or more of its product candidates. Also, effective sales and marketing support must be in place for either the drug candidates or any other products the Company may develop in order to generate any revenues. The FDA approval process is highly uncertain and the Company cannot estimate when it will generate revenues at this time from sales of its products.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Product Revenues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Determination of criteria (3) and (4) will be based on management’s judgments regarding the fixed nature of the selling prices of the products delivered and the collectability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License Revenues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License arrangements may consist of non-refundable upfront license fees, data transfer fees, research reimbursement payments, exclusive licensed rights to patented or patent pending compounds, technology access fees, and various performance or sales milestones. These arrangements can be multiple element arrangements.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Non-refundable, up-front fees that are not contingent on any future performance by us, and require no consequential continuing involvement on our part, are recognized as revenue when the license term commences and the licensed data, technology and/or compound is delivered. Such deliverables may include physical quantities of compounds, design of the compounds and structure-activity relationships, the conceptual framework and mechanism of action, and rights to the patents or patents pending for such compounds. We defer recognition of non-refundable upfront fees if we have continuing performance obligations without which the technology, right, product or service conveyed in conjunction with the non-refundable fee has no utility to the licensee that is separate and independent of our performance under the other elements of the arrangement. In addition, if we have required continuing involvement through research and development services that are related to our proprietary know-how and expertise of the delivered technology, or can only be performed by us, then such up-front fees are deferred and recognized over the period of continuing involvement. Guaranteed minimum annual royalties are recognized on a straight-line basis over the applicable term.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 w:name="PGBRK5"/>
      <w:bookmarkStart w:id="53" w:name="PGBRK5"/>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 w:name="FTR5"/>
      <w:bookmarkStart w:id="55" w:name="FTR5"/>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6" w:name="GLFTR5"/>
      <w:bookmarkEnd w:id="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57" w:name="PN5"/>
      <w:bookmarkEnd w:id="57"/>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 w:name="HDR3"/>
      <w:bookmarkStart w:id="59" w:name="HDR3"/>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60" w:name="GLHDR5"/>
        <w:bookmarkEnd w:id="6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three and six months ended June 30, 2013, the Company recorded $2,500 and $5,000 in revenues, respectively, for non-refundable royalty advances. In January 2013, the Company entered into a license agreement with resolutionMD, LLC granting resolutionMD, LLC rights to its Accudel delivery technology to be used for anti-cellulite formulations. Under the license agreement, the Company will receive $10,000 as a guaranteed minimum royalty amount for fiscal 2013 and, if applicable, additional royalty payments based on a percent (generally, 5%-7%) of net sales of any products covered under the license agreement. The license agreement with resolutionMD, LLC, unless terminated earlier, has a term of ten years following the first commercial sale of a product that is covered under the license agreement. The Company does not anticipate that the license agreement with resolutionMD, LLC will generate significant revenues for the 2013 fiscal year.</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Income Taxes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accounts for income taxes under the provisions of Accounting Standards Codification (“ASC”) 740, “Income Taxes”, or ASC 740. As of June 30, 2013, there were no unrecognized tax benefits included in the condensed consolidated balance sheets that would, if recognized, affect the effective tax rate. The Company’s practice is to recognize interest and/or penalties related to income tax matters in income tax expense. The Company had no accrual for interest or penalties in its condensed consolidated balance sheets at June 30, 2013 and December 31, 2012, and has not recognized interest and/or penalties in the consolidated statements of operations for the periods ended June 30, 2013 and 2012. The Company is subject to taxation in the United States and California. The Company’s tax years for 2000 and forward are subject to examination by the federal and state tax authorities due to the carry forward of unutilized net operating losses.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Cash and Cash Equivalents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equivalents include short-term, highly liquid investments with maturities of three months or less at the time of acquisition.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Concentrations of Credit Risk</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places its cash with financial institutions deemed by management to be of high credit quality. The Federal Deposit Insurance Corporation (“FDIC”) provides basic deposit coverage with limits to $250,000 per owner. At June 30, 2013, the Company had approximately $17.7 million in cash deposits in excess of FDIC limits.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Deferred Offering Costs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25, 2012, the Company filed with the Securities and Exchange Commission a registration statement on Form S-1 (as amended, the “Registration Statement”) in connection with an underwritten public offering of its common stock (the “Public Offering”). At December 31, 2012, the Company had deferred offering costs of $596,281 for legal, accounting and other expenses directly related to the Public Offering. The Public Offering closed on February 13, 2013 (see Note 4), and these deferred offering costs and any other costs directly associated with the Public Offering subsequent to December 31, 2012 were netted against the cash proceeds to the Company arising from the Public Offering. As a result, there were no deferred offering costs at June 30, 2013.</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Furniture and Equipment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Furniture and equipment is stated at cost less accumulated depreciation. Depreciation is calculated using the straight-line method over the estimated useful lives of three to five years.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Deferred Rent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 w:name="PGBRK6"/>
      <w:bookmarkStart w:id="62" w:name="PGBRK6"/>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 w:name="FTR6"/>
      <w:bookmarkStart w:id="64" w:name="FTR6"/>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5" w:name="GLFTR6"/>
      <w:bookmarkEnd w:id="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66" w:name="PN6"/>
      <w:bookmarkEnd w:id="66"/>
      <w:r>
        <w:rPr>
          <w:rFonts w:ascii="effontselection" w:hAnsi="effontselectio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HDR4"/>
      <w:bookmarkStart w:id="68" w:name="HDR4"/>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69" w:name="GLHDR6"/>
        <w:bookmarkEnd w:id="6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58"/>
        <w:gridCol w:w="9847"/>
      </w:tblGrid>
      <w:tr>
        <w:trPr/>
        <w:tc>
          <w:tcPr>
            <w:tcW w:w="358" w:type="dxa"/>
            <w:tcBorders/>
            <w:shd w:fill="auto" w:val="clear"/>
          </w:tcPr>
          <w:p>
            <w:pPr>
              <w:pStyle w:val="TableContents"/>
              <w:spacing w:before="0" w:after="0"/>
              <w:ind w:left="0" w:right="0" w:hanging="0"/>
              <w:jc w:val="both"/>
              <w:rPr/>
            </w:pPr>
            <w:r>
              <w:rPr/>
              <w:t>●</w:t>
            </w:r>
          </w:p>
        </w:tc>
        <w:tc>
          <w:tcPr>
            <w:tcW w:w="98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358" w:type="dxa"/>
            <w:tcBorders/>
            <w:shd w:fill="auto" w:val="clear"/>
          </w:tcPr>
          <w:p>
            <w:pPr>
              <w:pStyle w:val="TableContents"/>
              <w:spacing w:before="0" w:after="0"/>
              <w:ind w:left="0" w:right="0" w:hanging="0"/>
              <w:jc w:val="both"/>
              <w:rPr/>
            </w:pPr>
            <w:r>
              <w:rPr/>
              <w:t>●</w:t>
            </w:r>
          </w:p>
        </w:tc>
        <w:tc>
          <w:tcPr>
            <w:tcW w:w="98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58" w:type="dxa"/>
            <w:tcBorders/>
            <w:shd w:fill="auto" w:val="clear"/>
          </w:tcPr>
          <w:p>
            <w:pPr>
              <w:pStyle w:val="TableContents"/>
              <w:spacing w:before="0" w:after="0"/>
              <w:ind w:left="0" w:right="0" w:hanging="0"/>
              <w:jc w:val="both"/>
              <w:rPr/>
            </w:pPr>
            <w:r>
              <w:rPr/>
              <w:t>●</w:t>
            </w:r>
          </w:p>
        </w:tc>
        <w:tc>
          <w:tcPr>
            <w:tcW w:w="98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June 30, 2013 and December 31, 2012, the Company did not have any financial assets or liabilities which are measured on a recurring basis. At June 30, 2013 and December 31, 2012, the Company’s financial instruments include cash and cash equivalents, a restricted short-term investment, accounts payable and accrued expenses, accrued Phase 3 expenses and accrued payroll and related liabilities. The carrying amount of these financial instruments, except for the restricted short-term investment, approximates fair value due to the short-term maturities of these instruments. The Company’s restricted short-term investment is carried at amortized cost which approximates fair value.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stock-based payments to employees, including grants of stock options to employees, directors and consultants, warrants and restricted stock grants, are recognized in the condensed consolidated financial statements based upon their fair values.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condensed consolidated balance sheets.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stock-based compensation related to equity instruments granted to employees, directors and consultants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849"/>
        <w:gridCol w:w="104"/>
        <w:gridCol w:w="125"/>
        <w:gridCol w:w="991"/>
        <w:gridCol w:w="104"/>
        <w:gridCol w:w="104"/>
        <w:gridCol w:w="125"/>
        <w:gridCol w:w="991"/>
        <w:gridCol w:w="104"/>
        <w:gridCol w:w="103"/>
        <w:gridCol w:w="125"/>
        <w:gridCol w:w="1038"/>
        <w:gridCol w:w="104"/>
        <w:gridCol w:w="104"/>
        <w:gridCol w:w="125"/>
        <w:gridCol w:w="991"/>
        <w:gridCol w:w="118"/>
      </w:tblGrid>
      <w:tr>
        <w:trPr/>
        <w:tc>
          <w:tcPr>
            <w:tcW w:w="4849" w:type="dxa"/>
            <w:tcBorders/>
            <w:shd w:fill="auto" w:val="clear"/>
            <w:vAlign w:val="bottom"/>
          </w:tcPr>
          <w:p>
            <w:pPr>
              <w:pStyle w:val="TableContents"/>
              <w:spacing w:before="0" w:after="283"/>
              <w:ind w:left="0" w:right="0" w:hanging="0"/>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04" w:type="dxa"/>
            <w:tcBorders/>
            <w:shd w:fill="auto" w:val="clear"/>
            <w:vAlign w:val="bottom"/>
          </w:tcPr>
          <w:p>
            <w:pPr>
              <w:pStyle w:val="TableContents"/>
              <w:spacing w:before="0" w:after="283"/>
              <w:ind w:left="0" w:right="0" w:hanging="0"/>
              <w:jc w:val="center"/>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04" w:type="dxa"/>
            <w:tcBorders/>
            <w:shd w:fill="auto" w:val="clear"/>
            <w:vAlign w:val="bottom"/>
          </w:tcPr>
          <w:p>
            <w:pPr>
              <w:pStyle w:val="TableContents"/>
              <w:spacing w:before="0" w:after="283"/>
              <w:ind w:left="0" w:right="0" w:hanging="0"/>
              <w:jc w:val="center"/>
              <w:rPr/>
            </w:pPr>
            <w:r>
              <w:rPr/>
              <w:t> </w:t>
            </w:r>
          </w:p>
        </w:tc>
        <w:tc>
          <w:tcPr>
            <w:tcW w:w="103" w:type="dxa"/>
            <w:tcBorders/>
            <w:shd w:fill="auto" w:val="clear"/>
            <w:vAlign w:val="bottom"/>
          </w:tcPr>
          <w:p>
            <w:pPr>
              <w:pStyle w:val="TableContents"/>
              <w:spacing w:before="0" w:after="283"/>
              <w:ind w:left="0" w:right="0" w:hanging="0"/>
              <w:jc w:val="center"/>
              <w:rPr/>
            </w:pPr>
            <w:r>
              <w:rPr/>
              <w:t> </w:t>
            </w:r>
          </w:p>
        </w:tc>
        <w:tc>
          <w:tcPr>
            <w:tcW w:w="116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Six</w:t>
            </w:r>
          </w:p>
        </w:tc>
        <w:tc>
          <w:tcPr>
            <w:tcW w:w="104" w:type="dxa"/>
            <w:tcBorders/>
            <w:shd w:fill="auto" w:val="clear"/>
            <w:vAlign w:val="bottom"/>
          </w:tcPr>
          <w:p>
            <w:pPr>
              <w:pStyle w:val="TableContents"/>
              <w:spacing w:before="0" w:after="283"/>
              <w:ind w:left="0" w:right="0" w:hanging="0"/>
              <w:jc w:val="center"/>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Six</w:t>
            </w:r>
          </w:p>
        </w:tc>
        <w:tc>
          <w:tcPr>
            <w:tcW w:w="118" w:type="dxa"/>
            <w:tcBorders/>
            <w:shd w:fill="auto" w:val="clear"/>
            <w:vAlign w:val="bottom"/>
          </w:tcPr>
          <w:p>
            <w:pPr>
              <w:pStyle w:val="TableContents"/>
              <w:spacing w:before="0" w:after="283"/>
              <w:ind w:left="0" w:right="0" w:hanging="0"/>
              <w:jc w:val="center"/>
              <w:rPr/>
            </w:pPr>
            <w:r>
              <w:rPr/>
              <w:t> </w:t>
            </w:r>
          </w:p>
        </w:tc>
      </w:tr>
      <w:tr>
        <w:trPr/>
        <w:tc>
          <w:tcPr>
            <w:tcW w:w="4849" w:type="dxa"/>
            <w:tcBorders/>
            <w:shd w:fill="auto" w:val="clear"/>
            <w:vAlign w:val="bottom"/>
          </w:tcPr>
          <w:p>
            <w:pPr>
              <w:pStyle w:val="TableContents"/>
              <w:spacing w:before="0" w:after="283"/>
              <w:ind w:left="0" w:right="0" w:hanging="0"/>
              <w:jc w:val="center"/>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4" w:type="dxa"/>
            <w:tcBorders/>
            <w:shd w:fill="auto" w:val="clear"/>
            <w:vAlign w:val="bottom"/>
          </w:tcPr>
          <w:p>
            <w:pPr>
              <w:pStyle w:val="TableContents"/>
              <w:spacing w:before="0" w:after="283"/>
              <w:ind w:left="0" w:right="0" w:hanging="0"/>
              <w:jc w:val="center"/>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4" w:type="dxa"/>
            <w:tcBorders/>
            <w:shd w:fill="auto" w:val="clear"/>
            <w:vAlign w:val="bottom"/>
          </w:tcPr>
          <w:p>
            <w:pPr>
              <w:pStyle w:val="TableContents"/>
              <w:spacing w:before="0" w:after="283"/>
              <w:ind w:left="0" w:right="0" w:hanging="0"/>
              <w:jc w:val="center"/>
              <w:rPr/>
            </w:pPr>
            <w:r>
              <w:rPr/>
              <w:t> </w:t>
            </w:r>
          </w:p>
        </w:tc>
        <w:tc>
          <w:tcPr>
            <w:tcW w:w="103" w:type="dxa"/>
            <w:tcBorders/>
            <w:shd w:fill="auto" w:val="clear"/>
            <w:vAlign w:val="bottom"/>
          </w:tcPr>
          <w:p>
            <w:pPr>
              <w:pStyle w:val="TableContents"/>
              <w:spacing w:before="0" w:after="283"/>
              <w:ind w:left="0" w:right="0" w:hanging="0"/>
              <w:jc w:val="center"/>
              <w:rPr/>
            </w:pPr>
            <w:r>
              <w:rPr/>
              <w:t> </w:t>
            </w:r>
          </w:p>
        </w:tc>
        <w:tc>
          <w:tcPr>
            <w:tcW w:w="116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4" w:type="dxa"/>
            <w:tcBorders/>
            <w:shd w:fill="auto" w:val="clear"/>
            <w:vAlign w:val="bottom"/>
          </w:tcPr>
          <w:p>
            <w:pPr>
              <w:pStyle w:val="TableContents"/>
              <w:spacing w:before="0" w:after="283"/>
              <w:ind w:left="0" w:right="0" w:hanging="0"/>
              <w:jc w:val="center"/>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8" w:type="dxa"/>
            <w:tcBorders/>
            <w:shd w:fill="auto" w:val="clear"/>
            <w:vAlign w:val="bottom"/>
          </w:tcPr>
          <w:p>
            <w:pPr>
              <w:pStyle w:val="TableContents"/>
              <w:spacing w:before="0" w:after="283"/>
              <w:ind w:left="0" w:right="0" w:hanging="0"/>
              <w:jc w:val="center"/>
              <w:rPr/>
            </w:pPr>
            <w:r>
              <w:rPr/>
              <w:t> </w:t>
            </w:r>
          </w:p>
        </w:tc>
      </w:tr>
      <w:tr>
        <w:trPr/>
        <w:tc>
          <w:tcPr>
            <w:tcW w:w="4849" w:type="dxa"/>
            <w:tcBorders/>
            <w:shd w:fill="auto" w:val="clear"/>
            <w:vAlign w:val="bottom"/>
          </w:tcPr>
          <w:p>
            <w:pPr>
              <w:pStyle w:val="TableContents"/>
              <w:spacing w:before="0" w:after="283"/>
              <w:ind w:left="0" w:right="0" w:hanging="0"/>
              <w:jc w:val="center"/>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4" w:type="dxa"/>
            <w:tcBorders/>
            <w:shd w:fill="auto" w:val="clear"/>
            <w:vAlign w:val="bottom"/>
          </w:tcPr>
          <w:p>
            <w:pPr>
              <w:pStyle w:val="TableContents"/>
              <w:spacing w:before="0" w:after="283"/>
              <w:ind w:left="0" w:right="0" w:hanging="0"/>
              <w:jc w:val="center"/>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04" w:type="dxa"/>
            <w:tcBorders/>
            <w:shd w:fill="auto" w:val="clear"/>
            <w:vAlign w:val="bottom"/>
          </w:tcPr>
          <w:p>
            <w:pPr>
              <w:pStyle w:val="TableContents"/>
              <w:spacing w:before="0" w:after="283"/>
              <w:ind w:left="0" w:right="0" w:hanging="0"/>
              <w:jc w:val="center"/>
              <w:rPr/>
            </w:pPr>
            <w:r>
              <w:rPr/>
              <w:t> </w:t>
            </w:r>
          </w:p>
        </w:tc>
        <w:tc>
          <w:tcPr>
            <w:tcW w:w="103" w:type="dxa"/>
            <w:tcBorders/>
            <w:shd w:fill="auto" w:val="clear"/>
            <w:vAlign w:val="bottom"/>
          </w:tcPr>
          <w:p>
            <w:pPr>
              <w:pStyle w:val="TableContents"/>
              <w:spacing w:before="0" w:after="283"/>
              <w:ind w:left="0" w:right="0" w:hanging="0"/>
              <w:jc w:val="center"/>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4" w:type="dxa"/>
            <w:tcBorders/>
            <w:shd w:fill="auto" w:val="clear"/>
            <w:vAlign w:val="bottom"/>
          </w:tcPr>
          <w:p>
            <w:pPr>
              <w:pStyle w:val="TableContents"/>
              <w:spacing w:before="0" w:after="283"/>
              <w:ind w:left="0" w:right="0" w:hanging="0"/>
              <w:jc w:val="center"/>
              <w:rPr/>
            </w:pPr>
            <w:r>
              <w:rPr/>
              <w:t> </w:t>
            </w:r>
          </w:p>
        </w:tc>
        <w:tc>
          <w:tcPr>
            <w:tcW w:w="104" w:type="dxa"/>
            <w:tcBorders/>
            <w:shd w:fill="auto" w:val="clear"/>
            <w:vAlign w:val="bottom"/>
          </w:tcPr>
          <w:p>
            <w:pPr>
              <w:pStyle w:val="TableContents"/>
              <w:spacing w:before="0" w:after="283"/>
              <w:ind w:left="0" w:right="0" w:hanging="0"/>
              <w:jc w:val="center"/>
              <w:rPr/>
            </w:pPr>
            <w:r>
              <w:rPr/>
              <w:t> </w:t>
            </w:r>
          </w:p>
        </w:tc>
        <w:tc>
          <w:tcPr>
            <w:tcW w:w="11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8" w:type="dxa"/>
            <w:tcBorders/>
            <w:shd w:fill="auto" w:val="clear"/>
            <w:vAlign w:val="bottom"/>
          </w:tcPr>
          <w:p>
            <w:pPr>
              <w:pStyle w:val="TableContents"/>
              <w:spacing w:before="0" w:after="283"/>
              <w:jc w:val="left"/>
              <w:rPr/>
            </w:pPr>
            <w:r>
              <w:rPr/>
              <w:t> </w:t>
            </w:r>
          </w:p>
        </w:tc>
      </w:tr>
      <w:tr>
        <w:trPr/>
        <w:tc>
          <w:tcPr>
            <w:tcW w:w="484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Employees - selling, general and administrative</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378,895</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115,634</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464,898</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118,224</w:t>
            </w:r>
          </w:p>
        </w:tc>
        <w:tc>
          <w:tcPr>
            <w:tcW w:w="118" w:type="dxa"/>
            <w:tcBorders/>
            <w:shd w:fill="CCEEFF" w:val="clear"/>
            <w:vAlign w:val="bottom"/>
          </w:tcPr>
          <w:p>
            <w:pPr>
              <w:pStyle w:val="TableContents"/>
              <w:spacing w:before="0" w:after="283"/>
              <w:jc w:val="left"/>
              <w:rPr/>
            </w:pPr>
            <w:r>
              <w:rPr/>
              <w:t> </w:t>
            </w:r>
          </w:p>
        </w:tc>
      </w:tr>
      <w:tr>
        <w:trPr/>
        <w:tc>
          <w:tcPr>
            <w:tcW w:w="484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Employees - research and development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44,619</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40,866</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111,750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82,412</w:t>
            </w:r>
          </w:p>
        </w:tc>
        <w:tc>
          <w:tcPr>
            <w:tcW w:w="118" w:type="dxa"/>
            <w:tcBorders/>
            <w:shd w:fill="FFFFFF" w:val="clear"/>
            <w:vAlign w:val="bottom"/>
          </w:tcPr>
          <w:p>
            <w:pPr>
              <w:pStyle w:val="TableContents"/>
              <w:spacing w:before="0" w:after="283"/>
              <w:jc w:val="left"/>
              <w:rPr/>
            </w:pPr>
            <w:r>
              <w:rPr/>
              <w:t> </w:t>
            </w:r>
          </w:p>
        </w:tc>
      </w:tr>
      <w:tr>
        <w:trPr/>
        <w:tc>
          <w:tcPr>
            <w:tcW w:w="484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Directors - selling, general and administrative</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45,458</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493,047</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248,250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567,415</w:t>
            </w:r>
          </w:p>
        </w:tc>
        <w:tc>
          <w:tcPr>
            <w:tcW w:w="118" w:type="dxa"/>
            <w:tcBorders/>
            <w:shd w:fill="CCEEFF" w:val="clear"/>
            <w:vAlign w:val="bottom"/>
          </w:tcPr>
          <w:p>
            <w:pPr>
              <w:pStyle w:val="TableContents"/>
              <w:spacing w:before="0" w:after="283"/>
              <w:jc w:val="left"/>
              <w:rPr/>
            </w:pPr>
            <w:r>
              <w:rPr/>
              <w:t> </w:t>
            </w:r>
          </w:p>
        </w:tc>
      </w:tr>
      <w:tr>
        <w:trPr/>
        <w:tc>
          <w:tcPr>
            <w:tcW w:w="484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Consultants - selling, general and administrative</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345,605</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79,987</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505,527</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79,987</w:t>
            </w:r>
          </w:p>
        </w:tc>
        <w:tc>
          <w:tcPr>
            <w:tcW w:w="118" w:type="dxa"/>
            <w:tcBorders/>
            <w:shd w:fill="FFFFFF" w:val="clear"/>
            <w:vAlign w:val="bottom"/>
          </w:tcPr>
          <w:p>
            <w:pPr>
              <w:pStyle w:val="TableContents"/>
              <w:spacing w:before="0" w:after="283"/>
              <w:jc w:val="left"/>
              <w:rPr/>
            </w:pPr>
            <w:r>
              <w:rPr/>
              <w:t> </w:t>
            </w:r>
          </w:p>
        </w:tc>
      </w:tr>
      <w:tr>
        <w:trPr/>
        <w:tc>
          <w:tcPr>
            <w:tcW w:w="484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Consultants - research and development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180,559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117,959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ind w:left="180" w:right="0" w:hanging="0"/>
              <w:jc w:val="left"/>
              <w:rPr/>
            </w:pPr>
            <w:r>
              <w:rPr/>
              <w:t> </w:t>
            </w:r>
          </w:p>
        </w:tc>
      </w:tr>
      <w:tr>
        <w:trPr/>
        <w:tc>
          <w:tcPr>
            <w:tcW w:w="4849"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Total</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995,136</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729,534</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1,448,384</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848,038</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 w:name="PGBRK7"/>
      <w:bookmarkStart w:id="71" w:name="PGBRK7"/>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 w:name="FTR7"/>
      <w:bookmarkStart w:id="73" w:name="FTR7"/>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4" w:name="GLFTR7"/>
      <w:bookmarkEnd w:id="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75" w:name="PN7"/>
      <w:bookmarkEnd w:id="75"/>
      <w:r>
        <w:rPr>
          <w:rFonts w:ascii="effontselection" w:hAnsi="effontselectio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76" w:name="GLHDR7"/>
        <w:bookmarkEnd w:id="7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Basic and Diluted Net Loss per Common Share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Basic and diluted net loss applicable to common stock per share is computed using the weighted average number of shares of common stock outstanding during the period. Common stock equivalents (using the treasury stock or, “if converted” method) from convertible notes, preferred stock, stock options, unvested restricted stock units (“RSUs”) and warrants were 3,138,004 and 1,476,987 at June 30, 2013 and 2012, respectively, and are excluded from the calculation of diluted net loss per share for all periods presented because the effect is anti-dilutive.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shows the computation of basic and diluted loss per share of common stock for the three and six months ended June 30, 2013 and 2012: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640"/>
        <w:gridCol w:w="102"/>
        <w:gridCol w:w="125"/>
        <w:gridCol w:w="1053"/>
        <w:gridCol w:w="109"/>
        <w:gridCol w:w="102"/>
        <w:gridCol w:w="125"/>
        <w:gridCol w:w="1053"/>
        <w:gridCol w:w="109"/>
        <w:gridCol w:w="102"/>
        <w:gridCol w:w="125"/>
        <w:gridCol w:w="1053"/>
        <w:gridCol w:w="108"/>
        <w:gridCol w:w="102"/>
        <w:gridCol w:w="125"/>
        <w:gridCol w:w="1053"/>
        <w:gridCol w:w="119"/>
      </w:tblGrid>
      <w:tr>
        <w:trPr/>
        <w:tc>
          <w:tcPr>
            <w:tcW w:w="464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Six</w:t>
            </w:r>
          </w:p>
        </w:tc>
        <w:tc>
          <w:tcPr>
            <w:tcW w:w="108"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Six</w:t>
            </w:r>
          </w:p>
        </w:tc>
        <w:tc>
          <w:tcPr>
            <w:tcW w:w="119" w:type="dxa"/>
            <w:tcBorders/>
            <w:shd w:fill="auto"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08"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9" w:type="dxa"/>
            <w:tcBorders/>
            <w:shd w:fill="auto"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8"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9" w:type="dxa"/>
            <w:tcBorders/>
            <w:shd w:fill="auto"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(2,218,052</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(1,305,593</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(3,683,533</w:t>
            </w:r>
          </w:p>
        </w:tc>
        <w:tc>
          <w:tcPr>
            <w:tcW w:w="1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(2,684,681</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dividend to preferred stockholders</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Numerator – (loss) attributable to common stockholders</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(2,218,052</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(1,505,593</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(3,683,533</w:t>
            </w:r>
          </w:p>
        </w:tc>
        <w:tc>
          <w:tcPr>
            <w:tcW w:w="1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(2,884,681</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Denominator – weighted average</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ind w:left="180" w:right="0" w:hanging="0"/>
              <w:jc w:val="left"/>
              <w:rPr/>
            </w:pPr>
            <w:r>
              <w:rPr/>
              <w:t> </w:t>
            </w:r>
          </w:p>
        </w:tc>
      </w:tr>
      <w:tr>
        <w:trPr/>
        <w:tc>
          <w:tcPr>
            <w:tcW w:w="4640"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number of shares outstanding, basic and diluted</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8,890,668</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3,874,554</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8,342,497</w:t>
            </w:r>
          </w:p>
        </w:tc>
        <w:tc>
          <w:tcPr>
            <w:tcW w:w="10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2,469,171</w:t>
            </w:r>
          </w:p>
        </w:tc>
        <w:tc>
          <w:tcPr>
            <w:tcW w:w="119" w:type="dxa"/>
            <w:tcBorders/>
            <w:shd w:fill="FFFFFF"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per share, basic and diluted</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(0.39</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(0.44</w:t>
            </w:r>
          </w:p>
        </w:tc>
        <w:tc>
          <w:tcPr>
            <w:tcW w:w="1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Use of Estimates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deferred taxes and stock-based compensation issued to employees and non-employees. Actual results could differ from those estimates.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Reclassifications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Certain prior period items and amounts have been reclassified to conform to the classifications used to prepare the 2013 condensed consolidated financial statements. These reclassifications had no material impact on the Company’s financial position, results of operations, or cash flows as previously reported.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Recently Announced Accounting Pronouncements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July 2013, the FASB issued Accounting Standards Update (“ASU”) No.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The Company intends to adopt this guidance at the beginning of its first quarter of fiscal year 2014, and is currently evaluating the impact on its financial statements and disclosures.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 w:name="PGBRK8"/>
      <w:bookmarkStart w:id="78" w:name="PGBRK8"/>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FTR8"/>
      <w:bookmarkStart w:id="80" w:name="FTR8"/>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1" w:name="GLFTR8"/>
      <w:bookmarkEnd w:id="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82" w:name="PN8"/>
      <w:bookmarkEnd w:id="82"/>
      <w:r>
        <w:rPr>
          <w:rFonts w:ascii="effontselection" w:hAnsi="effontselectio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HDR5"/>
      <w:bookmarkStart w:id="84" w:name="HDR5"/>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5" w:name="GLHDR8"/>
        <w:bookmarkEnd w:id="8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Recently Adopted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FASB issued ASU 2011-11, “Disclosures about Offsetting Assets and Liabilities.” This pronouncement was issued to enhance disclosure requirements surrounding the nature of an entity’s right to offset and related arrangements associated with its financial instruments and derivative instruments. This new guidance requires companies to disclose both gross and net information about instruments and transactions eligible for offset in the statement of financial position and instruments and transactions subject to master netting arrangements. This pronouncement is effective for reporting periods beginning on or after January 1, 2013. The adoption of ASU 2011-11 did not have a material impact on our condensed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January 2013, the FASB issued ASU 2013-01, “Clarifying the Scope of Disclosures about Offsetting Assets and Liabilities.” This pronouncement was issued to address implementation issues about the scope of ASU 2011-11 and to clarify the scope of the offsetting disclosures and address any unintended consequences. This pronouncement is effective for reporting periods beginning on or after January 1, 2013. The adoption of ASU 2013-01 did not have a material impact on our condensed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 2. SHORT-TERM RESTRICTED INVESTMENT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Short-term restricted investment at June 30, 2013 consists of a certificate of deposit, which is classified as held-to-maturity. At June 30, 2013, the fair value of this investment approximated its amortized cost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June 30, 2013, the certificate of deposit of $50,034 was classified as a current asset. The certificate of deposit is required as collateral under the Company’s corporate credit card agreement and automatically renews every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 3. ACCOUNTS PAYABLE AND ACCRUED EXPENSES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payable and accrued expenses consisted of the following:</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50"/>
        <w:gridCol w:w="109"/>
        <w:gridCol w:w="126"/>
        <w:gridCol w:w="1029"/>
        <w:gridCol w:w="109"/>
        <w:gridCol w:w="109"/>
        <w:gridCol w:w="126"/>
        <w:gridCol w:w="1029"/>
        <w:gridCol w:w="118"/>
      </w:tblGrid>
      <w:tr>
        <w:trPr/>
        <w:tc>
          <w:tcPr>
            <w:tcW w:w="7450" w:type="dxa"/>
            <w:tcBorders/>
            <w:shd w:fill="auto" w:val="clear"/>
            <w:vAlign w:val="bottom"/>
          </w:tcPr>
          <w:p>
            <w:pPr>
              <w:pStyle w:val="TableContents"/>
              <w:spacing w:before="0" w:after="283"/>
              <w:ind w:left="0" w:right="0" w:hanging="0"/>
              <w:rPr/>
            </w:pPr>
            <w:r>
              <w:rPr/>
              <w:t> </w:t>
            </w:r>
          </w:p>
        </w:tc>
        <w:tc>
          <w:tcPr>
            <w:tcW w:w="109" w:type="dxa"/>
            <w:tcBorders/>
            <w:shd w:fill="auto" w:val="clear"/>
            <w:vAlign w:val="bottom"/>
          </w:tcPr>
          <w:p>
            <w:pPr>
              <w:pStyle w:val="TableContents"/>
              <w:spacing w:before="0" w:after="283"/>
              <w:ind w:left="0" w:right="0" w:hanging="0"/>
              <w:jc w:val="center"/>
              <w:rPr/>
            </w:pPr>
            <w:r>
              <w:rPr/>
              <w:t> </w:t>
            </w:r>
          </w:p>
        </w:tc>
        <w:tc>
          <w:tcPr>
            <w:tcW w:w="1155"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9" w:type="dxa"/>
            <w:tcBorders/>
            <w:shd w:fill="auto" w:val="clear"/>
            <w:vAlign w:val="bottom"/>
          </w:tcPr>
          <w:p>
            <w:pPr>
              <w:pStyle w:val="TableContents"/>
              <w:spacing w:before="0" w:after="283"/>
              <w:ind w:left="0" w:right="0" w:hanging="0"/>
              <w:jc w:val="center"/>
              <w:rPr/>
            </w:pPr>
            <w:r>
              <w:rPr/>
              <w:t> </w:t>
            </w:r>
          </w:p>
        </w:tc>
        <w:tc>
          <w:tcPr>
            <w:tcW w:w="109" w:type="dxa"/>
            <w:tcBorders/>
            <w:shd w:fill="auto" w:val="clear"/>
            <w:vAlign w:val="bottom"/>
          </w:tcPr>
          <w:p>
            <w:pPr>
              <w:pStyle w:val="TableContents"/>
              <w:spacing w:before="0" w:after="283"/>
              <w:ind w:left="0" w:right="0" w:hanging="0"/>
              <w:jc w:val="center"/>
              <w:rPr/>
            </w:pPr>
            <w:r>
              <w:rPr/>
              <w:t> </w:t>
            </w:r>
          </w:p>
        </w:tc>
        <w:tc>
          <w:tcPr>
            <w:tcW w:w="1155"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8" w:type="dxa"/>
            <w:tcBorders/>
            <w:shd w:fill="auto" w:val="clear"/>
            <w:vAlign w:val="bottom"/>
          </w:tcPr>
          <w:p>
            <w:pPr>
              <w:pStyle w:val="TableContents"/>
              <w:spacing w:before="0" w:after="283"/>
              <w:ind w:left="0" w:right="0" w:hanging="0"/>
              <w:jc w:val="center"/>
              <w:rPr/>
            </w:pPr>
            <w:r>
              <w:rPr/>
              <w:t> </w:t>
            </w:r>
          </w:p>
        </w:tc>
      </w:tr>
      <w:tr>
        <w:trPr/>
        <w:tc>
          <w:tcPr>
            <w:tcW w:w="7450" w:type="dxa"/>
            <w:tcBorders/>
            <w:shd w:fill="auto" w:val="clear"/>
            <w:vAlign w:val="bottom"/>
          </w:tcPr>
          <w:p>
            <w:pPr>
              <w:pStyle w:val="TableContents"/>
              <w:spacing w:before="0" w:after="283"/>
              <w:ind w:left="0" w:right="0" w:hanging="0"/>
              <w:jc w:val="center"/>
              <w:rPr/>
            </w:pPr>
            <w:r>
              <w:rPr/>
              <w:t> </w:t>
            </w:r>
          </w:p>
        </w:tc>
        <w:tc>
          <w:tcPr>
            <w:tcW w:w="109" w:type="dxa"/>
            <w:tcBorders/>
            <w:shd w:fill="auto" w:val="clear"/>
            <w:vAlign w:val="bottom"/>
          </w:tcPr>
          <w:p>
            <w:pPr>
              <w:pStyle w:val="TableContents"/>
              <w:spacing w:before="0" w:after="283"/>
              <w:ind w:left="0" w:right="0" w:hanging="0"/>
              <w:jc w:val="center"/>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9" w:type="dxa"/>
            <w:tcBorders/>
            <w:shd w:fill="auto" w:val="clear"/>
            <w:vAlign w:val="bottom"/>
          </w:tcPr>
          <w:p>
            <w:pPr>
              <w:pStyle w:val="TableContents"/>
              <w:spacing w:before="0" w:after="283"/>
              <w:ind w:left="0" w:right="0" w:hanging="0"/>
              <w:jc w:val="center"/>
              <w:rPr/>
            </w:pPr>
            <w:r>
              <w:rPr/>
              <w:t> </w:t>
            </w:r>
          </w:p>
        </w:tc>
        <w:tc>
          <w:tcPr>
            <w:tcW w:w="109" w:type="dxa"/>
            <w:tcBorders/>
            <w:shd w:fill="auto" w:val="clear"/>
            <w:vAlign w:val="bottom"/>
          </w:tcPr>
          <w:p>
            <w:pPr>
              <w:pStyle w:val="TableContents"/>
              <w:spacing w:before="0" w:after="283"/>
              <w:ind w:left="0" w:right="0" w:hanging="0"/>
              <w:jc w:val="center"/>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8" w:type="dxa"/>
            <w:tcBorders/>
            <w:shd w:fill="auto"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764,676</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286,686</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offering costs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185,337</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rent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2,477</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accrued expenses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15,248</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21,440</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 accrual</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88,450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139,444</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accounts payable and accrued expenses</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868,374</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635,384</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10,000 and 20,000 shares of our restricted common stock underlying the stock-based compensation accrual at June 30, 2013 and December 31, 2012, respectively. The stock-based compensation related to restricted common stock issuances and accruals was $149,806 and $192,339 during the three and six months ended June 30, 2013, respectively.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 w:name="PGBRK9"/>
      <w:bookmarkStart w:id="87" w:name="PGBRK9"/>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 w:name="FTR9"/>
      <w:bookmarkStart w:id="89" w:name="FTR9"/>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0" w:name="GLFTR9"/>
      <w:bookmarkEnd w:id="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1" w:name="PN9"/>
      <w:bookmarkEnd w:id="91"/>
      <w:r>
        <w:rPr>
          <w:rFonts w:ascii="effontselection" w:hAnsi="effontselectio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HDR6"/>
      <w:bookmarkStart w:id="93" w:name="HDR6"/>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94" w:name="GLHDR9"/>
        <w:bookmarkEnd w:id="94"/>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 4. STOCKHOLDERS’ EQUITY AND STOCK-BASED COMPENSATION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Common Stock</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Public Offering, after the effectiveness of the Registration Statement on February 7, 2013, the Company effected a one-for-five reverse stock split of its common stock and on February 8, 2013, the Company's common stock began trading on The NASDAQ Capital Market on a split-adjusted basis. All information included in this Quarterly Report has been adjusted to reflect the effect of the one-for-five reverse stock split.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219 shares of common stock at a price of $4.00 per share. The shares of common stock were issued to net settle total common stock options to purchase 1,030 shares of common stock pursuant to a cashless exercise provision.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February and March 2013, the Company made payments totaling $191 in connection with cancelled, fractional share amounts of common stock (35 common stock share equivalents) in connection with the reverse stock split effected February 7, 2013.</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13, 2013, the Company closed the underwritten Public Offering of 1,840,000 shares of its common stock at a per share price to the public of $5.25, and received net proceeds of $8,140,435 after deducting underwriter fees and commissions and other offering expenses. The underwriters also exercised their option to purchase an additional 276,000 shares of common stock from the Company at $5.25 per share to cover over-allotments on March 14, 2013. Net cash proceeds from the exercise of the over-allotment option were $1,316,116. On February 7, 2013, the Company entered into an Underwriting Agreement (the “Underwriting Agreement”) with MDB Capital Group, LLC. As contemplated by the Underwriting Agreement, at the closing of the Public Offering and the over-allotment exercise, the underwriters received warrants (the “Warrants”) to purchase an aggregate of 179,860 shares, or 8.5% of the number of shares sold in the offering (including 8.5% of shares sold pursuant to their over-allotment option). The Warrants are exercisable at $5.25 per share (100% of the price of the common stock sold in the offering), commencing on the effective date of the offering and expiring five years from the effective date of the offering.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June 2013, the Company issued 33,333 restricted shares of common stock to Dr. Robert Kammer, a director, valued at $243,333, in consideration for consulting services provided during the year ended December 31, 2012 and through June 30, 2013.</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June 2013, the Company issued 40,000 shares of common stock to Mark Baum, the Company’s CEO and a director, related to vesting of restricted stock units (“RSUs”).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Preferred Stock</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June 30, 2013, the Company had 5,000,000 shares of preferred stock, $0.001 par value, authorized and no shares of preferred stock issued and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Stock Option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Company’s Board of Directors and stockholders adopted the Company’s 2007 Incentive Stock and Awards Plan, which was subsequently amended on November 5, 2008, February 26, 2012, July 18, 2012 and May 2, 2013 (as amended, the “Plan”). As of June 30, 2013, the Plan provides for the issuance of a maximum of an aggregate of 2,400,000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is administered by the Compensation Committee of the Company’s Board of Directors.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 w:name="PGBRK10"/>
      <w:bookmarkStart w:id="96" w:name="PGBRK10"/>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FTR10"/>
      <w:bookmarkStart w:id="98" w:name="FTR10"/>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9" w:name="GLFTR10"/>
      <w:bookmarkEnd w:id="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0" w:name="PN10"/>
      <w:bookmarkEnd w:id="100"/>
      <w:r>
        <w:rPr>
          <w:rFonts w:ascii="effontselection" w:hAnsi="effontselectio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 w:name="HDR7"/>
      <w:bookmarkStart w:id="102" w:name="HDR7"/>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3" w:name="GLHDR10"/>
        <w:bookmarkEnd w:id="10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summary of the Plan activity with respect to options to purchase common stock for the six months ended June 30, 2013 is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454"/>
        <w:gridCol w:w="107"/>
        <w:gridCol w:w="107"/>
        <w:gridCol w:w="1128"/>
        <w:gridCol w:w="117"/>
        <w:gridCol w:w="107"/>
        <w:gridCol w:w="159"/>
        <w:gridCol w:w="971"/>
        <w:gridCol w:w="107"/>
        <w:gridCol w:w="107"/>
        <w:gridCol w:w="140"/>
        <w:gridCol w:w="1095"/>
        <w:gridCol w:w="107"/>
        <w:gridCol w:w="107"/>
        <w:gridCol w:w="141"/>
        <w:gridCol w:w="1128"/>
        <w:gridCol w:w="123"/>
      </w:tblGrid>
      <w:tr>
        <w:trPr/>
        <w:tc>
          <w:tcPr>
            <w:tcW w:w="4454" w:type="dxa"/>
            <w:tcBorders/>
            <w:shd w:fill="auto" w:val="clear"/>
            <w:vAlign w:val="bottom"/>
          </w:tcPr>
          <w:p>
            <w:pPr>
              <w:pStyle w:val="TableContents"/>
              <w:spacing w:before="0" w:after="283"/>
              <w:ind w:left="0" w:right="0" w:hanging="0"/>
              <w:jc w:val="left"/>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12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tc>
        <w:tc>
          <w:tcPr>
            <w:tcW w:w="117" w:type="dxa"/>
            <w:tcBorders/>
            <w:shd w:fill="auto" w:val="clear"/>
            <w:vAlign w:val="bottom"/>
          </w:tcPr>
          <w:p>
            <w:pPr>
              <w:pStyle w:val="TableContents"/>
              <w:spacing w:before="0" w:after="283"/>
              <w:ind w:left="0" w:right="0" w:hanging="0"/>
              <w:jc w:val="center"/>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Price</w:t>
            </w:r>
          </w:p>
        </w:tc>
        <w:tc>
          <w:tcPr>
            <w:tcW w:w="107" w:type="dxa"/>
            <w:tcBorders/>
            <w:shd w:fill="auto" w:val="clear"/>
            <w:vAlign w:val="bottom"/>
          </w:tcPr>
          <w:p>
            <w:pPr>
              <w:pStyle w:val="TableContents"/>
              <w:spacing w:before="0" w:after="283"/>
              <w:ind w:left="0" w:right="0" w:hanging="0"/>
              <w:jc w:val="center"/>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12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Remaining</w:t>
            </w:r>
          </w:p>
          <w:p>
            <w:pPr>
              <w:pStyle w:val="TableContents"/>
              <w:spacing w:before="0" w:after="0"/>
              <w:ind w:left="0" w:right="0" w:hanging="0"/>
              <w:jc w:val="center"/>
              <w:rPr>
                <w:rFonts w:ascii="times new roman" w:hAnsi="times new roman"/>
                <w:b/>
                <w:sz w:val="16"/>
              </w:rPr>
            </w:pPr>
            <w:r>
              <w:rPr>
                <w:rFonts w:ascii="times new roman" w:hAnsi="times new roman"/>
                <w:b/>
                <w:sz w:val="16"/>
              </w:rPr>
              <w:t>Contractual Life</w:t>
            </w:r>
          </w:p>
        </w:tc>
        <w:tc>
          <w:tcPr>
            <w:tcW w:w="107" w:type="dxa"/>
            <w:tcBorders/>
            <w:shd w:fill="auto" w:val="clear"/>
            <w:vAlign w:val="bottom"/>
          </w:tcPr>
          <w:p>
            <w:pPr>
              <w:pStyle w:val="TableContents"/>
              <w:spacing w:before="0" w:after="283"/>
              <w:ind w:left="0" w:right="0" w:hanging="0"/>
              <w:jc w:val="center"/>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12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Aggregate</w:t>
            </w:r>
          </w:p>
          <w:p>
            <w:pPr>
              <w:pStyle w:val="TableContents"/>
              <w:spacing w:before="0" w:after="0"/>
              <w:ind w:left="0" w:right="0" w:hanging="0"/>
              <w:jc w:val="center"/>
              <w:rPr>
                <w:rFonts w:ascii="times new roman" w:hAnsi="times new roman"/>
                <w:b/>
                <w:sz w:val="16"/>
              </w:rPr>
            </w:pPr>
            <w:r>
              <w:rPr>
                <w:rFonts w:ascii="times new roman" w:hAnsi="times new roman"/>
                <w:b/>
                <w:sz w:val="16"/>
              </w:rPr>
              <w:t>Intrinsic Value</w:t>
            </w:r>
          </w:p>
        </w:tc>
        <w:tc>
          <w:tcPr>
            <w:tcW w:w="123" w:type="dxa"/>
            <w:tcBorders/>
            <w:shd w:fill="auto" w:val="clear"/>
            <w:vAlign w:val="bottom"/>
          </w:tcPr>
          <w:p>
            <w:pPr>
              <w:pStyle w:val="TableContents"/>
              <w:spacing w:before="0" w:after="283"/>
              <w:jc w:val="left"/>
              <w:rPr/>
            </w:pPr>
            <w:r>
              <w:rPr/>
              <w:t> </w:t>
            </w:r>
          </w:p>
        </w:tc>
      </w:tr>
      <w:tr>
        <w:trPr/>
        <w:tc>
          <w:tcPr>
            <w:tcW w:w="44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 January 1, 2013</w:t>
            </w:r>
          </w:p>
        </w:tc>
        <w:tc>
          <w:tcPr>
            <w:tcW w:w="107"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905,806</w:t>
            </w:r>
          </w:p>
        </w:tc>
        <w:tc>
          <w:tcPr>
            <w:tcW w:w="11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35"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9" w:type="dxa"/>
            <w:gridSpan w:val="2"/>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r>
      <w:tr>
        <w:trPr/>
        <w:tc>
          <w:tcPr>
            <w:tcW w:w="44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granted</w:t>
            </w:r>
          </w:p>
        </w:tc>
        <w:tc>
          <w:tcPr>
            <w:tcW w:w="107"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1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519,353</w:t>
            </w:r>
          </w:p>
        </w:tc>
        <w:tc>
          <w:tcPr>
            <w:tcW w:w="11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w:t>
            </w:r>
          </w:p>
        </w:tc>
        <w:tc>
          <w:tcPr>
            <w:tcW w:w="9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6.95</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35"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9" w:type="dxa"/>
            <w:gridSpan w:val="2"/>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44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exercised</w:t>
            </w:r>
          </w:p>
        </w:tc>
        <w:tc>
          <w:tcPr>
            <w:tcW w:w="107"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(1,030</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35"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9" w:type="dxa"/>
            <w:gridSpan w:val="2"/>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r>
      <w:tr>
        <w:trPr/>
        <w:tc>
          <w:tcPr>
            <w:tcW w:w="44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cancelled/forfeit</w:t>
            </w:r>
          </w:p>
        </w:tc>
        <w:tc>
          <w:tcPr>
            <w:tcW w:w="107" w:type="dxa"/>
            <w:tcBorders/>
            <w:shd w:fill="FFFFFF" w:val="clear"/>
            <w:vAlign w:val="bottom"/>
          </w:tcPr>
          <w:p>
            <w:pPr>
              <w:pStyle w:val="TableContents"/>
              <w:spacing w:before="0" w:after="283"/>
              <w:jc w:val="right"/>
              <w:rPr/>
            </w:pPr>
            <w:r>
              <w:rPr/>
              <w:t> </w:t>
            </w:r>
          </w:p>
        </w:tc>
        <w:tc>
          <w:tcPr>
            <w:tcW w:w="10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(151,500</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w:t>
            </w:r>
          </w:p>
        </w:tc>
        <w:tc>
          <w:tcPr>
            <w:tcW w:w="9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10.91</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35"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9" w:type="dxa"/>
            <w:gridSpan w:val="2"/>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44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 June 30, 2013</w:t>
            </w:r>
          </w:p>
        </w:tc>
        <w:tc>
          <w:tcPr>
            <w:tcW w:w="107" w:type="dxa"/>
            <w:tcBorders/>
            <w:shd w:fill="CCEEFF" w:val="clear"/>
            <w:vAlign w:val="bottom"/>
          </w:tcPr>
          <w:p>
            <w:pPr>
              <w:pStyle w:val="TableContents"/>
              <w:spacing w:before="0" w:after="283"/>
              <w:jc w:val="right"/>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1,272,629</w:t>
            </w:r>
          </w:p>
        </w:tc>
        <w:tc>
          <w:tcPr>
            <w:tcW w:w="11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5.81</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4,458,714</w:t>
            </w:r>
          </w:p>
        </w:tc>
        <w:tc>
          <w:tcPr>
            <w:tcW w:w="123" w:type="dxa"/>
            <w:tcBorders/>
            <w:shd w:fill="CCEEFF" w:val="clear"/>
            <w:vAlign w:val="bottom"/>
          </w:tcPr>
          <w:p>
            <w:pPr>
              <w:pStyle w:val="TableContents"/>
              <w:spacing w:before="0" w:after="283"/>
              <w:jc w:val="left"/>
              <w:rPr/>
            </w:pPr>
            <w:r>
              <w:rPr/>
              <w:t> </w:t>
            </w:r>
          </w:p>
        </w:tc>
      </w:tr>
      <w:tr>
        <w:trPr/>
        <w:tc>
          <w:tcPr>
            <w:tcW w:w="44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exercisable</w:t>
            </w:r>
          </w:p>
        </w:tc>
        <w:tc>
          <w:tcPr>
            <w:tcW w:w="107" w:type="dxa"/>
            <w:tcBorders/>
            <w:shd w:fill="FFFFFF" w:val="clear"/>
            <w:vAlign w:val="bottom"/>
          </w:tcPr>
          <w:p>
            <w:pPr>
              <w:pStyle w:val="TableContents"/>
              <w:spacing w:before="0" w:after="283"/>
              <w:jc w:val="right"/>
              <w:rPr/>
            </w:pPr>
            <w:r>
              <w:rPr/>
              <w:t> </w:t>
            </w:r>
          </w:p>
        </w:tc>
        <w:tc>
          <w:tcPr>
            <w:tcW w:w="10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2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648,888</w:t>
            </w:r>
          </w:p>
        </w:tc>
        <w:tc>
          <w:tcPr>
            <w:tcW w:w="11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4.87</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3,044,856</w:t>
            </w:r>
          </w:p>
        </w:tc>
        <w:tc>
          <w:tcPr>
            <w:tcW w:w="123" w:type="dxa"/>
            <w:tcBorders/>
            <w:shd w:fill="FFFFFF" w:val="clear"/>
            <w:vAlign w:val="bottom"/>
          </w:tcPr>
          <w:p>
            <w:pPr>
              <w:pStyle w:val="TableContents"/>
              <w:spacing w:before="0" w:after="283"/>
              <w:jc w:val="left"/>
              <w:rPr/>
            </w:pPr>
            <w:r>
              <w:rPr/>
              <w:t> </w:t>
            </w:r>
          </w:p>
        </w:tc>
      </w:tr>
      <w:tr>
        <w:trPr/>
        <w:tc>
          <w:tcPr>
            <w:tcW w:w="44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vested and expected to vest</w:t>
            </w:r>
          </w:p>
        </w:tc>
        <w:tc>
          <w:tcPr>
            <w:tcW w:w="107" w:type="dxa"/>
            <w:tcBorders/>
            <w:shd w:fill="CCEEFF" w:val="clear"/>
            <w:vAlign w:val="bottom"/>
          </w:tcPr>
          <w:p>
            <w:pPr>
              <w:pStyle w:val="TableContents"/>
              <w:spacing w:before="0" w:after="283"/>
              <w:jc w:val="right"/>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1,210,255</w:t>
            </w:r>
          </w:p>
        </w:tc>
        <w:tc>
          <w:tcPr>
            <w:tcW w:w="11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5.21</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4,317,328</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28, 2013, based on the closing price of the Company’s common stock of $8.48 on that date.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2013, the Company granted options to employees of the Company to acquire 120,000 shares of the Company’s common stock under the Plan, each with an exercise price of $6.00, the current market price of the Company’s common stock at the grant date. The options each have 10-year terms and vest quarterly over three years.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2013, the Company granted options to an employee of the Company to acquire 51,675 shares of the Company’s common stock under the Plan. The options have an exercise price of $9.00, the current market price of the Company’s common stock at the grant date, a 10-year term and vest over a three year period, such that 33% of the options vest on the first anniversary of the grant date and the remaining 67% of the options vest quarterly in equal installments thereafter over two years.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2013, the Company granted options to Mark Baum, its CEO, to acquire 180,000 shares of the Company’s common stock under the Plan, in accordance with the terms of the Company’s amended and restated employment agreement with Mr. Baum. The options have an exercise price of $8.99, the current market price of the Company’s common stock at the grant date, a 10-year term and vest quarterly over three years.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illustrates the fair value per share determined by the Black-Scholes-Merton option pricing model with the following assumptions used for valuing options granted to employees: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847"/>
        <w:gridCol w:w="110"/>
        <w:gridCol w:w="125"/>
        <w:gridCol w:w="1008"/>
        <w:gridCol w:w="115"/>
      </w:tblGrid>
      <w:tr>
        <w:trPr/>
        <w:tc>
          <w:tcPr>
            <w:tcW w:w="88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1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5" w:type="dxa"/>
            <w:tcBorders/>
            <w:shd w:fill="auto" w:val="clear"/>
            <w:vAlign w:val="bottom"/>
          </w:tcPr>
          <w:p>
            <w:pPr>
              <w:pStyle w:val="TableContents"/>
              <w:spacing w:before="0" w:after="283"/>
              <w:jc w:val="left"/>
              <w:rPr/>
            </w:pPr>
            <w:r>
              <w:rPr/>
              <w:t> </w:t>
            </w:r>
          </w:p>
        </w:tc>
      </w:tr>
      <w:tr>
        <w:trPr/>
        <w:tc>
          <w:tcPr>
            <w:tcW w:w="88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Weighted-average fair value of options granted</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6.90</w:t>
            </w:r>
          </w:p>
        </w:tc>
        <w:tc>
          <w:tcPr>
            <w:tcW w:w="115" w:type="dxa"/>
            <w:tcBorders/>
            <w:shd w:fill="CCEEFF" w:val="clear"/>
            <w:vAlign w:val="bottom"/>
          </w:tcPr>
          <w:p>
            <w:pPr>
              <w:pStyle w:val="TableContents"/>
              <w:spacing w:before="0" w:after="283"/>
              <w:jc w:val="left"/>
              <w:rPr/>
            </w:pPr>
            <w:r>
              <w:rPr/>
              <w:t> </w:t>
            </w:r>
          </w:p>
        </w:tc>
      </w:tr>
      <w:tr>
        <w:trPr/>
        <w:tc>
          <w:tcPr>
            <w:tcW w:w="88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terms (in years)</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5.8</w:t>
            </w:r>
          </w:p>
        </w:tc>
        <w:tc>
          <w:tcPr>
            <w:tcW w:w="115" w:type="dxa"/>
            <w:tcBorders/>
            <w:shd w:fill="FFFFFF" w:val="clear"/>
            <w:vAlign w:val="bottom"/>
          </w:tcPr>
          <w:p>
            <w:pPr>
              <w:pStyle w:val="TableContents"/>
              <w:spacing w:before="0" w:after="283"/>
              <w:jc w:val="left"/>
              <w:rPr/>
            </w:pPr>
            <w:r>
              <w:rPr/>
              <w:t> </w:t>
            </w:r>
          </w:p>
        </w:tc>
      </w:tr>
      <w:tr>
        <w:trPr/>
        <w:tc>
          <w:tcPr>
            <w:tcW w:w="88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123%</w:t>
            </w:r>
          </w:p>
        </w:tc>
        <w:tc>
          <w:tcPr>
            <w:tcW w:w="115" w:type="dxa"/>
            <w:tcBorders/>
            <w:shd w:fill="CCEEFF" w:val="clear"/>
            <w:vAlign w:val="bottom"/>
          </w:tcPr>
          <w:p>
            <w:pPr>
              <w:pStyle w:val="TableContents"/>
              <w:spacing w:before="0" w:after="283"/>
              <w:jc w:val="left"/>
              <w:rPr/>
            </w:pPr>
            <w:r>
              <w:rPr/>
              <w:t> </w:t>
            </w:r>
          </w:p>
        </w:tc>
      </w:tr>
      <w:tr>
        <w:trPr/>
        <w:tc>
          <w:tcPr>
            <w:tcW w:w="88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0.86 %-1.00%</w:t>
            </w:r>
          </w:p>
        </w:tc>
        <w:tc>
          <w:tcPr>
            <w:tcW w:w="115" w:type="dxa"/>
            <w:tcBorders/>
            <w:shd w:fill="FFFFFF" w:val="clear"/>
            <w:vAlign w:val="bottom"/>
          </w:tcPr>
          <w:p>
            <w:pPr>
              <w:pStyle w:val="TableContents"/>
              <w:spacing w:before="0" w:after="283"/>
              <w:jc w:val="left"/>
              <w:rPr/>
            </w:pPr>
            <w:r>
              <w:rPr/>
              <w:t> </w:t>
            </w:r>
          </w:p>
        </w:tc>
      </w:tr>
      <w:tr>
        <w:trPr/>
        <w:tc>
          <w:tcPr>
            <w:tcW w:w="88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 yield</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April 1, 2012, the Company entered into an advisory agreement with director Dr. Robert J. Kammer (the “Advisory Agreement”) pursuant to which Dr. Kammer provides certain services to the Company in addition to his services as a director, including, but not limited to, providing management and advice regarding the operations of the Company’s clinical trials and assistance in the identification of new drug delivery technologies. As part of Dr. Kammer’s compensation under the Advisory Agreement, the Company granted to Dr. Kammer on April 1, 2012 an option to purchase up to 60,000 shares of the Company’s common stock at an exercise price of $4.50 per share under the Plan. The option terminates on March 31, 2017 and vests over a two year period, with 15,000 options vested immediately upon issuance and an additional 1,875 options vesting monthly for the next twenty four months thereafter. In accordance with accounting guidance for stock-based compensation to consultants, the unvested portion of the option will be remeasured on an interim basis until the termination of the Advisory Agreement. The Advisory Agreement will terminate on the earlier of the completion of the services or the second anniversary of the date of the agreement. As of June 30, 2013, the remeasured fair value of the unvested portion of the stock option, based on the Black-Scholes-Merton pricing model, was $129,481.</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4" w:name="PGBRK11"/>
      <w:bookmarkStart w:id="105" w:name="PGBRK11"/>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 w:name="FTR11"/>
      <w:bookmarkStart w:id="107" w:name="FTR11"/>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8" w:name="GLFTR11"/>
      <w:bookmarkEnd w:id="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9" w:name="PN11"/>
      <w:bookmarkEnd w:id="109"/>
      <w:r>
        <w:rPr>
          <w:rFonts w:ascii="effontselection" w:hAnsi="effontselectio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 w:name="HDR8"/>
      <w:bookmarkStart w:id="111" w:name="HDR8"/>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2" w:name="GLHDR11"/>
        <w:bookmarkEnd w:id="11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13, 2013, the Company entered into a statement of work agreement with a clinical development consultant (the “SOW Agreement”). In partial consideration for the services provided under the SOW Agreement, the Company issued an option to purchase up to 11,428 shares of the Company’s common stock at an exercise price of $8.75 per share. The option will terminate on January 13, 2017 and vests over an eighteen month period, with approximately 635 options vesting monthly for eighteen months beginning in February 2013. The remeasured fair value of the unvested portion of the stock option as of June 30, 2013, based on the Black-Scholes-Merton option pricing model, was $50,901.</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2013, the Company granted 25,000 options to a consultant with an exercise price of $8.90 equal to the current market price of the Company’s common stock at the grant date. The options have a 3-year term and vest in full in August 2013, following completion of certain services. As of June 30, 2013, the remeasured fair value of the stock option, based on the Black-Scholes-Merton option pricing model, was $145,773. The amount of unamortized stock-based compensation that has not been expensed related to the unvested option grant is $80,175.</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2013, Dr. Balbir Brar resigned as President, but concurrent with his resignation entered into a senior advisory consultant agreement that allowed for his options related to his service to the Company as President to continue vesting as long as he continued service to the Company as a consultant. His original option agreement was modified to allow for the vesting to continue as a result of his service to the Company as a consultant. The unvested portion of the options prior to his resignation were treated as cancelled as of the date of the modification and subsequently re-issued. As of June 30, 2013, the remeasured fair value of the unvested portion of the stock option, based on the Black-Scholes-Merton option pricing model, was $808,591.</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June 30, 2013, there was approximately $3,133,000 of total unrecognized compensation expense related to unvested stock options under the Plan. That expense is expected to be recognized over the weighted-average remaining vesting period of 2.13 years.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fair value of each option award is estimated on the date of grant using the Black-Scholes-Merton option pricing model. Prior to April 1, 2013, expected volatilities were based on historical volatility of the Company’s common stock and other factors, and following April 1, 2013 the expected volatility is based on the historical volatilities of the common stock of comparable publicly traded companies based on the Company’s belief the it has significantly changed its business operations and focus, and as a result,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affecting the determination of stock-based compensation expense in future periods. Utilizing these assumptions, the fair value is determined at the date of grant.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illustrates the fair value per share determined by the Black-Scholes-Merton option pricing model with the following assumptions used for valuing options granted to consultants: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845"/>
        <w:gridCol w:w="111"/>
        <w:gridCol w:w="127"/>
        <w:gridCol w:w="1004"/>
        <w:gridCol w:w="118"/>
      </w:tblGrid>
      <w:tr>
        <w:trPr/>
        <w:tc>
          <w:tcPr>
            <w:tcW w:w="8845"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1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June 30,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8" w:type="dxa"/>
            <w:tcBorders/>
            <w:shd w:fill="auto" w:val="clear"/>
            <w:vAlign w:val="bottom"/>
          </w:tcPr>
          <w:p>
            <w:pPr>
              <w:pStyle w:val="TableContents"/>
              <w:spacing w:before="0" w:after="283"/>
              <w:jc w:val="left"/>
              <w:rPr/>
            </w:pPr>
            <w:r>
              <w:rPr/>
              <w:t> </w:t>
            </w:r>
          </w:p>
        </w:tc>
      </w:tr>
      <w:tr>
        <w:trPr/>
        <w:tc>
          <w:tcPr>
            <w:tcW w:w="88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Weighted-average fair value of options granted</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6.73</w:t>
            </w:r>
          </w:p>
        </w:tc>
        <w:tc>
          <w:tcPr>
            <w:tcW w:w="118" w:type="dxa"/>
            <w:tcBorders/>
            <w:shd w:fill="CCEEFF" w:val="clear"/>
            <w:vAlign w:val="bottom"/>
          </w:tcPr>
          <w:p>
            <w:pPr>
              <w:pStyle w:val="TableContents"/>
              <w:spacing w:before="0" w:after="283"/>
              <w:jc w:val="left"/>
              <w:rPr/>
            </w:pPr>
            <w:r>
              <w:rPr/>
              <w:t> </w:t>
            </w:r>
          </w:p>
        </w:tc>
      </w:tr>
      <w:tr>
        <w:trPr/>
        <w:tc>
          <w:tcPr>
            <w:tcW w:w="88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terms (in years)</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2.5-4.25</w:t>
            </w:r>
          </w:p>
        </w:tc>
        <w:tc>
          <w:tcPr>
            <w:tcW w:w="118" w:type="dxa"/>
            <w:tcBorders/>
            <w:shd w:fill="FFFFFF" w:val="clear"/>
            <w:vAlign w:val="bottom"/>
          </w:tcPr>
          <w:p>
            <w:pPr>
              <w:pStyle w:val="TableContents"/>
              <w:spacing w:before="0" w:after="283"/>
              <w:jc w:val="left"/>
              <w:rPr/>
            </w:pPr>
            <w:r>
              <w:rPr/>
              <w:t> </w:t>
            </w:r>
          </w:p>
        </w:tc>
      </w:tr>
      <w:tr>
        <w:trPr/>
        <w:tc>
          <w:tcPr>
            <w:tcW w:w="88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116% - 372%</w:t>
            </w:r>
          </w:p>
        </w:tc>
        <w:tc>
          <w:tcPr>
            <w:tcW w:w="118" w:type="dxa"/>
            <w:tcBorders/>
            <w:shd w:fill="CCEEFF" w:val="clear"/>
            <w:vAlign w:val="bottom"/>
          </w:tcPr>
          <w:p>
            <w:pPr>
              <w:pStyle w:val="TableContents"/>
              <w:spacing w:before="0" w:after="283"/>
              <w:jc w:val="left"/>
              <w:rPr/>
            </w:pPr>
            <w:r>
              <w:rPr/>
              <w:t> </w:t>
            </w:r>
          </w:p>
        </w:tc>
      </w:tr>
      <w:tr>
        <w:trPr/>
        <w:tc>
          <w:tcPr>
            <w:tcW w:w="88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0.30%-1.04%</w:t>
            </w:r>
          </w:p>
        </w:tc>
        <w:tc>
          <w:tcPr>
            <w:tcW w:w="118" w:type="dxa"/>
            <w:tcBorders/>
            <w:shd w:fill="FFFFFF" w:val="clear"/>
            <w:vAlign w:val="bottom"/>
          </w:tcPr>
          <w:p>
            <w:pPr>
              <w:pStyle w:val="TableContents"/>
              <w:spacing w:before="0" w:after="283"/>
              <w:jc w:val="left"/>
              <w:rPr/>
            </w:pPr>
            <w:r>
              <w:rPr/>
              <w:t> </w:t>
            </w:r>
          </w:p>
        </w:tc>
      </w:tr>
      <w:tr>
        <w:trPr/>
        <w:tc>
          <w:tcPr>
            <w:tcW w:w="88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 yield</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 w:name="PGBRK12"/>
      <w:bookmarkStart w:id="114" w:name="PGBRK12"/>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FTR12"/>
      <w:bookmarkStart w:id="116" w:name="FTR12"/>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7" w:name="GLFTR12"/>
      <w:bookmarkEnd w:id="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8" w:name="PN12"/>
      <w:bookmarkEnd w:id="118"/>
      <w:r>
        <w:rPr>
          <w:rFonts w:ascii="effontselection" w:hAnsi="effontselectio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HDR9"/>
      <w:bookmarkStart w:id="120" w:name="HDR9"/>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1" w:name="GLHDR12"/>
        <w:bookmarkEnd w:id="12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information about stock options outstanding and exercisable at June 30,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45"/>
        <w:gridCol w:w="1293"/>
        <w:gridCol w:w="142"/>
        <w:gridCol w:w="142"/>
        <w:gridCol w:w="142"/>
        <w:gridCol w:w="1302"/>
        <w:gridCol w:w="142"/>
        <w:gridCol w:w="142"/>
        <w:gridCol w:w="145"/>
        <w:gridCol w:w="1297"/>
        <w:gridCol w:w="142"/>
        <w:gridCol w:w="142"/>
        <w:gridCol w:w="146"/>
        <w:gridCol w:w="1286"/>
        <w:gridCol w:w="142"/>
        <w:gridCol w:w="142"/>
        <w:gridCol w:w="142"/>
        <w:gridCol w:w="1297"/>
        <w:gridCol w:w="141"/>
        <w:gridCol w:w="142"/>
        <w:gridCol w:w="146"/>
        <w:gridCol w:w="1286"/>
        <w:gridCol w:w="159"/>
      </w:tblGrid>
      <w:tr>
        <w:trPr/>
        <w:tc>
          <w:tcPr>
            <w:tcW w:w="1438" w:type="dxa"/>
            <w:gridSpan w:val="2"/>
            <w:tcBorders/>
            <w:shd w:fill="auto" w:val="clear"/>
            <w:vAlign w:val="bottom"/>
          </w:tcPr>
          <w:p>
            <w:pPr>
              <w:pStyle w:val="TableContents"/>
              <w:spacing w:before="0" w:after="283"/>
              <w:ind w:left="0" w:right="0" w:hanging="0"/>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488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Outstanding</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315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Exercisable</w:t>
            </w:r>
          </w:p>
        </w:tc>
        <w:tc>
          <w:tcPr>
            <w:tcW w:w="159" w:type="dxa"/>
            <w:tcBorders/>
            <w:shd w:fill="auto" w:val="clear"/>
            <w:vAlign w:val="bottom"/>
          </w:tcPr>
          <w:p>
            <w:pPr>
              <w:pStyle w:val="TableContents"/>
              <w:spacing w:before="0" w:after="283"/>
              <w:ind w:left="0" w:right="0" w:hanging="0"/>
              <w:jc w:val="center"/>
              <w:rPr/>
            </w:pPr>
            <w:r>
              <w:rPr/>
              <w:t> </w:t>
            </w:r>
          </w:p>
        </w:tc>
      </w:tr>
      <w:tr>
        <w:trPr/>
        <w:tc>
          <w:tcPr>
            <w:tcW w:w="1438" w:type="dxa"/>
            <w:gridSpan w:val="2"/>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4" w:type="dxa"/>
            <w:gridSpan w:val="2"/>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9" w:type="dxa"/>
            <w:gridSpan w:val="2"/>
            <w:tcBorders/>
            <w:shd w:fill="auto" w:val="clear"/>
            <w:vAlign w:val="bottom"/>
          </w:tcPr>
          <w:p>
            <w:pPr>
              <w:pStyle w:val="TableContents"/>
              <w:spacing w:before="0" w:after="283"/>
              <w:ind w:left="0" w:right="0" w:hanging="0"/>
              <w:jc w:val="center"/>
              <w:rPr/>
            </w:pPr>
            <w:r>
              <w:rPr/>
              <w:t> </w:t>
            </w:r>
          </w:p>
        </w:tc>
        <w:tc>
          <w:tcPr>
            <w:tcW w:w="141"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shd w:fill="auto" w:val="clear"/>
            <w:vAlign w:val="bottom"/>
          </w:tcPr>
          <w:p>
            <w:pPr>
              <w:pStyle w:val="TableContents"/>
              <w:spacing w:before="0" w:after="283"/>
              <w:ind w:left="0" w:right="0" w:hanging="0"/>
              <w:jc w:val="center"/>
              <w:rPr/>
            </w:pPr>
            <w:r>
              <w:rPr/>
              <w:t> </w:t>
            </w:r>
          </w:p>
        </w:tc>
        <w:tc>
          <w:tcPr>
            <w:tcW w:w="159" w:type="dxa"/>
            <w:tcBorders/>
            <w:shd w:fill="auto" w:val="clear"/>
            <w:vAlign w:val="bottom"/>
          </w:tcPr>
          <w:p>
            <w:pPr>
              <w:pStyle w:val="TableContents"/>
              <w:spacing w:before="0" w:after="283"/>
              <w:ind w:left="0" w:right="0" w:hanging="0"/>
              <w:jc w:val="center"/>
              <w:rPr/>
            </w:pPr>
            <w:r>
              <w:rPr/>
              <w:t> </w:t>
            </w:r>
          </w:p>
        </w:tc>
      </w:tr>
      <w:tr>
        <w:trPr/>
        <w:tc>
          <w:tcPr>
            <w:tcW w:w="1438" w:type="dxa"/>
            <w:gridSpan w:val="2"/>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4" w:type="dxa"/>
            <w:gridSpan w:val="2"/>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Average</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9" w:type="dxa"/>
            <w:gridSpan w:val="2"/>
            <w:tcBorders/>
            <w:shd w:fill="auto" w:val="clear"/>
            <w:vAlign w:val="bottom"/>
          </w:tcPr>
          <w:p>
            <w:pPr>
              <w:pStyle w:val="TableContents"/>
              <w:spacing w:before="0" w:after="283"/>
              <w:ind w:left="0" w:right="0" w:hanging="0"/>
              <w:jc w:val="center"/>
              <w:rPr/>
            </w:pPr>
            <w:r>
              <w:rPr/>
              <w:t> </w:t>
            </w:r>
          </w:p>
        </w:tc>
        <w:tc>
          <w:tcPr>
            <w:tcW w:w="141"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w:t>
            </w:r>
          </w:p>
        </w:tc>
        <w:tc>
          <w:tcPr>
            <w:tcW w:w="159" w:type="dxa"/>
            <w:tcBorders/>
            <w:shd w:fill="auto" w:val="clear"/>
            <w:vAlign w:val="bottom"/>
          </w:tcPr>
          <w:p>
            <w:pPr>
              <w:pStyle w:val="TableContents"/>
              <w:spacing w:before="0" w:after="283"/>
              <w:ind w:left="0" w:right="0" w:hanging="0"/>
              <w:jc w:val="center"/>
              <w:rPr/>
            </w:pPr>
            <w:r>
              <w:rPr/>
              <w:t> </w:t>
            </w:r>
          </w:p>
        </w:tc>
      </w:tr>
      <w:tr>
        <w:trPr/>
        <w:tc>
          <w:tcPr>
            <w:tcW w:w="1438" w:type="dxa"/>
            <w:gridSpan w:val="2"/>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4" w:type="dxa"/>
            <w:gridSpan w:val="2"/>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Remaining</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Average</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9" w:type="dxa"/>
            <w:gridSpan w:val="2"/>
            <w:tcBorders/>
            <w:shd w:fill="auto" w:val="clear"/>
            <w:vAlign w:val="bottom"/>
          </w:tcPr>
          <w:p>
            <w:pPr>
              <w:pStyle w:val="TableContents"/>
              <w:spacing w:before="0" w:after="283"/>
              <w:ind w:left="0" w:right="0" w:hanging="0"/>
              <w:jc w:val="center"/>
              <w:rPr/>
            </w:pPr>
            <w:r>
              <w:rPr/>
              <w:t> </w:t>
            </w:r>
          </w:p>
        </w:tc>
        <w:tc>
          <w:tcPr>
            <w:tcW w:w="141"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Average</w:t>
            </w:r>
          </w:p>
        </w:tc>
        <w:tc>
          <w:tcPr>
            <w:tcW w:w="159" w:type="dxa"/>
            <w:tcBorders/>
            <w:shd w:fill="auto" w:val="clear"/>
            <w:vAlign w:val="bottom"/>
          </w:tcPr>
          <w:p>
            <w:pPr>
              <w:pStyle w:val="TableContents"/>
              <w:spacing w:before="0" w:after="283"/>
              <w:ind w:left="0" w:right="0" w:hanging="0"/>
              <w:jc w:val="center"/>
              <w:rPr/>
            </w:pPr>
            <w:r>
              <w:rPr/>
              <w:t> </w:t>
            </w:r>
          </w:p>
        </w:tc>
      </w:tr>
      <w:tr>
        <w:trPr/>
        <w:tc>
          <w:tcPr>
            <w:tcW w:w="1438" w:type="dxa"/>
            <w:gridSpan w:val="2"/>
            <w:tcBorders/>
            <w:shd w:fill="auto" w:val="clear"/>
            <w:vAlign w:val="bottom"/>
          </w:tcPr>
          <w:p>
            <w:pPr>
              <w:pStyle w:val="TableContents"/>
              <w:spacing w:before="0" w:after="283"/>
              <w:ind w:left="0" w:right="0" w:hanging="0"/>
              <w:jc w:val="center"/>
              <w:rPr>
                <w:b/>
              </w:rPr>
            </w:pPr>
            <w:r>
              <w:rPr>
                <w:b/>
              </w:rPr>
              <w:t>Range of</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Contractual</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w:t>
            </w:r>
          </w:p>
        </w:tc>
        <w:tc>
          <w:tcPr>
            <w:tcW w:w="141"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159" w:type="dxa"/>
            <w:tcBorders/>
            <w:shd w:fill="auto" w:val="clear"/>
            <w:vAlign w:val="bottom"/>
          </w:tcPr>
          <w:p>
            <w:pPr>
              <w:pStyle w:val="TableContents"/>
              <w:spacing w:before="0" w:after="283"/>
              <w:ind w:left="0" w:right="0" w:hanging="0"/>
              <w:jc w:val="center"/>
              <w:rPr/>
            </w:pPr>
            <w:r>
              <w:rPr/>
              <w:t> </w:t>
            </w:r>
          </w:p>
        </w:tc>
      </w:tr>
      <w:tr>
        <w:trPr/>
        <w:tc>
          <w:tcPr>
            <w:tcW w:w="14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16"/>
              </w:rPr>
              <w:t>Exercise Prices</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Outstanding</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Life in Years</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w:t>
            </w:r>
          </w:p>
        </w:tc>
        <w:tc>
          <w:tcPr>
            <w:tcW w:w="142"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Exercisable</w:t>
            </w:r>
          </w:p>
        </w:tc>
        <w:tc>
          <w:tcPr>
            <w:tcW w:w="141" w:type="dxa"/>
            <w:tcBorders/>
            <w:shd w:fill="auto" w:val="clear"/>
            <w:vAlign w:val="bottom"/>
          </w:tcPr>
          <w:p>
            <w:pPr>
              <w:pStyle w:val="TableContents"/>
              <w:spacing w:before="0" w:after="283"/>
              <w:ind w:left="0" w:right="0" w:hanging="0"/>
              <w:jc w:val="center"/>
              <w:rPr/>
            </w:pPr>
            <w:r>
              <w:rPr/>
              <w:t> </w:t>
            </w:r>
          </w:p>
        </w:tc>
        <w:tc>
          <w:tcPr>
            <w:tcW w:w="142" w:type="dxa"/>
            <w:tcBorders/>
            <w:shd w:fill="auto" w:val="clear"/>
            <w:vAlign w:val="bottom"/>
          </w:tcPr>
          <w:p>
            <w:pPr>
              <w:pStyle w:val="TableContents"/>
              <w:spacing w:before="0" w:after="283"/>
              <w:ind w:left="0" w:right="0" w:hanging="0"/>
              <w:jc w:val="center"/>
              <w:rPr/>
            </w:pPr>
            <w:r>
              <w:rPr/>
              <w:t> </w:t>
            </w:r>
          </w:p>
        </w:tc>
        <w:tc>
          <w:tcPr>
            <w:tcW w:w="14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w:t>
            </w:r>
          </w:p>
        </w:tc>
        <w:tc>
          <w:tcPr>
            <w:tcW w:w="159" w:type="dxa"/>
            <w:tcBorders/>
            <w:shd w:fill="auto" w:val="clear"/>
            <w:vAlign w:val="bottom"/>
          </w:tcPr>
          <w:p>
            <w:pPr>
              <w:pStyle w:val="TableContents"/>
              <w:spacing w:before="0" w:after="283"/>
              <w:jc w:val="left"/>
              <w:rPr/>
            </w:pPr>
            <w:r>
              <w:rPr/>
              <w:t> </w:t>
            </w:r>
          </w:p>
        </w:tc>
      </w:tr>
      <w:tr>
        <w:trPr/>
        <w:tc>
          <w:tcPr>
            <w:tcW w:w="145" w:type="dxa"/>
            <w:tcBorders/>
            <w:shd w:fill="CCEEFF" w:val="clear"/>
            <w:vAlign w:val="bottom"/>
          </w:tcPr>
          <w:p>
            <w:pPr>
              <w:pStyle w:val="TableContents"/>
              <w:spacing w:before="0" w:after="283"/>
              <w:ind w:left="0" w:right="0" w:hanging="0"/>
              <w:jc w:val="left"/>
              <w:rPr>
                <w:rFonts w:ascii="times new roman" w:hAnsi="times new roman"/>
                <w:sz w:val="20"/>
              </w:rPr>
            </w:pPr>
            <w:r>
              <w:rPr>
                <w:rFonts w:ascii="times new roman" w:hAnsi="times new roman"/>
                <w:sz w:val="20"/>
              </w:rPr>
              <w:t>$</w:t>
            </w:r>
          </w:p>
        </w:tc>
        <w:tc>
          <w:tcPr>
            <w:tcW w:w="129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2.40 - 3.20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3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5"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6.07</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225,000</w:t>
            </w:r>
          </w:p>
        </w:tc>
        <w:tc>
          <w:tcPr>
            <w:tcW w:w="14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159" w:type="dxa"/>
            <w:tcBorders/>
            <w:shd w:fill="CCEEFF" w:val="clear"/>
            <w:vAlign w:val="bottom"/>
          </w:tcPr>
          <w:p>
            <w:pPr>
              <w:pStyle w:val="TableContents"/>
              <w:spacing w:before="0" w:after="283"/>
              <w:ind w:left="0" w:right="0" w:hanging="0"/>
              <w:jc w:val="left"/>
              <w:rPr/>
            </w:pPr>
            <w:r>
              <w:rPr/>
              <w:t> </w:t>
            </w:r>
          </w:p>
        </w:tc>
      </w:tr>
      <w:tr>
        <w:trPr/>
        <w:tc>
          <w:tcPr>
            <w:tcW w:w="145" w:type="dxa"/>
            <w:tcBorders/>
            <w:shd w:fill="FFFFFF" w:val="clear"/>
            <w:vAlign w:val="bottom"/>
          </w:tcPr>
          <w:p>
            <w:pPr>
              <w:pStyle w:val="TableContents"/>
              <w:spacing w:before="0" w:after="283"/>
              <w:ind w:left="0" w:right="0" w:hanging="0"/>
              <w:jc w:val="left"/>
              <w:rPr>
                <w:rFonts w:ascii="times new roman" w:hAnsi="times new roman"/>
                <w:sz w:val="20"/>
              </w:rPr>
            </w:pPr>
            <w:r>
              <w:rPr>
                <w:rFonts w:ascii="times new roman" w:hAnsi="times new roman"/>
                <w:sz w:val="20"/>
              </w:rPr>
              <w:t>$</w:t>
            </w:r>
          </w:p>
        </w:tc>
        <w:tc>
          <w:tcPr>
            <w:tcW w:w="129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3.60 - $4.50</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30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624,643</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5" w:type="dxa"/>
            <w:tcBorders/>
            <w:shd w:fill="FFFFFF" w:val="clear"/>
            <w:vAlign w:val="bottom"/>
          </w:tcPr>
          <w:p>
            <w:pPr>
              <w:pStyle w:val="TableContents"/>
              <w:spacing w:before="0" w:after="283"/>
              <w:jc w:val="left"/>
              <w:rPr/>
            </w:pPr>
            <w:r>
              <w:rPr/>
              <w:t> </w:t>
            </w:r>
          </w:p>
        </w:tc>
        <w:tc>
          <w:tcPr>
            <w:tcW w:w="12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3.63</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2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409,832</w:t>
            </w:r>
          </w:p>
        </w:tc>
        <w:tc>
          <w:tcPr>
            <w:tcW w:w="141"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4.19</w:t>
            </w:r>
          </w:p>
        </w:tc>
        <w:tc>
          <w:tcPr>
            <w:tcW w:w="159" w:type="dxa"/>
            <w:tcBorders/>
            <w:shd w:fill="FFFFFF" w:val="clear"/>
            <w:vAlign w:val="bottom"/>
          </w:tcPr>
          <w:p>
            <w:pPr>
              <w:pStyle w:val="TableContents"/>
              <w:spacing w:before="0" w:after="283"/>
              <w:ind w:left="0" w:right="0" w:hanging="0"/>
              <w:jc w:val="left"/>
              <w:rPr/>
            </w:pPr>
            <w:r>
              <w:rPr/>
              <w:t> </w:t>
            </w:r>
          </w:p>
        </w:tc>
      </w:tr>
      <w:tr>
        <w:trPr/>
        <w:tc>
          <w:tcPr>
            <w:tcW w:w="145" w:type="dxa"/>
            <w:tcBorders/>
            <w:shd w:fill="CCEEFF" w:val="clear"/>
            <w:vAlign w:val="bottom"/>
          </w:tcPr>
          <w:p>
            <w:pPr>
              <w:pStyle w:val="TableContents"/>
              <w:spacing w:before="0" w:after="283"/>
              <w:ind w:left="0" w:right="0" w:hanging="0"/>
              <w:jc w:val="left"/>
              <w:rPr>
                <w:rFonts w:ascii="times new roman" w:hAnsi="times new roman"/>
                <w:sz w:val="20"/>
              </w:rPr>
            </w:pPr>
            <w:r>
              <w:rPr>
                <w:rFonts w:ascii="times new roman" w:hAnsi="times new roman"/>
                <w:sz w:val="20"/>
              </w:rPr>
              <w:t>$</w:t>
            </w:r>
          </w:p>
        </w:tc>
        <w:tc>
          <w:tcPr>
            <w:tcW w:w="129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6.00 - $9.00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3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383,103</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right"/>
              <w:rPr/>
            </w:pPr>
            <w:r>
              <w:rPr/>
              <w:t> </w:t>
            </w:r>
          </w:p>
        </w:tc>
        <w:tc>
          <w:tcPr>
            <w:tcW w:w="145"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8.08</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3,174</w:t>
            </w:r>
          </w:p>
        </w:tc>
        <w:tc>
          <w:tcPr>
            <w:tcW w:w="14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159" w:type="dxa"/>
            <w:tcBorders/>
            <w:shd w:fill="CCEEFF" w:val="clear"/>
            <w:vAlign w:val="bottom"/>
          </w:tcPr>
          <w:p>
            <w:pPr>
              <w:pStyle w:val="TableContents"/>
              <w:spacing w:before="0" w:after="283"/>
              <w:jc w:val="left"/>
              <w:rPr/>
            </w:pPr>
            <w:r>
              <w:rPr/>
              <w:t> </w:t>
            </w:r>
          </w:p>
        </w:tc>
      </w:tr>
      <w:tr>
        <w:trPr/>
        <w:tc>
          <w:tcPr>
            <w:tcW w:w="145" w:type="dxa"/>
            <w:tcBorders/>
            <w:shd w:fill="FFFFFF" w:val="clear"/>
            <w:vAlign w:val="bottom"/>
          </w:tcPr>
          <w:p>
            <w:pPr>
              <w:pStyle w:val="TableContents"/>
              <w:spacing w:before="0" w:after="283"/>
              <w:ind w:left="0" w:right="0" w:hanging="0"/>
              <w:jc w:val="left"/>
              <w:rPr>
                <w:rFonts w:ascii="times new roman" w:hAnsi="times new roman"/>
                <w:sz w:val="20"/>
              </w:rPr>
            </w:pPr>
            <w:r>
              <w:rPr>
                <w:rFonts w:ascii="times new roman" w:hAnsi="times new roman"/>
                <w:sz w:val="20"/>
              </w:rPr>
              <w:t>$</w:t>
            </w:r>
          </w:p>
        </w:tc>
        <w:tc>
          <w:tcPr>
            <w:tcW w:w="129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10.75</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30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7,603</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5" w:type="dxa"/>
            <w:tcBorders/>
            <w:shd w:fill="FFFFFF" w:val="clear"/>
            <w:vAlign w:val="bottom"/>
          </w:tcPr>
          <w:p>
            <w:pPr>
              <w:pStyle w:val="TableContents"/>
              <w:spacing w:before="0" w:after="283"/>
              <w:jc w:val="left"/>
              <w:rPr/>
            </w:pPr>
            <w:r>
              <w:rPr/>
              <w:t> </w:t>
            </w:r>
          </w:p>
        </w:tc>
        <w:tc>
          <w:tcPr>
            <w:tcW w:w="12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10.75</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2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3,802</w:t>
            </w:r>
          </w:p>
        </w:tc>
        <w:tc>
          <w:tcPr>
            <w:tcW w:w="141"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10.75</w:t>
            </w:r>
          </w:p>
        </w:tc>
        <w:tc>
          <w:tcPr>
            <w:tcW w:w="159" w:type="dxa"/>
            <w:tcBorders/>
            <w:shd w:fill="FFFFFF" w:val="clear"/>
            <w:vAlign w:val="bottom"/>
          </w:tcPr>
          <w:p>
            <w:pPr>
              <w:pStyle w:val="TableContents"/>
              <w:spacing w:before="0" w:after="283"/>
              <w:jc w:val="left"/>
              <w:rPr/>
            </w:pPr>
            <w:r>
              <w:rPr/>
              <w:t> </w:t>
            </w:r>
          </w:p>
        </w:tc>
      </w:tr>
      <w:tr>
        <w:trPr/>
        <w:tc>
          <w:tcPr>
            <w:tcW w:w="145" w:type="dxa"/>
            <w:tcBorders/>
            <w:shd w:fill="CCEEFF" w:val="clear"/>
            <w:vAlign w:val="bottom"/>
          </w:tcPr>
          <w:p>
            <w:pPr>
              <w:pStyle w:val="TableContents"/>
              <w:spacing w:before="0" w:after="283"/>
              <w:ind w:left="0" w:right="0" w:hanging="0"/>
              <w:jc w:val="left"/>
              <w:rPr>
                <w:rFonts w:ascii="times new roman" w:hAnsi="times new roman"/>
                <w:sz w:val="20"/>
              </w:rPr>
            </w:pPr>
            <w:r>
              <w:rPr>
                <w:rFonts w:ascii="times new roman" w:hAnsi="times new roman"/>
                <w:sz w:val="20"/>
              </w:rPr>
              <w:t>$</w:t>
            </w:r>
          </w:p>
        </w:tc>
        <w:tc>
          <w:tcPr>
            <w:tcW w:w="129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28.00 - $80.00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7,280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5"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40.01</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7,080</w:t>
            </w:r>
          </w:p>
        </w:tc>
        <w:tc>
          <w:tcPr>
            <w:tcW w:w="14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40.35</w:t>
            </w:r>
          </w:p>
        </w:tc>
        <w:tc>
          <w:tcPr>
            <w:tcW w:w="159" w:type="dxa"/>
            <w:tcBorders/>
            <w:shd w:fill="CCEEFF" w:val="clear"/>
            <w:vAlign w:val="bottom"/>
          </w:tcPr>
          <w:p>
            <w:pPr>
              <w:pStyle w:val="TableContents"/>
              <w:spacing w:before="0" w:after="283"/>
              <w:jc w:val="left"/>
              <w:rPr/>
            </w:pPr>
            <w:r>
              <w:rPr/>
              <w:t> </w:t>
            </w:r>
          </w:p>
        </w:tc>
      </w:tr>
      <w:tr>
        <w:trPr/>
        <w:tc>
          <w:tcPr>
            <w:tcW w:w="145" w:type="dxa"/>
            <w:tcBorders/>
            <w:shd w:fill="FFFFFF" w:val="clear"/>
            <w:vAlign w:val="bottom"/>
          </w:tcPr>
          <w:p>
            <w:pPr>
              <w:pStyle w:val="TableContents"/>
              <w:spacing w:before="0" w:after="283"/>
              <w:jc w:val="left"/>
              <w:rPr/>
            </w:pPr>
            <w:r>
              <w:rPr/>
              <w:t> </w:t>
            </w:r>
          </w:p>
        </w:tc>
        <w:tc>
          <w:tcPr>
            <w:tcW w:w="1293"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0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1,272,629</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5" w:type="dxa"/>
            <w:tcBorders/>
            <w:shd w:fill="FFFFFF" w:val="clear"/>
            <w:vAlign w:val="bottom"/>
          </w:tcPr>
          <w:p>
            <w:pPr>
              <w:pStyle w:val="TableContents"/>
              <w:spacing w:before="0" w:after="283"/>
              <w:jc w:val="left"/>
              <w:rPr/>
            </w:pPr>
            <w:r>
              <w:rPr/>
              <w:t> </w:t>
            </w:r>
          </w:p>
        </w:tc>
        <w:tc>
          <w:tcPr>
            <w:tcW w:w="12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5.81</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5.27</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9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648,888</w:t>
            </w:r>
          </w:p>
        </w:tc>
        <w:tc>
          <w:tcPr>
            <w:tcW w:w="141"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15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stock-based compensation for stock options was $461,166 and $801,396 during the three and six months ended June 30, 2013,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Restricted Stock Units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Restricted stock unit, or RSU, awards are granted subject to certain restrictions, including performance and market based conditions. The grant-date fair value of the RSUs, which has been determined based upon the market value of the Company’s shares on the grant date, is expensed over the vesting period. Unvested portions of RSUs issued to consultants are remeasured on an interim basis until vesting criteria is met. On May 2, 2013, the Board of Directors of the Company amended and restated the Plan to provide for the issuance of restricted stock units under the Plan.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 2013, the Company entered into an amended and restated employment agreement with its CEO, Mark Baum. Among other things, the amended and restated employment agreement provides for the issuance of 1,250,000 RSUs to Mr. Baum, pursuant to the Plan. Of these RSUs, 200,000 vest on the third anniversary of the RSU grant based on continued service to the Company and the remaining 1,050,000 RSUs will vest based on the satisfaction of certain market-based and continued service conditions (the “Baum Performance Equity Award”). The Baum Performance Equity Award vest three years from the date of grant contingent upon the satisfaction of certain market-based vesting criteria during the three year period. The market-based vesting criteria are separated into five equal tranches and require that the Company achieves and maintains certain stock price targets ranging from $10 per share to $30 per share during the three year period following the grant date. With certain limited exceptions, Mr. Baum must be employed with the Company on the third anniversary of the grant date in order for the Baum Performance Equity Award to vest. These market-based vesting conditions are further described below:</w:t>
      </w:r>
    </w:p>
    <w:p>
      <w:pPr>
        <w:pStyle w:val="TextBody"/>
        <w:spacing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3062"/>
        <w:gridCol w:w="203"/>
        <w:gridCol w:w="3674"/>
        <w:gridCol w:w="203"/>
        <w:gridCol w:w="3063"/>
      </w:tblGrid>
      <w:tr>
        <w:trPr/>
        <w:tc>
          <w:tcPr>
            <w:tcW w:w="3062"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Tranche</w:t>
            </w:r>
          </w:p>
        </w:tc>
        <w:tc>
          <w:tcPr>
            <w:tcW w:w="203" w:type="dxa"/>
            <w:tcBorders/>
            <w:shd w:fill="auto" w:val="clear"/>
            <w:tcMar>
              <w:bottom w:w="0" w:type="dxa"/>
            </w:tcMar>
          </w:tcPr>
          <w:p>
            <w:pPr>
              <w:pStyle w:val="TableContents"/>
              <w:spacing w:before="0" w:after="283"/>
              <w:jc w:val="both"/>
              <w:rPr/>
            </w:pPr>
            <w:r>
              <w:rPr/>
              <w:t> </w:t>
            </w:r>
          </w:p>
        </w:tc>
        <w:tc>
          <w:tcPr>
            <w:tcW w:w="3674"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Number of Shares</w:t>
            </w:r>
          </w:p>
        </w:tc>
        <w:tc>
          <w:tcPr>
            <w:tcW w:w="203" w:type="dxa"/>
            <w:tcBorders/>
            <w:shd w:fill="auto" w:val="clear"/>
            <w:tcMar>
              <w:bottom w:w="0" w:type="dxa"/>
            </w:tcMar>
          </w:tcPr>
          <w:p>
            <w:pPr>
              <w:pStyle w:val="TableContents"/>
              <w:spacing w:before="0" w:after="283"/>
              <w:jc w:val="both"/>
              <w:rPr/>
            </w:pPr>
            <w:r>
              <w:rPr/>
              <w:t> </w:t>
            </w:r>
          </w:p>
        </w:tc>
        <w:tc>
          <w:tcPr>
            <w:tcW w:w="3063"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Target Share Price</w:t>
            </w:r>
          </w:p>
        </w:tc>
      </w:tr>
      <w:tr>
        <w:trPr/>
        <w:tc>
          <w:tcPr>
            <w:tcW w:w="306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1</w:t>
            </w:r>
          </w:p>
        </w:tc>
        <w:tc>
          <w:tcPr>
            <w:tcW w:w="203" w:type="dxa"/>
            <w:tcBorders/>
            <w:shd w:fill="CCEEFF" w:val="clear"/>
            <w:tcMar>
              <w:bottom w:w="0" w:type="dxa"/>
            </w:tcMar>
          </w:tcPr>
          <w:p>
            <w:pPr>
              <w:pStyle w:val="TableContents"/>
              <w:spacing w:before="0" w:after="283"/>
              <w:jc w:val="both"/>
              <w:rPr/>
            </w:pPr>
            <w:r>
              <w:rPr/>
              <w:t> </w:t>
            </w:r>
          </w:p>
        </w:tc>
        <w:tc>
          <w:tcPr>
            <w:tcW w:w="3674"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19.05% of the Baum Performance Equity Award granted</w:t>
            </w:r>
          </w:p>
        </w:tc>
        <w:tc>
          <w:tcPr>
            <w:tcW w:w="203" w:type="dxa"/>
            <w:tcBorders/>
            <w:shd w:fill="CCEEFF" w:val="clear"/>
            <w:tcMar>
              <w:bottom w:w="0" w:type="dxa"/>
            </w:tcMar>
          </w:tcPr>
          <w:p>
            <w:pPr>
              <w:pStyle w:val="TableContents"/>
              <w:spacing w:before="0" w:after="283"/>
              <w:jc w:val="both"/>
              <w:rPr/>
            </w:pPr>
            <w:r>
              <w:rPr/>
              <w:t> </w:t>
            </w:r>
          </w:p>
        </w:tc>
        <w:tc>
          <w:tcPr>
            <w:tcW w:w="306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$10.00 or greater</w:t>
            </w:r>
          </w:p>
        </w:tc>
      </w:tr>
      <w:tr>
        <w:trPr/>
        <w:tc>
          <w:tcPr>
            <w:tcW w:w="306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2</w:t>
            </w:r>
          </w:p>
        </w:tc>
        <w:tc>
          <w:tcPr>
            <w:tcW w:w="203" w:type="dxa"/>
            <w:tcBorders/>
            <w:shd w:fill="FFFFFF" w:val="clear"/>
            <w:tcMar>
              <w:bottom w:w="0" w:type="dxa"/>
            </w:tcMar>
          </w:tcPr>
          <w:p>
            <w:pPr>
              <w:pStyle w:val="TableContents"/>
              <w:spacing w:before="0" w:after="283"/>
              <w:jc w:val="both"/>
              <w:rPr/>
            </w:pPr>
            <w:r>
              <w:rPr/>
              <w:t> </w:t>
            </w:r>
          </w:p>
        </w:tc>
        <w:tc>
          <w:tcPr>
            <w:tcW w:w="3674"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19.05% of the Baum Performance Equity Award granted</w:t>
            </w:r>
          </w:p>
        </w:tc>
        <w:tc>
          <w:tcPr>
            <w:tcW w:w="203" w:type="dxa"/>
            <w:tcBorders/>
            <w:shd w:fill="FFFFFF" w:val="clear"/>
            <w:tcMar>
              <w:bottom w:w="0" w:type="dxa"/>
            </w:tcMar>
          </w:tcPr>
          <w:p>
            <w:pPr>
              <w:pStyle w:val="TableContents"/>
              <w:spacing w:before="0" w:after="283"/>
              <w:jc w:val="both"/>
              <w:rPr/>
            </w:pPr>
            <w:r>
              <w:rPr/>
              <w:t> </w:t>
            </w:r>
          </w:p>
        </w:tc>
        <w:tc>
          <w:tcPr>
            <w:tcW w:w="306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$15.00 or greater</w:t>
            </w:r>
          </w:p>
        </w:tc>
      </w:tr>
      <w:tr>
        <w:trPr/>
        <w:tc>
          <w:tcPr>
            <w:tcW w:w="306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3</w:t>
            </w:r>
          </w:p>
        </w:tc>
        <w:tc>
          <w:tcPr>
            <w:tcW w:w="203" w:type="dxa"/>
            <w:tcBorders/>
            <w:shd w:fill="CCEEFF" w:val="clear"/>
            <w:tcMar>
              <w:bottom w:w="0" w:type="dxa"/>
            </w:tcMar>
          </w:tcPr>
          <w:p>
            <w:pPr>
              <w:pStyle w:val="TableContents"/>
              <w:spacing w:before="0" w:after="283"/>
              <w:jc w:val="both"/>
              <w:rPr/>
            </w:pPr>
            <w:r>
              <w:rPr/>
              <w:t> </w:t>
            </w:r>
          </w:p>
        </w:tc>
        <w:tc>
          <w:tcPr>
            <w:tcW w:w="3674"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19.05% of the Baum Performance Equity Award granted</w:t>
            </w:r>
          </w:p>
        </w:tc>
        <w:tc>
          <w:tcPr>
            <w:tcW w:w="203" w:type="dxa"/>
            <w:tcBorders/>
            <w:shd w:fill="CCEEFF" w:val="clear"/>
            <w:tcMar>
              <w:bottom w:w="0" w:type="dxa"/>
            </w:tcMar>
          </w:tcPr>
          <w:p>
            <w:pPr>
              <w:pStyle w:val="TableContents"/>
              <w:spacing w:before="0" w:after="283"/>
              <w:jc w:val="both"/>
              <w:rPr/>
            </w:pPr>
            <w:r>
              <w:rPr/>
              <w:t> </w:t>
            </w:r>
          </w:p>
        </w:tc>
        <w:tc>
          <w:tcPr>
            <w:tcW w:w="306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$20.00 or greater</w:t>
            </w:r>
          </w:p>
        </w:tc>
      </w:tr>
      <w:tr>
        <w:trPr/>
        <w:tc>
          <w:tcPr>
            <w:tcW w:w="306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4</w:t>
            </w:r>
          </w:p>
        </w:tc>
        <w:tc>
          <w:tcPr>
            <w:tcW w:w="203" w:type="dxa"/>
            <w:tcBorders/>
            <w:shd w:fill="FFFFFF" w:val="clear"/>
            <w:tcMar>
              <w:bottom w:w="0" w:type="dxa"/>
            </w:tcMar>
          </w:tcPr>
          <w:p>
            <w:pPr>
              <w:pStyle w:val="TableContents"/>
              <w:spacing w:before="0" w:after="283"/>
              <w:jc w:val="both"/>
              <w:rPr/>
            </w:pPr>
            <w:r>
              <w:rPr/>
              <w:t> </w:t>
            </w:r>
          </w:p>
        </w:tc>
        <w:tc>
          <w:tcPr>
            <w:tcW w:w="3674"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19.05% of the Baum Performance Equity Award granted</w:t>
            </w:r>
          </w:p>
        </w:tc>
        <w:tc>
          <w:tcPr>
            <w:tcW w:w="203" w:type="dxa"/>
            <w:tcBorders/>
            <w:shd w:fill="FFFFFF" w:val="clear"/>
            <w:tcMar>
              <w:bottom w:w="0" w:type="dxa"/>
            </w:tcMar>
          </w:tcPr>
          <w:p>
            <w:pPr>
              <w:pStyle w:val="TableContents"/>
              <w:spacing w:before="0" w:after="283"/>
              <w:jc w:val="both"/>
              <w:rPr/>
            </w:pPr>
            <w:r>
              <w:rPr/>
              <w:t> </w:t>
            </w:r>
          </w:p>
        </w:tc>
        <w:tc>
          <w:tcPr>
            <w:tcW w:w="306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$25.00 or greater</w:t>
            </w:r>
          </w:p>
        </w:tc>
      </w:tr>
      <w:tr>
        <w:trPr/>
        <w:tc>
          <w:tcPr>
            <w:tcW w:w="306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5</w:t>
            </w:r>
          </w:p>
        </w:tc>
        <w:tc>
          <w:tcPr>
            <w:tcW w:w="203" w:type="dxa"/>
            <w:tcBorders/>
            <w:shd w:fill="CCEEFF" w:val="clear"/>
            <w:tcMar>
              <w:bottom w:w="0" w:type="dxa"/>
            </w:tcMar>
          </w:tcPr>
          <w:p>
            <w:pPr>
              <w:pStyle w:val="TableContents"/>
              <w:spacing w:before="0" w:after="283"/>
              <w:jc w:val="both"/>
              <w:rPr/>
            </w:pPr>
            <w:r>
              <w:rPr/>
              <w:t> </w:t>
            </w:r>
          </w:p>
        </w:tc>
        <w:tc>
          <w:tcPr>
            <w:tcW w:w="3674"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23.80% of the Baum Performance Equity Award granted</w:t>
            </w:r>
          </w:p>
        </w:tc>
        <w:tc>
          <w:tcPr>
            <w:tcW w:w="203" w:type="dxa"/>
            <w:tcBorders/>
            <w:shd w:fill="CCEEFF" w:val="clear"/>
            <w:tcMar>
              <w:bottom w:w="0" w:type="dxa"/>
            </w:tcMar>
          </w:tcPr>
          <w:p>
            <w:pPr>
              <w:pStyle w:val="TableContents"/>
              <w:spacing w:before="0" w:after="283"/>
              <w:jc w:val="both"/>
              <w:rPr/>
            </w:pPr>
            <w:r>
              <w:rPr/>
              <w:t> </w:t>
            </w:r>
          </w:p>
        </w:tc>
        <w:tc>
          <w:tcPr>
            <w:tcW w:w="306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$30.00 or greater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 w:name="PGBRK13"/>
      <w:bookmarkStart w:id="123" w:name="PGBRK13"/>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FTR13"/>
      <w:bookmarkStart w:id="125" w:name="FTR13"/>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6" w:name="GLFTR13"/>
      <w:bookmarkEnd w:id="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7" w:name="PN13"/>
      <w:bookmarkEnd w:id="127"/>
      <w:r>
        <w:rPr>
          <w:rFonts w:ascii="effontselection" w:hAnsi="effontselectio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HDR10"/>
      <w:bookmarkStart w:id="129" w:name="HDR10"/>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0" w:name="GLHDR13"/>
        <w:bookmarkEnd w:id="13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RSUs under the Baum Performance Equity Award will be forfeited on the third anniversary of the grant date.</w:t>
      </w:r>
    </w:p>
    <w:p>
      <w:pPr>
        <w:pStyle w:val="TextBody"/>
        <w:spacing w:before="0" w:after="0"/>
        <w:ind w:left="0" w:right="0" w:hanging="0"/>
        <w:jc w:val="both"/>
        <w:rPr/>
      </w:pPr>
      <w:r>
        <w:rPr/>
        <w:t> </w:t>
      </w:r>
    </w:p>
    <w:p>
      <w:pPr>
        <w:pStyle w:val="TextBody"/>
        <w:spacing w:before="0" w:after="0"/>
        <w:jc w:val="both"/>
        <w:rPr>
          <w:rFonts w:ascii="Times New Roman" w:hAnsi="Times New Roman"/>
          <w:sz w:val="20"/>
        </w:rPr>
      </w:pPr>
      <w:r>
        <w:rPr>
          <w:rFonts w:ascii="Times New Roman" w:hAnsi="Times New Roman"/>
          <w:sz w:val="20"/>
        </w:rPr>
        <w:t>Under the terms of the employment agreement with Mr. Baum, the earning and issuance of any shares under the Baum Performance Equity Award that would exceed the number of shares available for grant and/or the applicable annual per person grant limit for performance-based restricted stock units under the Plan are subject to approval by the Board of Directors and the Company’s stockholders of an increase in the number of shares available for grant and the applicable annual per person grant limit for performance-based restricted stock units under the Plan. The Board approved such increases on May 2, 2013. The current per person grant limit under the Plan for grants of performance-based restricted stock units is 600,000 shares. As a result, if such an amendment to the Plan is not approved by the Company’s stockholders, Mr. Baum will only be entitled to receive a maximum of 600,000 RSUs pursuant to the Baum Performance Equity Award. Effective upon approval of a Plan amendment by the Company’s stockholders and subsequent grant of the remaining 450,000 RSUs pursuant to the Baum Performance Equity Award, Mr. Baum has agreed to cancel 120,000 unvested RSUs previously granted to him in July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initial fair value of the 200,000 RSUs and 600,000 RSUs pursuant to the Baum Performance Equity Award granted to Mr. Baum was $3,515,090 and as of June 30, 2013, the amount of unamortized stock based compensation that has not been expensed related to the unvested RSUs grants is $3,329,796. The 600,000 RSUs pursuant to the Baum Performance Equity Award were valued using a Monte Carlo Simulation with a three year life, 75% volatility and a risk free interest rate of 0.30%.</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24, 2013, the Company granted 100,000 RSUs to a consultant that will vest based on the satisfaction of certain market-based conditions subject to the consultant’s continued service, among other things. These market-based vesting conditions are further described below:</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061"/>
        <w:gridCol w:w="203"/>
        <w:gridCol w:w="3676"/>
        <w:gridCol w:w="203"/>
        <w:gridCol w:w="3062"/>
      </w:tblGrid>
      <w:tr>
        <w:trPr/>
        <w:tc>
          <w:tcPr>
            <w:tcW w:w="3061"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Tranche</w:t>
            </w:r>
          </w:p>
        </w:tc>
        <w:tc>
          <w:tcPr>
            <w:tcW w:w="203" w:type="dxa"/>
            <w:tcBorders/>
            <w:shd w:fill="auto" w:val="clear"/>
            <w:tcMar>
              <w:bottom w:w="0" w:type="dxa"/>
            </w:tcMar>
          </w:tcPr>
          <w:p>
            <w:pPr>
              <w:pStyle w:val="TableContents"/>
              <w:spacing w:before="0" w:after="283"/>
              <w:rPr/>
            </w:pPr>
            <w:r>
              <w:rPr/>
              <w:t> </w:t>
            </w:r>
          </w:p>
        </w:tc>
        <w:tc>
          <w:tcPr>
            <w:tcW w:w="3676"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Number of Shares</w:t>
            </w:r>
          </w:p>
        </w:tc>
        <w:tc>
          <w:tcPr>
            <w:tcW w:w="203" w:type="dxa"/>
            <w:tcBorders/>
            <w:shd w:fill="auto" w:val="clear"/>
            <w:tcMar>
              <w:bottom w:w="0" w:type="dxa"/>
            </w:tcMar>
          </w:tcPr>
          <w:p>
            <w:pPr>
              <w:pStyle w:val="TableContents"/>
              <w:spacing w:before="0" w:after="283"/>
              <w:rPr/>
            </w:pPr>
            <w:r>
              <w:rPr/>
              <w:t> </w:t>
            </w:r>
          </w:p>
        </w:tc>
        <w:tc>
          <w:tcPr>
            <w:tcW w:w="3062"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Target Share Price</w:t>
            </w:r>
          </w:p>
        </w:tc>
      </w:tr>
      <w:tr>
        <w:trPr/>
        <w:tc>
          <w:tcPr>
            <w:tcW w:w="306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1</w:t>
            </w:r>
          </w:p>
        </w:tc>
        <w:tc>
          <w:tcPr>
            <w:tcW w:w="203" w:type="dxa"/>
            <w:tcBorders/>
            <w:shd w:fill="CCEEFF" w:val="clear"/>
            <w:tcMar>
              <w:bottom w:w="0" w:type="dxa"/>
            </w:tcMar>
          </w:tcPr>
          <w:p>
            <w:pPr>
              <w:pStyle w:val="TableContents"/>
              <w:spacing w:before="0" w:after="283"/>
              <w:rPr/>
            </w:pPr>
            <w:r>
              <w:rPr/>
              <w:t> </w:t>
            </w:r>
          </w:p>
        </w:tc>
        <w:tc>
          <w:tcPr>
            <w:tcW w:w="367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20,000 shares</w:t>
            </w:r>
          </w:p>
        </w:tc>
        <w:tc>
          <w:tcPr>
            <w:tcW w:w="203" w:type="dxa"/>
            <w:tcBorders/>
            <w:shd w:fill="CCEEFF" w:val="clear"/>
            <w:tcMar>
              <w:bottom w:w="0" w:type="dxa"/>
            </w:tcMar>
          </w:tcPr>
          <w:p>
            <w:pPr>
              <w:pStyle w:val="TableContents"/>
              <w:spacing w:before="0" w:after="283"/>
              <w:rPr/>
            </w:pPr>
            <w:r>
              <w:rPr/>
              <w:t> </w:t>
            </w:r>
          </w:p>
        </w:tc>
        <w:tc>
          <w:tcPr>
            <w:tcW w:w="306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$10.00 or greater</w:t>
            </w:r>
          </w:p>
        </w:tc>
      </w:tr>
      <w:tr>
        <w:trPr/>
        <w:tc>
          <w:tcPr>
            <w:tcW w:w="306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2</w:t>
            </w:r>
          </w:p>
        </w:tc>
        <w:tc>
          <w:tcPr>
            <w:tcW w:w="203" w:type="dxa"/>
            <w:tcBorders/>
            <w:shd w:fill="FFFFFF" w:val="clear"/>
            <w:tcMar>
              <w:bottom w:w="0" w:type="dxa"/>
            </w:tcMar>
          </w:tcPr>
          <w:p>
            <w:pPr>
              <w:pStyle w:val="TableContents"/>
              <w:spacing w:before="0" w:after="283"/>
              <w:rPr/>
            </w:pPr>
            <w:r>
              <w:rPr/>
              <w:t> </w:t>
            </w:r>
          </w:p>
        </w:tc>
        <w:tc>
          <w:tcPr>
            <w:tcW w:w="367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20,000 shares</w:t>
            </w:r>
          </w:p>
        </w:tc>
        <w:tc>
          <w:tcPr>
            <w:tcW w:w="203" w:type="dxa"/>
            <w:tcBorders/>
            <w:shd w:fill="FFFFFF" w:val="clear"/>
            <w:tcMar>
              <w:bottom w:w="0" w:type="dxa"/>
            </w:tcMar>
          </w:tcPr>
          <w:p>
            <w:pPr>
              <w:pStyle w:val="TableContents"/>
              <w:spacing w:before="0" w:after="283"/>
              <w:rPr/>
            </w:pPr>
            <w:r>
              <w:rPr/>
              <w:t> </w:t>
            </w:r>
          </w:p>
        </w:tc>
        <w:tc>
          <w:tcPr>
            <w:tcW w:w="306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$15.00 or greater</w:t>
            </w:r>
          </w:p>
        </w:tc>
      </w:tr>
      <w:tr>
        <w:trPr/>
        <w:tc>
          <w:tcPr>
            <w:tcW w:w="306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3</w:t>
            </w:r>
          </w:p>
        </w:tc>
        <w:tc>
          <w:tcPr>
            <w:tcW w:w="203" w:type="dxa"/>
            <w:tcBorders/>
            <w:shd w:fill="CCEEFF" w:val="clear"/>
            <w:tcMar>
              <w:bottom w:w="0" w:type="dxa"/>
            </w:tcMar>
          </w:tcPr>
          <w:p>
            <w:pPr>
              <w:pStyle w:val="TableContents"/>
              <w:spacing w:before="0" w:after="283"/>
              <w:rPr/>
            </w:pPr>
            <w:r>
              <w:rPr/>
              <w:t> </w:t>
            </w:r>
          </w:p>
        </w:tc>
        <w:tc>
          <w:tcPr>
            <w:tcW w:w="367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20,000 shares</w:t>
            </w:r>
          </w:p>
        </w:tc>
        <w:tc>
          <w:tcPr>
            <w:tcW w:w="203" w:type="dxa"/>
            <w:tcBorders/>
            <w:shd w:fill="CCEEFF" w:val="clear"/>
            <w:tcMar>
              <w:bottom w:w="0" w:type="dxa"/>
            </w:tcMar>
          </w:tcPr>
          <w:p>
            <w:pPr>
              <w:pStyle w:val="TableContents"/>
              <w:spacing w:before="0" w:after="283"/>
              <w:rPr/>
            </w:pPr>
            <w:r>
              <w:rPr/>
              <w:t> </w:t>
            </w:r>
          </w:p>
        </w:tc>
        <w:tc>
          <w:tcPr>
            <w:tcW w:w="306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$20.00 or greater</w:t>
            </w:r>
          </w:p>
        </w:tc>
      </w:tr>
      <w:tr>
        <w:trPr/>
        <w:tc>
          <w:tcPr>
            <w:tcW w:w="306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4</w:t>
            </w:r>
          </w:p>
        </w:tc>
        <w:tc>
          <w:tcPr>
            <w:tcW w:w="203" w:type="dxa"/>
            <w:tcBorders/>
            <w:shd w:fill="FFFFFF" w:val="clear"/>
            <w:tcMar>
              <w:bottom w:w="0" w:type="dxa"/>
            </w:tcMar>
          </w:tcPr>
          <w:p>
            <w:pPr>
              <w:pStyle w:val="TableContents"/>
              <w:spacing w:before="0" w:after="283"/>
              <w:rPr/>
            </w:pPr>
            <w:r>
              <w:rPr/>
              <w:t> </w:t>
            </w:r>
          </w:p>
        </w:tc>
        <w:tc>
          <w:tcPr>
            <w:tcW w:w="367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20,000 shares</w:t>
            </w:r>
          </w:p>
        </w:tc>
        <w:tc>
          <w:tcPr>
            <w:tcW w:w="203" w:type="dxa"/>
            <w:tcBorders/>
            <w:shd w:fill="FFFFFF" w:val="clear"/>
            <w:tcMar>
              <w:bottom w:w="0" w:type="dxa"/>
            </w:tcMar>
          </w:tcPr>
          <w:p>
            <w:pPr>
              <w:pStyle w:val="TableContents"/>
              <w:spacing w:before="0" w:after="283"/>
              <w:rPr/>
            </w:pPr>
            <w:r>
              <w:rPr/>
              <w:t> </w:t>
            </w:r>
          </w:p>
        </w:tc>
        <w:tc>
          <w:tcPr>
            <w:tcW w:w="306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$25.00 or greater</w:t>
            </w:r>
          </w:p>
        </w:tc>
      </w:tr>
      <w:tr>
        <w:trPr/>
        <w:tc>
          <w:tcPr>
            <w:tcW w:w="306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5</w:t>
            </w:r>
          </w:p>
        </w:tc>
        <w:tc>
          <w:tcPr>
            <w:tcW w:w="203" w:type="dxa"/>
            <w:tcBorders/>
            <w:shd w:fill="CCEEFF" w:val="clear"/>
            <w:tcMar>
              <w:bottom w:w="0" w:type="dxa"/>
            </w:tcMar>
          </w:tcPr>
          <w:p>
            <w:pPr>
              <w:pStyle w:val="TableContents"/>
              <w:spacing w:before="0" w:after="283"/>
              <w:rPr/>
            </w:pPr>
            <w:r>
              <w:rPr/>
              <w:t> </w:t>
            </w:r>
          </w:p>
        </w:tc>
        <w:tc>
          <w:tcPr>
            <w:tcW w:w="367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20,000 shares</w:t>
            </w:r>
          </w:p>
        </w:tc>
        <w:tc>
          <w:tcPr>
            <w:tcW w:w="203" w:type="dxa"/>
            <w:tcBorders/>
            <w:shd w:fill="CCEEFF" w:val="clear"/>
            <w:tcMar>
              <w:bottom w:w="0" w:type="dxa"/>
            </w:tcMar>
          </w:tcPr>
          <w:p>
            <w:pPr>
              <w:pStyle w:val="TableContents"/>
              <w:spacing w:before="0" w:after="283"/>
              <w:rPr/>
            </w:pPr>
            <w:r>
              <w:rPr/>
              <w:t> </w:t>
            </w:r>
          </w:p>
        </w:tc>
        <w:tc>
          <w:tcPr>
            <w:tcW w:w="306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$30.00 or greater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during the Measurement Period must be at or above the Target Share Price for such tranche ((i) and (ii), the “Stock Price Conditions”); and (iii) with certain limited exceptions, 50% of the RSUs subject to a tranche will vest on the quarterly anniversary of the grant date following the satisfaction of the Stock Price Conditions with respect to that tranche, subject to the consultant being in continuous service with the Company on such quarterly anniversary and the remaining 50% shall vest on the second anniversary of the grant date if (a) the Stock Price Conditions have been satisfied with respect to that tranche prior to the second anniversary of the grant date and (b) the consultant is and has been in continuous service with the Company on the second anniversary of the grant date. All unvested RSUs will be forfeited on the second anniversary of the grant 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31" w:name="PGBRK14"/>
      <w:bookmarkStart w:id="132" w:name="PGBRK14"/>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3" w:name="FTR14"/>
      <w:bookmarkStart w:id="134" w:name="FTR14"/>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5" w:name="GLFTR14"/>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6" w:name="PN14"/>
      <w:bookmarkEnd w:id="136"/>
      <w:r>
        <w:rPr>
          <w:rFonts w:ascii="effontselection" w:hAnsi="effontselectio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7" w:name="HDR11"/>
      <w:bookmarkStart w:id="138" w:name="HDR11"/>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9" w:name="GLHDR14"/>
        <w:bookmarkEnd w:id="13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initial value of the 100,000 RSUs with market-based vesting conditions granted to the consultant was $288,000, and as of June 30, 2013 the remeasured fair value of those RSUs was $203,520. The amount of unamortized stock-based compensation that has not been expensed related to the unvested RSU grant is $195,040. The 100,000 RSUs are valued using a Monte Carlo Simulation with a 2 year life (based on the grant date), 80% volatility and risk free interest rates of 0.26%-0.36%.</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June 2013, the Board of Directors approved a one-time grant of 6,865 RSUs (34,325 RSUs total) to non-employee directors with an aggregate fair value of $271,854. The RSUs vest in full 13 months from the date of grant subject to the director being in continuous service with the Company. Once vesting conditions have been achieved, the RSUs will remain restricted until the directors resign.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RSU activity and related information for the six months ended June 30, 2013 is as follows:</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7092"/>
        <w:gridCol w:w="119"/>
        <w:gridCol w:w="119"/>
        <w:gridCol w:w="1242"/>
        <w:gridCol w:w="130"/>
        <w:gridCol w:w="119"/>
        <w:gridCol w:w="191"/>
        <w:gridCol w:w="1061"/>
        <w:gridCol w:w="132"/>
      </w:tblGrid>
      <w:tr>
        <w:trPr/>
        <w:tc>
          <w:tcPr>
            <w:tcW w:w="7092" w:type="dxa"/>
            <w:tcBorders/>
            <w:shd w:fill="auto" w:val="clear"/>
            <w:vAlign w:val="bottom"/>
          </w:tcPr>
          <w:p>
            <w:pPr>
              <w:pStyle w:val="TableContents"/>
              <w:spacing w:before="0" w:after="283"/>
              <w:ind w:left="0" w:right="0" w:hanging="0"/>
              <w:jc w:val="center"/>
              <w:rPr/>
            </w:pPr>
            <w:r>
              <w:rPr/>
              <w:t> </w:t>
            </w:r>
          </w:p>
        </w:tc>
        <w:tc>
          <w:tcPr>
            <w:tcW w:w="119" w:type="dxa"/>
            <w:tcBorders/>
            <w:shd w:fill="auto" w:val="clear"/>
            <w:vAlign w:val="bottom"/>
          </w:tcPr>
          <w:p>
            <w:pPr>
              <w:pStyle w:val="TableContents"/>
              <w:spacing w:before="0" w:after="283"/>
              <w:ind w:left="0" w:right="0" w:hanging="0"/>
              <w:jc w:val="center"/>
              <w:rPr/>
            </w:pPr>
            <w:r>
              <w:rPr/>
              <w:t> </w:t>
            </w:r>
          </w:p>
        </w:tc>
        <w:tc>
          <w:tcPr>
            <w:tcW w:w="13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RSUs</w:t>
            </w:r>
          </w:p>
        </w:tc>
        <w:tc>
          <w:tcPr>
            <w:tcW w:w="130" w:type="dxa"/>
            <w:tcBorders/>
            <w:shd w:fill="auto" w:val="clear"/>
            <w:vAlign w:val="bottom"/>
          </w:tcPr>
          <w:p>
            <w:pPr>
              <w:pStyle w:val="TableContents"/>
              <w:spacing w:before="0" w:after="283"/>
              <w:ind w:left="0" w:right="0" w:hanging="0"/>
              <w:jc w:val="center"/>
              <w:rPr/>
            </w:pPr>
            <w:r>
              <w:rPr/>
              <w:t> </w:t>
            </w:r>
          </w:p>
        </w:tc>
        <w:tc>
          <w:tcPr>
            <w:tcW w:w="119" w:type="dxa"/>
            <w:tcBorders/>
            <w:shd w:fill="auto" w:val="clear"/>
            <w:vAlign w:val="bottom"/>
          </w:tcPr>
          <w:p>
            <w:pPr>
              <w:pStyle w:val="TableContents"/>
              <w:spacing w:before="0" w:after="283"/>
              <w:ind w:left="0" w:right="0" w:hanging="0"/>
              <w:jc w:val="center"/>
              <w:rPr/>
            </w:pPr>
            <w:r>
              <w:rPr/>
              <w:t> </w:t>
            </w:r>
          </w:p>
        </w:tc>
        <w:tc>
          <w:tcPr>
            <w:tcW w:w="125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Average Grant Date Fair Value</w:t>
            </w:r>
          </w:p>
        </w:tc>
        <w:tc>
          <w:tcPr>
            <w:tcW w:w="132" w:type="dxa"/>
            <w:tcBorders/>
            <w:shd w:fill="auto" w:val="clear"/>
            <w:vAlign w:val="bottom"/>
          </w:tcPr>
          <w:p>
            <w:pPr>
              <w:pStyle w:val="TableContents"/>
              <w:spacing w:before="0" w:after="283"/>
              <w:jc w:val="left"/>
              <w:rPr/>
            </w:pPr>
            <w:r>
              <w:rPr/>
              <w:t> </w:t>
            </w:r>
          </w:p>
        </w:tc>
      </w:tr>
      <w:tr>
        <w:trPr/>
        <w:tc>
          <w:tcPr>
            <w:tcW w:w="709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RSUs outstanding - January 1, 2013</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left"/>
              <w:rPr/>
            </w:pPr>
            <w:r>
              <w:rPr/>
              <w:t> </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0"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9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132" w:type="dxa"/>
            <w:tcBorders/>
            <w:shd w:fill="CCEEFF" w:val="clear"/>
            <w:vAlign w:val="bottom"/>
          </w:tcPr>
          <w:p>
            <w:pPr>
              <w:pStyle w:val="TableContents"/>
              <w:spacing w:before="0" w:after="283"/>
              <w:jc w:val="left"/>
              <w:rPr/>
            </w:pPr>
            <w:r>
              <w:rPr/>
              <w:t> </w:t>
            </w:r>
          </w:p>
        </w:tc>
      </w:tr>
      <w:tr>
        <w:trPr/>
        <w:tc>
          <w:tcPr>
            <w:tcW w:w="709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RSUs granted</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934,325</w:t>
            </w:r>
          </w:p>
        </w:tc>
        <w:tc>
          <w:tcPr>
            <w:tcW w:w="130"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w:t>
            </w:r>
          </w:p>
        </w:tc>
        <w:tc>
          <w:tcPr>
            <w:tcW w:w="10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4.36</w:t>
            </w:r>
          </w:p>
        </w:tc>
        <w:tc>
          <w:tcPr>
            <w:tcW w:w="132" w:type="dxa"/>
            <w:tcBorders/>
            <w:shd w:fill="FFFFFF" w:val="clear"/>
            <w:vAlign w:val="bottom"/>
          </w:tcPr>
          <w:p>
            <w:pPr>
              <w:pStyle w:val="TableContents"/>
              <w:spacing w:before="0" w:after="283"/>
              <w:jc w:val="left"/>
              <w:rPr/>
            </w:pPr>
            <w:r>
              <w:rPr/>
              <w:t> </w:t>
            </w:r>
          </w:p>
        </w:tc>
      </w:tr>
      <w:tr>
        <w:trPr/>
        <w:tc>
          <w:tcPr>
            <w:tcW w:w="709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RSUs vested</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left"/>
              <w:rPr/>
            </w:pPr>
            <w:r>
              <w:rPr/>
              <w:t> </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3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right"/>
              <w:rPr/>
            </w:pPr>
            <w:r>
              <w:rPr/>
              <w:t> </w:t>
            </w:r>
          </w:p>
        </w:tc>
        <w:tc>
          <w:tcPr>
            <w:tcW w:w="191"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132" w:type="dxa"/>
            <w:tcBorders/>
            <w:shd w:fill="CCEEFF" w:val="clear"/>
            <w:vAlign w:val="bottom"/>
          </w:tcPr>
          <w:p>
            <w:pPr>
              <w:pStyle w:val="TableContents"/>
              <w:spacing w:before="0" w:after="283"/>
              <w:jc w:val="left"/>
              <w:rPr/>
            </w:pPr>
            <w:r>
              <w:rPr/>
              <w:t> </w:t>
            </w:r>
          </w:p>
        </w:tc>
      </w:tr>
      <w:tr>
        <w:trPr/>
        <w:tc>
          <w:tcPr>
            <w:tcW w:w="709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RSUs cancelled</w:t>
            </w:r>
          </w:p>
        </w:tc>
        <w:tc>
          <w:tcPr>
            <w:tcW w:w="119" w:type="dxa"/>
            <w:tcBorders/>
            <w:shd w:fill="FFFFFF" w:val="clear"/>
            <w:vAlign w:val="bottom"/>
          </w:tcPr>
          <w:p>
            <w:pPr>
              <w:pStyle w:val="TableContents"/>
              <w:spacing w:before="0" w:after="283"/>
              <w:jc w:val="left"/>
              <w:rPr/>
            </w:pPr>
            <w:r>
              <w:rPr/>
              <w:t> </w:t>
            </w:r>
          </w:p>
        </w:tc>
        <w:tc>
          <w:tcPr>
            <w:tcW w:w="11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9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left"/>
              <w:rPr/>
            </w:pPr>
            <w:r>
              <w:rPr/>
              <w:t> </w:t>
            </w:r>
          </w:p>
        </w:tc>
      </w:tr>
      <w:tr>
        <w:trPr/>
        <w:tc>
          <w:tcPr>
            <w:tcW w:w="709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June 30, 2013</w:t>
            </w:r>
          </w:p>
        </w:tc>
        <w:tc>
          <w:tcPr>
            <w:tcW w:w="119" w:type="dxa"/>
            <w:tcBorders/>
            <w:shd w:fill="CCEEFF" w:val="clear"/>
            <w:vAlign w:val="bottom"/>
          </w:tcPr>
          <w:p>
            <w:pPr>
              <w:pStyle w:val="TableContents"/>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1,094,325</w:t>
            </w:r>
          </w:p>
        </w:tc>
        <w:tc>
          <w:tcPr>
            <w:tcW w:w="130"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18, 2012, a consultant was issued RSUs (40,000 shares) valued at $130,000, and as of June 30, 2013, the remeasured fair value of those RSUs was $339,200.</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June 30, 2013, the total unrecognized compensation expense related to unvested RSUs (including the 600,000 Baum PSUs authorized under the Plan) was approximately $4,189,000 (including recognized and unrecognized expenses of the remeasured fair value of consultant RSUs) which are expected to be recognized over a weighted-average period of 2.49 years, based on estimated vesting schedules. The stock-based compensation for RSU’s was $302,094 and $297,019 during the three and six months ended June 30, 2013,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Warrants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From time to time, the Company issues warrants to purchase shares of the Company’s common stock to investors, note holders, underwriters and to non-employees for services rendered or to be rendered in the future.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a warrant to purchase 30,000 shares of the Company’s common stock to a consultant with an exercise price of $5.25 per share. The warrants expire three years following the issuance date, and vest as follows: 10,000 shares vested immediately upon execution of the consulting agreement, and the remaining shares will vest evenly (4,000 shares) on each of the five monthly periods following the date of the consulting agreement provided the consultant continues to provide services to the Company as of the applicable vesting 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40" w:name="PGBRK15"/>
      <w:bookmarkStart w:id="141" w:name="PGBRK15"/>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2" w:name="FTR15"/>
      <w:bookmarkStart w:id="143" w:name="FTR15"/>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4" w:name="GLFTR15"/>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5" w:name="PN15"/>
      <w:bookmarkEnd w:id="145"/>
      <w:r>
        <w:rPr>
          <w:rFonts w:ascii="effontselection" w:hAnsi="effontselectio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6" w:name="HDR12"/>
      <w:bookmarkStart w:id="147" w:name="HDR12"/>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8" w:name="GLHDR15"/>
        <w:bookmarkEnd w:id="14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A summary of the activity of the warrants for the six months ended June 30, 2013 is as follows:</w:t>
      </w:r>
    </w:p>
    <w:p>
      <w:pPr>
        <w:pStyle w:val="TextBody"/>
        <w:spacing w:before="0" w:after="0"/>
        <w:ind w:left="0" w:right="0" w:hanging="0"/>
        <w:rPr/>
      </w:pPr>
      <w:r>
        <w:rPr/>
      </w:r>
    </w:p>
    <w:tbl>
      <w:tblPr>
        <w:tblW w:w="4250" w:type="pct"/>
        <w:jc w:val="center"/>
        <w:tblInd w:w="0" w:type="dxa"/>
        <w:tblCellMar>
          <w:top w:w="0" w:type="dxa"/>
          <w:left w:w="0" w:type="dxa"/>
          <w:bottom w:w="0" w:type="dxa"/>
          <w:right w:w="0" w:type="dxa"/>
        </w:tblCellMar>
      </w:tblPr>
      <w:tblGrid>
        <w:gridCol w:w="6097"/>
        <w:gridCol w:w="98"/>
        <w:gridCol w:w="104"/>
        <w:gridCol w:w="1020"/>
        <w:gridCol w:w="107"/>
        <w:gridCol w:w="98"/>
        <w:gridCol w:w="125"/>
        <w:gridCol w:w="915"/>
        <w:gridCol w:w="110"/>
      </w:tblGrid>
      <w:tr>
        <w:trPr/>
        <w:tc>
          <w:tcPr>
            <w:tcW w:w="60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center"/>
              <w:rPr/>
            </w:pPr>
            <w:r>
              <w:rPr/>
              <w:t> </w:t>
            </w:r>
          </w:p>
        </w:tc>
        <w:tc>
          <w:tcPr>
            <w:tcW w:w="11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Subject to Warrants Outstanding</w:t>
            </w:r>
          </w:p>
        </w:tc>
        <w:tc>
          <w:tcPr>
            <w:tcW w:w="107" w:type="dxa"/>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jc w:val="center"/>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Price</w:t>
            </w:r>
          </w:p>
        </w:tc>
        <w:tc>
          <w:tcPr>
            <w:tcW w:w="110" w:type="dxa"/>
            <w:tcBorders/>
            <w:shd w:fill="auto" w:val="clear"/>
            <w:vAlign w:val="bottom"/>
          </w:tcPr>
          <w:p>
            <w:pPr>
              <w:pStyle w:val="TableContents"/>
              <w:spacing w:before="0" w:after="283"/>
              <w:jc w:val="left"/>
              <w:rPr/>
            </w:pPr>
            <w:r>
              <w:rPr/>
              <w:t> </w:t>
            </w:r>
          </w:p>
        </w:tc>
      </w:tr>
      <w:tr>
        <w:trPr/>
        <w:tc>
          <w:tcPr>
            <w:tcW w:w="60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609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 January 1, 2013</w:t>
            </w:r>
          </w:p>
        </w:tc>
        <w:tc>
          <w:tcPr>
            <w:tcW w:w="98"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556,872</w:t>
            </w:r>
          </w:p>
        </w:tc>
        <w:tc>
          <w:tcPr>
            <w:tcW w:w="107"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w:t>
            </w:r>
          </w:p>
        </w:tc>
        <w:tc>
          <w:tcPr>
            <w:tcW w:w="110" w:type="dxa"/>
            <w:tcBorders/>
            <w:shd w:fill="CCEEFF" w:val="clear"/>
            <w:vAlign w:val="bottom"/>
          </w:tcPr>
          <w:p>
            <w:pPr>
              <w:pStyle w:val="TableContents"/>
              <w:spacing w:before="0" w:after="283"/>
              <w:jc w:val="left"/>
              <w:rPr/>
            </w:pPr>
            <w:r>
              <w:rPr/>
              <w:t> </w:t>
            </w:r>
          </w:p>
        </w:tc>
      </w:tr>
      <w:tr>
        <w:trPr/>
        <w:tc>
          <w:tcPr>
            <w:tcW w:w="609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98"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209,860</w:t>
            </w:r>
          </w:p>
        </w:tc>
        <w:tc>
          <w:tcPr>
            <w:tcW w:w="107"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10" w:type="dxa"/>
            <w:tcBorders/>
            <w:shd w:fill="FFFFFF" w:val="clear"/>
            <w:vAlign w:val="bottom"/>
          </w:tcPr>
          <w:p>
            <w:pPr>
              <w:pStyle w:val="TableContents"/>
              <w:spacing w:before="0" w:after="283"/>
              <w:jc w:val="left"/>
              <w:rPr/>
            </w:pPr>
            <w:r>
              <w:rPr/>
              <w:t> </w:t>
            </w:r>
          </w:p>
        </w:tc>
      </w:tr>
      <w:tr>
        <w:trPr/>
        <w:tc>
          <w:tcPr>
            <w:tcW w:w="609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98"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609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98" w:type="dxa"/>
            <w:tcBorders/>
            <w:shd w:fill="FFFFFF" w:val="cle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(5,682</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176.00</w:t>
            </w:r>
          </w:p>
        </w:tc>
        <w:tc>
          <w:tcPr>
            <w:tcW w:w="110" w:type="dxa"/>
            <w:tcBorders/>
            <w:shd w:fill="FFFFFF" w:val="clear"/>
            <w:vAlign w:val="bottom"/>
          </w:tcPr>
          <w:p>
            <w:pPr>
              <w:pStyle w:val="TableContents"/>
              <w:spacing w:before="0" w:after="283"/>
              <w:jc w:val="left"/>
              <w:rPr/>
            </w:pPr>
            <w:r>
              <w:rPr/>
              <w:t> </w:t>
            </w:r>
          </w:p>
        </w:tc>
      </w:tr>
      <w:tr>
        <w:trPr/>
        <w:tc>
          <w:tcPr>
            <w:tcW w:w="609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and exercisable - June 30, 2013</w:t>
            </w:r>
          </w:p>
        </w:tc>
        <w:tc>
          <w:tcPr>
            <w:tcW w:w="98" w:type="dxa"/>
            <w:tcBorders/>
            <w:shd w:fill="CCEEFF" w:val="clear"/>
            <w:vAlign w:val="bottom"/>
          </w:tcPr>
          <w:p>
            <w:pPr>
              <w:pStyle w:val="TableContents"/>
              <w:spacing w:before="0" w:after="283"/>
              <w:jc w:val="right"/>
              <w:rPr/>
            </w:pPr>
            <w:r>
              <w:rPr/>
              <w:t> </w:t>
            </w:r>
          </w:p>
        </w:tc>
        <w:tc>
          <w:tcPr>
            <w:tcW w:w="10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761,050</w:t>
            </w:r>
          </w:p>
        </w:tc>
        <w:tc>
          <w:tcPr>
            <w:tcW w:w="107"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10" w:type="dxa"/>
            <w:tcBorders/>
            <w:shd w:fill="CCEEFF" w:val="clear"/>
            <w:vAlign w:val="bottom"/>
          </w:tcPr>
          <w:p>
            <w:pPr>
              <w:pStyle w:val="TableContents"/>
              <w:spacing w:before="0" w:after="283"/>
              <w:jc w:val="left"/>
              <w:rPr/>
            </w:pPr>
            <w:r>
              <w:rPr/>
              <w:t> </w:t>
            </w:r>
          </w:p>
        </w:tc>
      </w:tr>
      <w:tr>
        <w:trPr/>
        <w:tc>
          <w:tcPr>
            <w:tcW w:w="609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remaining contractual life of the outstanding warrants in years - June 30, 2013</w:t>
            </w:r>
          </w:p>
        </w:tc>
        <w:tc>
          <w:tcPr>
            <w:tcW w:w="98" w:type="dxa"/>
            <w:tcBorders/>
            <w:shd w:fill="FFFFFF" w:val="clear"/>
            <w:vAlign w:val="bottom"/>
          </w:tcPr>
          <w:p>
            <w:pPr>
              <w:pStyle w:val="TableContents"/>
              <w:spacing w:before="0" w:after="283"/>
              <w:jc w:val="righ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107"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fair value of each warrant is estimated on the date of grant using the Black-Scholes-Merton option pricing model. The table below illustrates the fair value per share determined by the Black-Scholes-Merton option pricing model with the following assumptions used for valuing the warrants issued:</w:t>
      </w:r>
    </w:p>
    <w:p>
      <w:pPr>
        <w:pStyle w:val="TextBody"/>
        <w:spacing w:before="0" w:after="0"/>
        <w:ind w:left="0" w:right="0" w:hanging="0"/>
        <w:jc w:val="left"/>
        <w:rPr/>
      </w:pPr>
      <w:r>
        <w:rPr/>
        <w:t> </w:t>
      </w:r>
    </w:p>
    <w:tbl>
      <w:tblPr>
        <w:tblW w:w="4250" w:type="pct"/>
        <w:jc w:val="center"/>
        <w:tblInd w:w="0" w:type="dxa"/>
        <w:tblCellMar>
          <w:top w:w="0" w:type="dxa"/>
          <w:left w:w="0" w:type="dxa"/>
          <w:bottom w:w="0" w:type="dxa"/>
          <w:right w:w="0" w:type="dxa"/>
        </w:tblCellMar>
      </w:tblPr>
      <w:tblGrid>
        <w:gridCol w:w="7421"/>
        <w:gridCol w:w="101"/>
        <w:gridCol w:w="127"/>
        <w:gridCol w:w="914"/>
        <w:gridCol w:w="111"/>
      </w:tblGrid>
      <w:tr>
        <w:trPr/>
        <w:tc>
          <w:tcPr>
            <w:tcW w:w="7421"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0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1" w:type="dxa"/>
            <w:tcBorders/>
            <w:shd w:fill="auto" w:val="clear"/>
            <w:vAlign w:val="bottom"/>
          </w:tcPr>
          <w:p>
            <w:pPr>
              <w:pStyle w:val="TableContents"/>
              <w:spacing w:before="0" w:after="283"/>
              <w:jc w:val="left"/>
              <w:rPr/>
            </w:pPr>
            <w:r>
              <w:rPr/>
              <w:t> </w:t>
            </w:r>
          </w:p>
        </w:tc>
      </w:tr>
      <w:tr>
        <w:trPr/>
        <w:tc>
          <w:tcPr>
            <w:tcW w:w="742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Weighted-average fair value of warrants granted</w:t>
            </w:r>
          </w:p>
        </w:tc>
        <w:tc>
          <w:tcPr>
            <w:tcW w:w="10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5.10</w:t>
            </w:r>
          </w:p>
        </w:tc>
        <w:tc>
          <w:tcPr>
            <w:tcW w:w="111" w:type="dxa"/>
            <w:tcBorders/>
            <w:shd w:fill="CCEEFF" w:val="clear"/>
            <w:vAlign w:val="bottom"/>
          </w:tcPr>
          <w:p>
            <w:pPr>
              <w:pStyle w:val="TableContents"/>
              <w:spacing w:before="0" w:after="283"/>
              <w:jc w:val="left"/>
              <w:rPr/>
            </w:pPr>
            <w:r>
              <w:rPr/>
              <w:t> </w:t>
            </w:r>
          </w:p>
        </w:tc>
      </w:tr>
      <w:tr>
        <w:trPr/>
        <w:tc>
          <w:tcPr>
            <w:tcW w:w="742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terms (in years)</w:t>
            </w:r>
          </w:p>
        </w:tc>
        <w:tc>
          <w:tcPr>
            <w:tcW w:w="10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2.7-5</w:t>
            </w:r>
          </w:p>
        </w:tc>
        <w:tc>
          <w:tcPr>
            <w:tcW w:w="111" w:type="dxa"/>
            <w:tcBorders/>
            <w:shd w:fill="FFFFFF" w:val="clear"/>
            <w:vAlign w:val="bottom"/>
          </w:tcPr>
          <w:p>
            <w:pPr>
              <w:pStyle w:val="TableContents"/>
              <w:spacing w:before="0" w:after="283"/>
              <w:jc w:val="left"/>
              <w:rPr/>
            </w:pPr>
            <w:r>
              <w:rPr/>
              <w:t> </w:t>
            </w:r>
          </w:p>
        </w:tc>
      </w:tr>
      <w:tr>
        <w:trPr/>
        <w:tc>
          <w:tcPr>
            <w:tcW w:w="742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10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120%-346%</w:t>
            </w:r>
          </w:p>
        </w:tc>
        <w:tc>
          <w:tcPr>
            <w:tcW w:w="111" w:type="dxa"/>
            <w:tcBorders/>
            <w:shd w:fill="CCEEFF" w:val="clear"/>
            <w:vAlign w:val="bottom"/>
          </w:tcPr>
          <w:p>
            <w:pPr>
              <w:pStyle w:val="TableContents"/>
              <w:spacing w:before="0" w:after="283"/>
              <w:jc w:val="left"/>
              <w:rPr/>
            </w:pPr>
            <w:r>
              <w:rPr/>
              <w:t> </w:t>
            </w:r>
          </w:p>
        </w:tc>
      </w:tr>
      <w:tr>
        <w:trPr/>
        <w:tc>
          <w:tcPr>
            <w:tcW w:w="742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0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0.32%-0.92%</w:t>
            </w:r>
          </w:p>
        </w:tc>
        <w:tc>
          <w:tcPr>
            <w:tcW w:w="111" w:type="dxa"/>
            <w:tcBorders/>
            <w:shd w:fill="FFFFFF" w:val="clear"/>
            <w:vAlign w:val="bottom"/>
          </w:tcPr>
          <w:p>
            <w:pPr>
              <w:pStyle w:val="TableContents"/>
              <w:spacing w:before="0" w:after="283"/>
              <w:jc w:val="left"/>
              <w:rPr/>
            </w:pPr>
            <w:r>
              <w:rPr/>
              <w:t> </w:t>
            </w:r>
          </w:p>
        </w:tc>
      </w:tr>
      <w:tr>
        <w:trPr/>
        <w:tc>
          <w:tcPr>
            <w:tcW w:w="742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 yield</w:t>
            </w:r>
          </w:p>
        </w:tc>
        <w:tc>
          <w:tcPr>
            <w:tcW w:w="101"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A list of the warrants outstanding as of June 30, 2013 is included in the table below:</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724"/>
        <w:gridCol w:w="990"/>
        <w:gridCol w:w="183"/>
        <w:gridCol w:w="113"/>
        <w:gridCol w:w="1120"/>
        <w:gridCol w:w="107"/>
        <w:gridCol w:w="107"/>
        <w:gridCol w:w="154"/>
        <w:gridCol w:w="927"/>
        <w:gridCol w:w="107"/>
        <w:gridCol w:w="107"/>
        <w:gridCol w:w="110"/>
        <w:gridCol w:w="1085"/>
        <w:gridCol w:w="183"/>
        <w:gridCol w:w="1188"/>
      </w:tblGrid>
      <w:tr>
        <w:trPr/>
        <w:tc>
          <w:tcPr>
            <w:tcW w:w="3724" w:type="dxa"/>
            <w:tcBorders/>
            <w:shd w:fill="auto" w:val="clear"/>
            <w:vAlign w:val="bottom"/>
          </w:tcPr>
          <w:p>
            <w:pPr>
              <w:pStyle w:val="TableContents"/>
              <w:spacing w:before="0" w:after="283"/>
              <w:ind w:left="0" w:right="0" w:hanging="0"/>
              <w:jc w:val="center"/>
              <w:rPr/>
            </w:pPr>
            <w:r>
              <w:rPr/>
              <w:t> </w:t>
            </w:r>
          </w:p>
        </w:tc>
        <w:tc>
          <w:tcPr>
            <w:tcW w:w="3701" w:type="dxa"/>
            <w:gridSpan w:val="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Warrants Outstanding</w:t>
            </w:r>
          </w:p>
        </w:tc>
        <w:tc>
          <w:tcPr>
            <w:tcW w:w="107" w:type="dxa"/>
            <w:tcBorders/>
            <w:shd w:fill="auto" w:val="clear"/>
            <w:vAlign w:val="bottom"/>
          </w:tcPr>
          <w:p>
            <w:pPr>
              <w:pStyle w:val="TableContents"/>
              <w:spacing w:before="0" w:after="283"/>
              <w:ind w:left="0" w:right="0" w:hanging="0"/>
              <w:jc w:val="center"/>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2566" w:type="dxa"/>
            <w:gridSpan w:val="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Warrants Exercisable</w:t>
            </w:r>
          </w:p>
        </w:tc>
      </w:tr>
      <w:tr>
        <w:trPr/>
        <w:tc>
          <w:tcPr>
            <w:tcW w:w="3724" w:type="dxa"/>
            <w:tcBorders/>
            <w:shd w:fill="auto" w:val="clear"/>
            <w:vAlign w:val="bottom"/>
          </w:tcPr>
          <w:p>
            <w:pPr>
              <w:pStyle w:val="TableContents"/>
              <w:spacing w:before="0" w:after="283"/>
              <w:ind w:left="0" w:right="0" w:hanging="0"/>
              <w:jc w:val="center"/>
              <w:rPr/>
            </w:pPr>
            <w:r>
              <w:rPr/>
              <w:t> </w:t>
            </w:r>
          </w:p>
        </w:tc>
        <w:tc>
          <w:tcPr>
            <w:tcW w:w="990" w:type="dxa"/>
            <w:tcBorders/>
            <w:shd w:fill="auto" w:val="clear"/>
            <w:vAlign w:val="bottom"/>
          </w:tcPr>
          <w:p>
            <w:pPr>
              <w:pStyle w:val="TableContents"/>
              <w:spacing w:before="0" w:after="283"/>
              <w:ind w:left="0" w:right="0" w:hanging="0"/>
              <w:jc w:val="center"/>
              <w:rPr/>
            </w:pPr>
            <w:r>
              <w:rPr/>
              <w:t> </w:t>
            </w:r>
          </w:p>
        </w:tc>
        <w:tc>
          <w:tcPr>
            <w:tcW w:w="183" w:type="dxa"/>
            <w:tcBorders/>
            <w:shd w:fill="auto" w:val="clear"/>
            <w:vAlign w:val="bottom"/>
          </w:tcPr>
          <w:p>
            <w:pPr>
              <w:pStyle w:val="TableContents"/>
              <w:spacing w:before="0" w:after="283"/>
              <w:ind w:left="0" w:right="0" w:hanging="0"/>
              <w:jc w:val="center"/>
              <w:rPr/>
            </w:pPr>
            <w:r>
              <w:rPr/>
              <w:t> </w:t>
            </w:r>
          </w:p>
        </w:tc>
        <w:tc>
          <w:tcPr>
            <w:tcW w:w="123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Warrants</w:t>
            </w:r>
          </w:p>
        </w:tc>
        <w:tc>
          <w:tcPr>
            <w:tcW w:w="107" w:type="dxa"/>
            <w:tcBorders/>
            <w:shd w:fill="auto" w:val="clear"/>
            <w:vAlign w:val="bottom"/>
          </w:tcPr>
          <w:p>
            <w:pPr>
              <w:pStyle w:val="TableContents"/>
              <w:spacing w:before="0" w:after="283"/>
              <w:ind w:left="0" w:right="0" w:hanging="0"/>
              <w:jc w:val="center"/>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108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107" w:type="dxa"/>
            <w:tcBorders/>
            <w:shd w:fill="auto" w:val="clear"/>
            <w:vAlign w:val="bottom"/>
          </w:tcPr>
          <w:p>
            <w:pPr>
              <w:pStyle w:val="TableContents"/>
              <w:spacing w:before="0" w:after="283"/>
              <w:ind w:left="0" w:right="0" w:hanging="0"/>
              <w:jc w:val="center"/>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1195"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Warrants</w:t>
            </w:r>
          </w:p>
        </w:tc>
        <w:tc>
          <w:tcPr>
            <w:tcW w:w="183" w:type="dxa"/>
            <w:tcBorders/>
            <w:shd w:fill="auto" w:val="clear"/>
            <w:vAlign w:val="bottom"/>
          </w:tcPr>
          <w:p>
            <w:pPr>
              <w:pStyle w:val="TableContents"/>
              <w:spacing w:before="0" w:after="283"/>
              <w:ind w:left="0" w:right="0" w:hanging="0"/>
              <w:jc w:val="center"/>
              <w:rPr/>
            </w:pPr>
            <w:r>
              <w:rPr/>
              <w:t> </w:t>
            </w:r>
          </w:p>
        </w:tc>
        <w:tc>
          <w:tcPr>
            <w:tcW w:w="1188" w:type="dxa"/>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Expiration</w:t>
            </w:r>
          </w:p>
        </w:tc>
      </w:tr>
      <w:tr>
        <w:trPr/>
        <w:tc>
          <w:tcPr>
            <w:tcW w:w="3724"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Warrant Series</w:t>
            </w:r>
          </w:p>
        </w:tc>
        <w:tc>
          <w:tcPr>
            <w:tcW w:w="99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Issue Date</w:t>
            </w:r>
          </w:p>
        </w:tc>
        <w:tc>
          <w:tcPr>
            <w:tcW w:w="183" w:type="dxa"/>
            <w:tcBorders/>
            <w:shd w:fill="auto" w:val="clear"/>
            <w:vAlign w:val="bottom"/>
          </w:tcPr>
          <w:p>
            <w:pPr>
              <w:pStyle w:val="TableContents"/>
              <w:spacing w:before="0" w:after="283"/>
              <w:ind w:left="0" w:right="0" w:hanging="0"/>
              <w:jc w:val="center"/>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Outstanding</w:t>
            </w:r>
          </w:p>
        </w:tc>
        <w:tc>
          <w:tcPr>
            <w:tcW w:w="107" w:type="dxa"/>
            <w:tcBorders/>
            <w:shd w:fill="auto" w:val="clear"/>
            <w:vAlign w:val="bottom"/>
          </w:tcPr>
          <w:p>
            <w:pPr>
              <w:pStyle w:val="TableContents"/>
              <w:spacing w:before="0" w:after="283"/>
              <w:ind w:left="0" w:right="0" w:hanging="0"/>
              <w:jc w:val="center"/>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10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w:t>
            </w:r>
          </w:p>
        </w:tc>
        <w:tc>
          <w:tcPr>
            <w:tcW w:w="107" w:type="dxa"/>
            <w:tcBorders/>
            <w:shd w:fill="auto" w:val="clear"/>
            <w:vAlign w:val="bottom"/>
          </w:tcPr>
          <w:p>
            <w:pPr>
              <w:pStyle w:val="TableContents"/>
              <w:spacing w:before="0" w:after="283"/>
              <w:ind w:left="0" w:right="0" w:hanging="0"/>
              <w:jc w:val="center"/>
              <w:rPr/>
            </w:pPr>
            <w:r>
              <w:rPr/>
              <w:t> </w:t>
            </w:r>
          </w:p>
        </w:tc>
        <w:tc>
          <w:tcPr>
            <w:tcW w:w="107" w:type="dxa"/>
            <w:tcBorders/>
            <w:shd w:fill="auto" w:val="clear"/>
            <w:vAlign w:val="bottom"/>
          </w:tcPr>
          <w:p>
            <w:pPr>
              <w:pStyle w:val="TableContents"/>
              <w:spacing w:before="0" w:after="283"/>
              <w:ind w:left="0" w:right="0" w:hanging="0"/>
              <w:jc w:val="center"/>
              <w:rPr/>
            </w:pPr>
            <w:r>
              <w:rPr/>
              <w:t> </w:t>
            </w:r>
          </w:p>
        </w:tc>
        <w:tc>
          <w:tcPr>
            <w:tcW w:w="11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Exercisable</w:t>
            </w:r>
          </w:p>
        </w:tc>
        <w:tc>
          <w:tcPr>
            <w:tcW w:w="183" w:type="dxa"/>
            <w:tcBorders/>
            <w:shd w:fill="auto" w:val="clear"/>
            <w:vAlign w:val="bottom"/>
          </w:tcPr>
          <w:p>
            <w:pPr>
              <w:pStyle w:val="TableContents"/>
              <w:spacing w:before="0" w:after="283"/>
              <w:jc w:val="center"/>
              <w:rPr/>
            </w:pPr>
            <w:r>
              <w:rPr/>
              <w:t> </w:t>
            </w:r>
          </w:p>
        </w:tc>
        <w:tc>
          <w:tcPr>
            <w:tcW w:w="118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Date</w:t>
            </w:r>
          </w:p>
        </w:tc>
      </w:tr>
      <w:tr>
        <w:trPr/>
        <w:tc>
          <w:tcPr>
            <w:tcW w:w="372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DermaStar</w:t>
            </w:r>
          </w:p>
        </w:tc>
        <w:tc>
          <w:tcPr>
            <w:tcW w:w="990"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4/25/2012</w:t>
            </w:r>
          </w:p>
        </w:tc>
        <w:tc>
          <w:tcPr>
            <w:tcW w:w="18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48,262</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48,262</w:t>
            </w:r>
          </w:p>
        </w:tc>
        <w:tc>
          <w:tcPr>
            <w:tcW w:w="183"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4/25/2015</w:t>
            </w:r>
          </w:p>
        </w:tc>
      </w:tr>
      <w:tr>
        <w:trPr/>
        <w:tc>
          <w:tcPr>
            <w:tcW w:w="372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April PPM</w:t>
            </w:r>
          </w:p>
        </w:tc>
        <w:tc>
          <w:tcPr>
            <w:tcW w:w="990"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4/25/2012</w:t>
            </w:r>
          </w:p>
        </w:tc>
        <w:tc>
          <w:tcPr>
            <w:tcW w:w="18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1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502,928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5.93</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502,928</w:t>
            </w:r>
          </w:p>
        </w:tc>
        <w:tc>
          <w:tcPr>
            <w:tcW w:w="183" w:type="dxa"/>
            <w:tcBorders/>
            <w:shd w:fill="FFFFFF" w:val="clear"/>
            <w:vAlign w:val="bottom"/>
          </w:tcPr>
          <w:p>
            <w:pPr>
              <w:pStyle w:val="TableContents"/>
              <w:spacing w:before="0" w:after="283"/>
              <w:jc w:val="left"/>
              <w:rPr/>
            </w:pPr>
            <w:r>
              <w:rPr/>
              <w:t> </w:t>
            </w:r>
          </w:p>
        </w:tc>
        <w:tc>
          <w:tcPr>
            <w:tcW w:w="1188"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4/25/2015</w:t>
            </w:r>
          </w:p>
        </w:tc>
      </w:tr>
      <w:tr>
        <w:trPr/>
        <w:tc>
          <w:tcPr>
            <w:tcW w:w="372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Underwriter Warrants</w:t>
            </w:r>
          </w:p>
        </w:tc>
        <w:tc>
          <w:tcPr>
            <w:tcW w:w="990"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2/7/2013</w:t>
            </w:r>
          </w:p>
        </w:tc>
        <w:tc>
          <w:tcPr>
            <w:tcW w:w="18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179,860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3"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2/7/2018</w:t>
            </w:r>
          </w:p>
        </w:tc>
      </w:tr>
      <w:tr>
        <w:trPr/>
        <w:tc>
          <w:tcPr>
            <w:tcW w:w="372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IR Consultant</w:t>
            </w:r>
          </w:p>
        </w:tc>
        <w:tc>
          <w:tcPr>
            <w:tcW w:w="990"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2/28/2013</w:t>
            </w:r>
          </w:p>
        </w:tc>
        <w:tc>
          <w:tcPr>
            <w:tcW w:w="183" w:type="dxa"/>
            <w:tcBorders/>
            <w:shd w:fill="FFFFFF" w:val="clear"/>
            <w:vAlign w:val="bottom"/>
          </w:tcPr>
          <w:p>
            <w:pPr>
              <w:pStyle w:val="TableContents"/>
              <w:spacing w:before="0" w:after="283"/>
              <w:jc w:val="left"/>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26,000</w:t>
            </w:r>
          </w:p>
        </w:tc>
        <w:tc>
          <w:tcPr>
            <w:tcW w:w="183" w:type="dxa"/>
            <w:tcBorders/>
            <w:shd w:fill="FFFFFF" w:val="clear"/>
            <w:vAlign w:val="bottom"/>
          </w:tcPr>
          <w:p>
            <w:pPr>
              <w:pStyle w:val="TableContents"/>
              <w:spacing w:before="0" w:after="283"/>
              <w:jc w:val="left"/>
              <w:rPr/>
            </w:pPr>
            <w:r>
              <w:rPr/>
              <w:t> </w:t>
            </w:r>
          </w:p>
        </w:tc>
        <w:tc>
          <w:tcPr>
            <w:tcW w:w="1188"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2/28/2016</w:t>
            </w:r>
          </w:p>
        </w:tc>
      </w:tr>
      <w:tr>
        <w:trPr/>
        <w:tc>
          <w:tcPr>
            <w:tcW w:w="3724"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113"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761,050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5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1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577,190</w:t>
            </w:r>
          </w:p>
        </w:tc>
        <w:tc>
          <w:tcPr>
            <w:tcW w:w="183" w:type="dxa"/>
            <w:tcBorders/>
            <w:shd w:fill="CCEEFF" w:val="clear"/>
            <w:vAlign w:val="bottom"/>
          </w:tcPr>
          <w:p>
            <w:pPr>
              <w:pStyle w:val="TableContents"/>
              <w:spacing w:before="0" w:after="283"/>
              <w:jc w:val="left"/>
              <w:rPr/>
            </w:pPr>
            <w:r>
              <w:rPr/>
              <w:t> </w:t>
            </w:r>
          </w:p>
        </w:tc>
        <w:tc>
          <w:tcPr>
            <w:tcW w:w="1188" w:type="dxa"/>
            <w:tcBorders/>
            <w:shd w:fill="CCEEFF" w:val="clear"/>
            <w:vAlign w:val="bottom"/>
          </w:tcPr>
          <w:p>
            <w:pPr>
              <w:pStyle w:val="TableContents"/>
              <w:spacing w:before="0" w:after="283"/>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stock-based compensation for warrants was $82,070 and $157,630 during the three and six months ended June 30, 2013, respectively.</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9" w:name="PGBRK16"/>
      <w:bookmarkStart w:id="150" w:name="PGBRK16"/>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FTR16"/>
      <w:bookmarkStart w:id="152" w:name="FTR16"/>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3" w:name="GLFTR16"/>
      <w:bookmarkEnd w:id="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4" w:name="PN16"/>
      <w:bookmarkEnd w:id="154"/>
      <w:r>
        <w:rPr>
          <w:rFonts w:ascii="effontselection" w:hAnsi="effontselectio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HDR13"/>
      <w:bookmarkStart w:id="156" w:name="HDR13"/>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7" w:name="GLHDR16"/>
        <w:bookmarkEnd w:id="15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 5. COMMITMENTS AND CONTINGENCIES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Commitments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2013, the Company entered into a lease agreement for 3,874 square feet of office space from May 1, 2013 to September 30, 2016, effective May 1, 2013. Monthly rent began on May 1, 2013 in the amount of $10,406, with a 3% increase in the base rent amount on an annual basis. The lease agreement allows for the monthly rent amount to be abated for five months at various times during the lease agreement. The total lease obligation is approximately $387,900. For the remaining fiscal year 2013, the Company’s lease commitment is approximately $62,400.</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also leases an office facility under a noncancelable operating lease, which expires on February 28, 2014, with $3,715 due monthly until expiration. For the remaining fiscal year 2013, the Company’s lease commitment is approximately $22,300.</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Indemnities and Guarantees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 in connection with its facility lease for certain claims arising from the use of the facility.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PCCA License Agreement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Professional Compounding Centers of America, or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PCCA Strategic Alliance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18, 2013, we entered into a Strategic Alliance Agreement (the “Agreement”) with PCCA. Under the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to a potential development project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8" w:name="PGBRK17"/>
      <w:bookmarkStart w:id="159" w:name="PGBRK17"/>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FTR17"/>
      <w:bookmarkStart w:id="161" w:name="FTR17"/>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2" w:name="GLFTR17"/>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63" w:name="PN17"/>
      <w:bookmarkEnd w:id="163"/>
      <w:r>
        <w:rPr>
          <w:rFonts w:ascii="effontselection" w:hAnsi="effontselectio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HDR14"/>
      <w:bookmarkStart w:id="165" w:name="HDR14"/>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6" w:name="GLHDR17"/>
        <w:bookmarkEnd w:id="16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Buderer Asset Purchase Agreement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11, 2013, we acquired intellectual property rights related to certain proprietary innovations from the compounding pharmacy operations of Buderer Drug Company, Inc. (“Buderer”) pursuant to an Asset Purchase Agreement (the “APA”). In addition, the Company has a right of first refusal on additional Buderer intellectual property and drug development opportunities. The APA provides that Buderer will cooperate with the Company in obtaining patent protection for the acquired intellectual property and that the Company will use commercially reasonable efforts to research, develop and commercialize a product based on the acquired intellectual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consideration for the acquisition of the intellectual property rights, the Company is obligated to make the following payments to Buderer: (1) one payment payable within 30 days after the issuance of the first patent in the United States arising from the acquired intellectual property (if any); (2) one payment payable within 30 days after the Company files the first Investigational New Drug application (“IND”) with the U.S. Food and Drug Administration for the first product arising from the acquired intellectual property (if any); and (3)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the Company does not file an IND for any product based on the acquired intellectual property within five years of the date of the APA, Buderer may terminate the agreement and the Company shall re-assign the acquired technology to Buderer.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 6. SUBSEQUENT EVENTS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performed an evaluation of events occurring subsequent to June 30, 2013 through the filing date of this Quarterly Report. Based on our evaluation, nothing other than the events described below need to be disclosed.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July 2013, the Company issued warrants to purchase 60,000 shares of the Company’s common stock to a consultant with an exercise price of $8.50 per share. The warrants become exercisable on January 20, 2014 and expire five years following the issuance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2013, we were notified by our manufacturing supplier, DPT Laboratories, LTD. (“DPT”) of preliminary stability test results related to clinical materials of active and placebo bulk batches of Impracor to be used in planned Phase 3 clinical trials, which were manufactured at DPT’s San Antonio, Texas facility.  The preliminary test results revealed an out of specification result for the placebo formulation and a lower than expected specification result for the active formulation.  Shortly thereafter, a retest was performed, which confirmed the out of specification results for the placebo batch and revealed continued decreasing stability results related to the active batch.  On August 9, 2013, we reported that we had concluded that due to the decreasing stability results for the active batch, packaging of the materials would be put on hold, as further decrease in stability levels was likely and would result in the material being unusable for the upcoming planned Impracor clinical trials.  We are evaluating our options regarding the Impracor clinical program as a result of these manufacturing issues, which could include re-manufacturing the clinical materials at DPT’s facilities, which would result in a delay of the our planned clinical trials by at least one to two months, or moving the formulation and manufacturing process to another third party vendor, which could cause a delay of up to six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Novel Drug and Eye Care Northwest Asset Purchase Agreement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8, 2013, we acquired intellectual property rights related to certain proprietary innovations from the compounding pharmacy operations of Novel Drug Solutions, LLC and from Eye Care Northwest, Inc. (together referred to as the “Sellers”) pursuant to an Asset Purchase Agreement (the “Novel APA”).  As part of this acquisition we have acquired intellectual property assets, including a provisional patent application related to injectable ophthalmological compositions having anti-bacterial and anti-inflammatory properties for the prevention of post-ophthalmic surgery complications.  In addition, under the Novel APA, we have a right of first refusal on any of the Sellers’ additional intellectual property and drug development opportunities.  The Novel APA provides that the Sellers will cooperate with us in obtaining patent protection for the acquired intellectual property, among other things, and that we will use commercially reasonable efforts to research, develop and commercialize a product based on the acquired intellectual property.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consideration for the acquisition, we are obligated to make the following payments to the Sellers:  (1) one payment payable within 30 days after the issuance of the first patent in the United States arising from the acquired intellectual property (if any); (2) one payment payable within 30 days after we file the first IND with the FDA for the first product arising from the acquired intellectual property (if any); (3) one payment payable within 30 days after we file the first New Drug application with the FDA for the first product; and (4) certain royalty payments based on the net receipts received by us in connection with the sale or licensing of any product based on the acquired intellectual property (if any), after deducting (among other things) our development costs associated with such product.   If we do not file an IND for any product based on the acquired intellectual property within five years of the date of the Novel APA, the Sellers may terminate the Novel APA and we must re-assign the acquired technology to the Sellers.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7" w:name="PGBRK18"/>
      <w:bookmarkStart w:id="168" w:name="PGBRK18"/>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FTR18"/>
      <w:bookmarkStart w:id="170" w:name="FTR18"/>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1" w:name="GLFTR18"/>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72" w:name="PN18"/>
      <w:bookmarkEnd w:id="172"/>
      <w:r>
        <w:rPr>
          <w:rFonts w:ascii="effontselection" w:hAnsi="effontselectio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HDR15"/>
      <w:bookmarkStart w:id="174" w:name="HDR15"/>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5" w:name="GLHDR18"/>
        <w:bookmarkEnd w:id="17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bookmarkStart w:id="176" w:name="ITEM2"/>
      <w:bookmarkEnd w:id="176"/>
      <w:r>
        <w:rPr>
          <w:rFonts w:ascii="Times New Roman" w:hAnsi="Times New Roman"/>
          <w:b/>
          <w:sz w:val="20"/>
        </w:rPr>
        <w:t>ITEM 2. 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2012 and subsequent reports on Form 8-K, which discuss our business in greater detail. Unless the context indicates otherwise, the “Company”, “we”, “us”, and “our</w:t>
      </w:r>
      <w:r>
        <w:rPr>
          <w:rFonts w:ascii="Times New Roman" w:hAnsi="Times New Roman"/>
          <w:sz w:val="20"/>
        </w:rPr>
        <w:t xml:space="preserve">” </w:t>
      </w:r>
      <w:r>
        <w:rPr>
          <w:rFonts w:ascii="Times New Roman" w:hAnsi="Times New Roman"/>
          <w:i/>
          <w:sz w:val="20"/>
        </w:rPr>
        <w:t>in this Item 2 and elsewhere in this report refer to</w:t>
      </w:r>
      <w:r>
        <w:rPr>
          <w:rFonts w:ascii="Times New Roman" w:hAnsi="Times New Roman"/>
          <w:sz w:val="20"/>
        </w:rPr>
        <w:t xml:space="preserve"> </w:t>
      </w:r>
      <w:r>
        <w:rPr>
          <w:rFonts w:ascii="Times New Roman" w:hAnsi="Times New Roman"/>
          <w:i/>
          <w:sz w:val="20"/>
        </w:rPr>
        <w:t>Imprimis Pharmaceuticals, Inc., a Delaware corporation.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The following discussion contains forward-looking statements regarding future events and our future performance. These forward-looking statements involve risk and uncertainties that could cause actual results to differ materially from those expected or projected.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There are a number of important factors that could cause actual results or events to differ materially from those disclosed in the expressed or implied forward-looking statements we make. These important factors include the success of the design and execution of our clinical trials; our ability to research and successfully develop our product candidates; our ability to raise capital; the cost of any capital we are able to raise; our ability to hire, retain and otherwise engage qualified personnel to execute our business plan; our ability to continue as a going concern; our limited operating history; the ability of competitors to access the market we intend to serve; the ongoing market need for the technologies and products we are developing; and the other risks and uncertainties described under the heading “Risk Factors” in Part II, Item 1A of this Quarterly Report and in similar discussions in our other SEC filings. Except as required by law, we undertake no obligation to revise or publicly update any forward-looking statement for any reason. Readers should not rely on any of our forward-looking statements as representing our views as of any date subsequent to the date of this Quarterly Report.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Unless otherwise stated below, all information regarding share amounts of common stock and prices per share of common stock described under the heading “Management’s Discussion and Analysis of Financial Condition and Results of Operations” reflect the one-for-five reverse stock split effected on February 7, 2013.</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a specialty pharmaceutical company focused on the commercial development of compounded drug formulations. We expect to use our proprietary Accudel drug delivery technologies, proprietary drug formulations, and market data obtained through our exclusive relationship with Professional Compounding Centers of America, Inc. (“PCCA”), the largest compounding pharmacy organization in North America, to identify pharmaceutical development opportunities where there are significant unmet medical needs. We expect to utilize the U.S. Food and Drug Administration’s (the “FDA”) 505(b)(2) regulatory pathway in connection with any drug development opportunities we may pursue.</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Our most near term drug candidate, Impracor, utilizes our patented Accudel topical cream formulation to enable highly targeted site-specific treatment. Impracor, which is a Phase 3 clinical trial pain product candidate, delivers the active pharmaceutical ingredient (“API”), ketoprofen, a non-steroidal anti-inflammatory drug (“NSAID”), through the skin directly into the underlying tissues where the drug exerts its localized anti-inflammatory and analgesic effects.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in the process of reviewing and analyzing our in-licensed or acquired development assets and expect to begin assessing potential internal development projects involving product development candidates from the PCCA relationship in the third quarter of 2013, while at the same time seeking partnerships and out-licensing opportunities for projects that are better suited to be developed by third parties.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we changed our name from Transdel Pharmaceuticals, Inc. to Imprimis Pharmaceuticals, Inc. All prior references to Transdel Pharmaceuticals, Inc. have been changed to Imprimis to reflect our current name.</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On February 28, 2012, we effected a one-for-eight reverse split of our authorized, issued and outstanding common stock, and on February 7, 2013 we effected a one-for-five reverse split of our authorized, issued and outstanding common stock. The information in this Form 10-Q and the accompanying condensed consolidated financial statements for the periods presented have been retroactively adjusted to reflect the effects of those reverse stock splits.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7" w:name="PGBRK19"/>
      <w:bookmarkStart w:id="178" w:name="PGBRK19"/>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FTR19"/>
      <w:bookmarkStart w:id="180" w:name="FTR19"/>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1" w:name="GLFTR19"/>
      <w:bookmarkEnd w:id="1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82" w:name="PN19"/>
      <w:bookmarkEnd w:id="182"/>
      <w:r>
        <w:rPr>
          <w:rFonts w:ascii="effontselection" w:hAnsi="effontselectio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HDR16"/>
      <w:bookmarkStart w:id="184" w:name="HDR16"/>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5" w:name="GLHDR19"/>
        <w:bookmarkEnd w:id="18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incurred recurring operating losses, have had negative operating cash flows and have not recognized any significant revenues since July 24, 1998 (inception). In addition, we have a deficit accumulated during the development stage of approximately $27.8 million at June 30, 2013. We have not generated commercial sales revenue from any of our product candidates and we will incur further losses through the 2013 fiscal year and beyond as we continue the clinical development of Impracor and conduct preclinical studies on other programs. Our research and development activities are expected to increase over time, and we will require further capital resources to fund the continued operation of our business model for a long enough period to achieve profitable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the next twelve months, we expect to pursue the development of potential product candidates through our exclusive relationship with PCCA, as well as pursue co-development opportunities in other therapeutic areas, although we have not yet identified any such potential product candidates.  We also expect to focus on the development of our lead product candidate, Impracor. We expect our total expenditures over the next 12 months to be approximately $8.5-$10 million.</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on our discussions with the FDA at our April 2013 Type C meeting, we have been advised that in order to submit a new drug application (“NDA”) for Impracor we must conduct two adequate and well controlled efficacy studies, one for the indication of sprains, strains and soft tissue injuries and one study in acute flare of osteoarthritis, as well as a routine safety study.  In August 2013, we were notified by our manufacturing supplier, DPT Laboratories, LTD. (“DPT”) of preliminary stability test results related to clinical materials of active and placebo bulk batches of Impracor to be used in planned Phase 3 clinical trials, which were manufactured at DPT’s San Antonio, Texas facility.  The preliminary test results revealed an out of specification result for the placebo formulation and a lower than expected specification result for the active formulation.  Shortly thereafter, a retest was performed, which confirmed the out of specification results for the placebo batch and revealed continued decreasing stability results related to the active batch.  On August 9, 2013, we reported that we had concluded that due to the decreasing stability results for the active batch, packaging of the materials would be put on hold, as further decrease in stability levels was likely and would result in the material being unusable for the upcoming planned Impracor clinical trials.  We are evaluating our options regarding the Impracor clinical program as a result of these manufacturing issues, which could include re-manufacturing the clinical materials at DPT’s facilities, which would result in a delay of the our planned clinical trials by at least one to two months, or moving the formulation and manufacturing process to another third party vendor, which could cause a delay of up to six months. We are working with our vendors to evaluate further options related to the production of clinical materials for the Phase 3 clinical trials and the continuation of the planned Impracor Phase 3 clinical program.  As a result of these delays, we do not expect to enroll our first patient in the planned Impracor clinical trial during the third quarter of 2013.</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b/>
          <w:sz w:val="20"/>
        </w:rPr>
      </w:pPr>
      <w:r>
        <w:rPr>
          <w:rFonts w:ascii="Times New Roman" w:hAnsi="Times New Roman"/>
          <w:b/>
          <w:sz w:val="20"/>
        </w:rPr>
        <w:t>Recent Developments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Public Offering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13, 2013, we closed an underwritten public offering of 1,840,000 shares of our common stock at a per share price to the public of $5.25 (the “Public Offering”), and received net proceeds of approximately $8,140,000 after deducting underwriter fees and commissions and other offering expenses. The underwriters also exercised their option to purchase an additional 276,000 shares of common stock to cover over-allotments on March 14, 2013. Net cash proceeds from the exercise of the over-allotment option were approximately $1,316,000. The shares issued upon the closing of the Public Offering and the exercise of the over-allotment were registered on a Registration Statement on Form S-1 (File No. 333-182846), which was declared effective by the SEC on February 7, 2013.</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One-for-Five Reverse Stock Split; NASDAQ Listing</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86" w:name="TAB1"/>
      <w:bookmarkEnd w:id="186"/>
      <w:r>
        <w:rPr>
          <w:rFonts w:ascii="Times New Roman" w:hAnsi="Times New Roman"/>
          <w:sz w:val="20"/>
        </w:rPr>
        <w:t>In connection with the Public Offering, on February 7, 2013 we effected a one-for-five reverse stock split of our common stock and on February 8, 2013, our common stock began trading on The NASDAQ Capital Market on a split-adjusted basis. All information included in this Quarterly Report has been adjusted to reflect the effect of the one-for-five reverse stock split.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PCCA Strategic Alliance Agreement</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87" w:name="TAB11"/>
      <w:bookmarkEnd w:id="187"/>
      <w:r>
        <w:rPr>
          <w:rFonts w:ascii="Times New Roman" w:hAnsi="Times New Roman"/>
          <w:sz w:val="20"/>
        </w:rPr>
        <w:t>On February 18, 2013, we entered into a Strategic Alliance Agreement (the “Agreement”) with PCCA. Under the Agreement, PCCA has agreed that during the term of the Agreement, it will not introduce any of PCCA’s members or customers meeting certain criteria (the “Member/Customers”) to any third party whereby such third party may license or otherwise acquire the intellectual property rights of such Member/Customer, without first presenting such an opportunity to us. PCCA may, but is not required to, present such opportunities to us, use reasonable efforts to facilitate an introductory meeting with the Member/Customer, and further provide certain key technical assistance to a potential development project associated with the Member/Customer’s intellectual property rights. In the event we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us as a result of the acquired intellectual property rights. The Agreement has a term of one year and will automatically extend for successive one year periods unless either party gives the other written notice of non-renewal.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8" w:name="PGBRK20"/>
      <w:bookmarkStart w:id="189" w:name="PGBRK20"/>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FTR20"/>
      <w:bookmarkStart w:id="191" w:name="FTR20"/>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2" w:name="GLFTR20"/>
      <w:bookmarkEnd w:id="1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3" w:name="PN20"/>
      <w:bookmarkEnd w:id="193"/>
      <w:r>
        <w:rPr>
          <w:rFonts w:ascii="effontselection" w:hAnsi="effontselectio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 w:name="HDR17"/>
      <w:bookmarkStart w:id="195" w:name="HDR17"/>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96" w:name="GLHDR20"/>
        <w:bookmarkEnd w:id="19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Buderer Asset Purchase Agreement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11, 2013, we acquired intellectual property rights related to certain proprietary innovations from the compounding pharmacy operations of Buderer Drug Company, Inc. (“Buderer”) pursuant to an Asset Purchase Agreement (the “Buderer APA”).  In addition, we have a right of first refusal on additional Buderer intellectual property and drug development opportunities.  The Buderer APA provides that Buderer will cooperate with us in obtaining patent protection for the acquired intellectual property and that we will use commercially reasonable efforts to research, develop and commercialize a product based on the acquired intellectual property.</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bookmarkStart w:id="197" w:name="TAB12"/>
      <w:bookmarkEnd w:id="197"/>
      <w:r>
        <w:rPr>
          <w:rFonts w:ascii="Times New Roman" w:hAnsi="Times New Roman"/>
          <w:sz w:val="20"/>
        </w:rPr>
        <w:t>In consideration for the acquisition, we are obligated to make the following payments to Buderer:  (1) one payment payable within 30 days after the issuance of the first patent in the United States arising from the acquired intellectual property (if any); (2) one payment payable within 30 days after we file the first Investigational New Drug application (“IND”) with the U.S. Food and Drug Administration for the first product arising from the acquired intellectual property (if any); and (3) certain royalty payments based on the net receipts received by us in connection with the sale or licensing of any product based on the acquired intellectual property (if any), after deducting (among other things) our development costs associated with such product.   If we do not file an IND for any product based on the acquired intellectual property within five years of the date of the Buderer APA, Buderer may terminate the Buderer APA and require us to re-assign the acquired technology to Buderer.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Novel Drug and Eye Care Northwest Asset Purchase Agreement</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720" w:right="0" w:hanging="0"/>
        <w:jc w:val="both"/>
        <w:rPr>
          <w:rFonts w:ascii="Times New Roman" w:hAnsi="Times New Roman"/>
          <w:b w:val="false"/>
          <w:sz w:val="20"/>
        </w:rPr>
      </w:pPr>
      <w:bookmarkStart w:id="198" w:name="TAB13"/>
      <w:bookmarkEnd w:id="198"/>
      <w:r>
        <w:rPr>
          <w:rFonts w:ascii="Times New Roman" w:hAnsi="Times New Roman"/>
          <w:b w:val="false"/>
          <w:sz w:val="20"/>
        </w:rPr>
        <w:t>On August 8, 2013, we acquired intellectual property rights related to certain proprietary innovations from the compounding pharmacy operations of Novel Drug Solutions, LLC and from Eye Care Northwest, Inc. (together referred to as the “Sellers”) pursuant to an Asset Purchase Agreement (the “Novel APA”).  As part of this acquisition we have acquired intellectual property assets, including a provisional patent application related to injectable ophthalmological compositions having anti-bacterial and anti-inflammatory properties for the prevention of post-ophthalmic surgery complications.  In addition, under the Novel APA, we have a right of first refusal on any of the Sellers’ additional intellectual property and drug development opportunities.  The Novel APA provides that the Sellers will cooperate with us in obtaining patent protection for the acquired intellectual property, among other things, and that we will use commercially reasonable efforts to research, develop and commercialize a product based on the acquired intellectual property.</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b w:val="false"/>
          <w:sz w:val="20"/>
        </w:rPr>
      </w:pPr>
      <w:bookmarkStart w:id="199" w:name="TAB14"/>
      <w:bookmarkEnd w:id="199"/>
      <w:r>
        <w:rPr>
          <w:rFonts w:ascii="Times New Roman" w:hAnsi="Times New Roman"/>
          <w:b w:val="false"/>
          <w:sz w:val="20"/>
        </w:rPr>
        <w:t>In consideration for the acquisition, we are obligated to make the following payments to the Sellers:  (1) one payment payable within 30 days after the issuance of the first patent in the United States arising from the acquired intellectual property (if any); (2) one payment payable within 30 days after we file the first IND with the FDA for the first product arising from the acquired intellectual property (if any); (3) one payment payable within 30 days after we file the first New Drug application with the FDA for the first product; and (4) certain royalty payments based on the net receipts received by us in connection with the sale or licensing of any product based on the acquired intellectual property (if any), after deducting (among other things) our development costs associated with such product.   If we do not file an IND for any product based on the acquired intellectual property within five years of the date of the Novel APA, the Sellers may terminate the Novel APA and we must re-assign the acquired technology to the Sellers.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Our 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Stock-Based Compensation.</w:t>
      </w:r>
      <w:r>
        <w:rPr>
          <w:rFonts w:ascii="Times New Roman" w:hAnsi="Times New Roman"/>
          <w:sz w:val="20"/>
        </w:rPr>
        <w:t xml:space="preserve"> All share-based payments to employees, including grants of employee stock options and restricted stock grants, to be recognized in the consolidated financial statements are based upon their fair values. We use the Black-Scholes-Merton option pricing model and Monte Carlo Simulation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0" w:name="PGBRK21"/>
      <w:bookmarkStart w:id="201" w:name="PGBRK21"/>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FTR21"/>
      <w:bookmarkStart w:id="203" w:name="FTR21"/>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4" w:name="GLFTR21"/>
      <w:bookmarkEnd w:id="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05" w:name="PN21"/>
      <w:bookmarkEnd w:id="205"/>
      <w:r>
        <w:rPr>
          <w:rFonts w:ascii="effontselection" w:hAnsi="effontselectio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HDR18"/>
      <w:bookmarkStart w:id="207" w:name="HDR18"/>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8" w:name="GLHDR21"/>
        <w:bookmarkEnd w:id="20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Income Taxes.</w:t>
      </w:r>
      <w:r>
        <w:rPr>
          <w:rFonts w:ascii="Times New Roman" w:hAnsi="Times New Roman"/>
          <w:sz w:val="20"/>
        </w:rPr>
        <w:t xml:space="preserve"> As part of the process of preparing our consolidated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i/>
          <w:sz w:val="20"/>
        </w:rPr>
        <w:t>Research and Development</w:t>
      </w:r>
      <w:r>
        <w:rPr>
          <w:rFonts w:ascii="Times New Roman" w:hAnsi="Times New Roman"/>
          <w:b/>
          <w:sz w:val="20"/>
        </w:rPr>
        <w:t xml:space="preserve">. </w:t>
      </w:r>
      <w:r>
        <w:rPr>
          <w:rFonts w:ascii="Times New Roman" w:hAnsi="Times New Roman"/>
          <w:sz w:val="20"/>
        </w:rPr>
        <w:t>The Company expenses all costs related to research and development as they are incurred. Research and development expenses consist of expenses incurred in performing research and development activities including salaries and benefits, and other overhead expenses, clinical trials, contract services and outsource contracts.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Intellectual Property.  </w:t>
      </w:r>
      <w:r>
        <w:rPr>
          <w:rFonts w:ascii="Times New Roman" w:hAnsi="Times New Roman"/>
          <w:sz w:val="20"/>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it has identified an alternative future use. No costs associated with acquiring intellectual property rights have been capitalized to date. Costs of maintaining intellectual property rights are expensed as incurred.</w:t>
      </w: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period to period comparisons of our financial results and our interim results are not necessarily indicative of future results.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For the Three and Six Months Ended June 30, 2013, Compared to the Three and Six Months Ended June 30,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the three and six months ended June 30, 2013 we recognized $2,500 and $5,000 in revenues, respectively, compared to $0 and $100,000 in revenues recognized during the same periods in the prior year. The 2012 revenues were non-refundable royalty advances, unrelated to product sales, paid to us in December 2010 and April 2011 pursuant to our license agreement with JH Direct, which provided JH Direct rights to our anti-cellulite cosmetic product. This agreement was terminated in January 2012, and we do not expect any other revenues to be recognized from it. Revenues recognized in 2013 are related to a license agreement we entered into with resolutionMD, LLC granting resolutionMD, LLC rights to our Accudel delivery technology to be used for anti-cellulite formulations. We do not expect to recognize significant revenues from this license agreement during fiscal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Selling, General and Administrative 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selling, general and administrative expenses include personnel costs including wages and stock-based compensation, corporate facility expenses, investor relations, consulting, insurance, filing fees, legal and accounting expenses.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information regarding selling, general and administrative expenses.</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2470"/>
        <w:gridCol w:w="94"/>
        <w:gridCol w:w="125"/>
        <w:gridCol w:w="996"/>
        <w:gridCol w:w="94"/>
        <w:gridCol w:w="94"/>
        <w:gridCol w:w="125"/>
        <w:gridCol w:w="926"/>
        <w:gridCol w:w="94"/>
        <w:gridCol w:w="94"/>
        <w:gridCol w:w="124"/>
        <w:gridCol w:w="926"/>
        <w:gridCol w:w="94"/>
        <w:gridCol w:w="94"/>
        <w:gridCol w:w="125"/>
        <w:gridCol w:w="996"/>
        <w:gridCol w:w="94"/>
        <w:gridCol w:w="94"/>
        <w:gridCol w:w="125"/>
        <w:gridCol w:w="996"/>
        <w:gridCol w:w="94"/>
        <w:gridCol w:w="93"/>
        <w:gridCol w:w="125"/>
        <w:gridCol w:w="996"/>
        <w:gridCol w:w="117"/>
      </w:tblGrid>
      <w:tr>
        <w:trPr/>
        <w:tc>
          <w:tcPr>
            <w:tcW w:w="2470" w:type="dxa"/>
            <w:tcBorders/>
            <w:shd w:fill="auto" w:val="clear"/>
            <w:vAlign w:val="bottom"/>
          </w:tcPr>
          <w:p>
            <w:pPr>
              <w:pStyle w:val="TableContents"/>
              <w:spacing w:before="0" w:after="283"/>
              <w:ind w:left="0" w:right="0" w:hanging="0"/>
              <w:rPr/>
            </w:pPr>
            <w:r>
              <w:rPr/>
              <w:t> </w:t>
            </w:r>
          </w:p>
        </w:tc>
        <w:tc>
          <w:tcPr>
            <w:tcW w:w="94" w:type="dxa"/>
            <w:tcBorders/>
            <w:shd w:fill="auto" w:val="clear"/>
            <w:vAlign w:val="bottom"/>
          </w:tcPr>
          <w:p>
            <w:pPr>
              <w:pStyle w:val="TableContents"/>
              <w:spacing w:before="0" w:after="283"/>
              <w:ind w:left="0" w:right="0" w:hanging="0"/>
              <w:jc w:val="center"/>
              <w:rPr/>
            </w:pPr>
            <w:r>
              <w:rPr/>
              <w:t> </w:t>
            </w:r>
          </w:p>
        </w:tc>
        <w:tc>
          <w:tcPr>
            <w:tcW w:w="23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June 30,</w:t>
            </w:r>
          </w:p>
        </w:tc>
        <w:tc>
          <w:tcPr>
            <w:tcW w:w="94" w:type="dxa"/>
            <w:tcBorders/>
            <w:shd w:fill="auto" w:val="clear"/>
            <w:vAlign w:val="bottom"/>
          </w:tcPr>
          <w:p>
            <w:pPr>
              <w:pStyle w:val="TableContents"/>
              <w:spacing w:before="0" w:after="283"/>
              <w:ind w:left="0" w:right="0" w:hanging="0"/>
              <w:jc w:val="center"/>
              <w:rPr/>
            </w:pPr>
            <w:r>
              <w:rPr/>
              <w:t> </w:t>
            </w:r>
          </w:p>
        </w:tc>
        <w:tc>
          <w:tcPr>
            <w:tcW w:w="94" w:type="dxa"/>
            <w:tcBorders/>
            <w:shd w:fill="auto" w:val="clear"/>
            <w:vAlign w:val="bottom"/>
          </w:tcPr>
          <w:p>
            <w:pPr>
              <w:pStyle w:val="TableContents"/>
              <w:spacing w:before="0" w:after="283"/>
              <w:ind w:left="0" w:right="0" w:hanging="0"/>
              <w:jc w:val="center"/>
              <w:rPr/>
            </w:pPr>
            <w:r>
              <w:rPr/>
              <w:t> </w:t>
            </w:r>
          </w:p>
        </w:tc>
        <w:tc>
          <w:tcPr>
            <w:tcW w:w="1050" w:type="dxa"/>
            <w:gridSpan w:val="2"/>
            <w:tcBorders/>
            <w:shd w:fill="auto" w:val="clear"/>
            <w:vAlign w:val="bottom"/>
          </w:tcPr>
          <w:p>
            <w:pPr>
              <w:pStyle w:val="TableContents"/>
              <w:spacing w:before="0" w:after="283"/>
              <w:ind w:left="0" w:right="0" w:hanging="0"/>
              <w:jc w:val="center"/>
              <w:rPr>
                <w:rFonts w:ascii="times new roman" w:hAnsi="times new roman"/>
                <w:b/>
                <w:sz w:val="16"/>
              </w:rPr>
            </w:pPr>
            <w:r>
              <w:rPr>
                <w:rFonts w:ascii="times new roman" w:hAnsi="times new roman"/>
                <w:b/>
                <w:sz w:val="16"/>
              </w:rPr>
              <w:t>$</w:t>
            </w:r>
          </w:p>
        </w:tc>
        <w:tc>
          <w:tcPr>
            <w:tcW w:w="94" w:type="dxa"/>
            <w:tcBorders/>
            <w:shd w:fill="auto" w:val="clear"/>
            <w:vAlign w:val="bottom"/>
          </w:tcPr>
          <w:p>
            <w:pPr>
              <w:pStyle w:val="TableContents"/>
              <w:spacing w:before="0" w:after="283"/>
              <w:ind w:left="0" w:right="0" w:hanging="0"/>
              <w:jc w:val="center"/>
              <w:rPr/>
            </w:pPr>
            <w:r>
              <w:rPr/>
              <w:t> </w:t>
            </w:r>
          </w:p>
        </w:tc>
        <w:tc>
          <w:tcPr>
            <w:tcW w:w="94" w:type="dxa"/>
            <w:tcBorders/>
            <w:shd w:fill="auto" w:val="clear"/>
            <w:vAlign w:val="bottom"/>
          </w:tcPr>
          <w:p>
            <w:pPr>
              <w:pStyle w:val="TableContents"/>
              <w:spacing w:before="0" w:after="283"/>
              <w:ind w:left="0" w:right="0" w:hanging="0"/>
              <w:jc w:val="center"/>
              <w:rPr/>
            </w:pPr>
            <w:r>
              <w:rPr/>
              <w:t> </w:t>
            </w:r>
          </w:p>
        </w:tc>
        <w:tc>
          <w:tcPr>
            <w:tcW w:w="24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 June 30,</w:t>
            </w:r>
          </w:p>
        </w:tc>
        <w:tc>
          <w:tcPr>
            <w:tcW w:w="94" w:type="dxa"/>
            <w:tcBorders/>
            <w:shd w:fill="auto" w:val="clear"/>
            <w:vAlign w:val="bottom"/>
          </w:tcPr>
          <w:p>
            <w:pPr>
              <w:pStyle w:val="TableContents"/>
              <w:spacing w:before="0" w:after="283"/>
              <w:ind w:left="0" w:right="0" w:hanging="0"/>
              <w:jc w:val="center"/>
              <w:rPr/>
            </w:pPr>
            <w:r>
              <w:rPr/>
              <w:t> </w:t>
            </w:r>
          </w:p>
        </w:tc>
        <w:tc>
          <w:tcPr>
            <w:tcW w:w="93" w:type="dxa"/>
            <w:tcBorders/>
            <w:shd w:fill="auto" w:val="clear"/>
            <w:vAlign w:val="bottom"/>
          </w:tcPr>
          <w:p>
            <w:pPr>
              <w:pStyle w:val="TableContents"/>
              <w:spacing w:before="0" w:after="283"/>
              <w:ind w:left="0" w:right="0" w:hanging="0"/>
              <w:jc w:val="center"/>
              <w:rPr/>
            </w:pPr>
            <w:r>
              <w:rPr/>
              <w:t> </w:t>
            </w:r>
          </w:p>
        </w:tc>
        <w:tc>
          <w:tcPr>
            <w:tcW w:w="1121" w:type="dxa"/>
            <w:gridSpan w:val="2"/>
            <w:tcBorders/>
            <w:shd w:fill="auto" w:val="clear"/>
            <w:vAlign w:val="bottom"/>
          </w:tcPr>
          <w:p>
            <w:pPr>
              <w:pStyle w:val="TableContents"/>
              <w:spacing w:before="0" w:after="283"/>
              <w:ind w:left="0" w:right="0" w:hanging="0"/>
              <w:jc w:val="center"/>
              <w:rPr>
                <w:rFonts w:ascii="times new roman" w:hAnsi="times new roman"/>
                <w:b/>
                <w:sz w:val="16"/>
              </w:rPr>
            </w:pPr>
            <w:r>
              <w:rPr>
                <w:rFonts w:ascii="times new roman" w:hAnsi="times new roman"/>
                <w:b/>
                <w:sz w:val="16"/>
              </w:rPr>
              <w:t>$</w:t>
            </w:r>
          </w:p>
        </w:tc>
        <w:tc>
          <w:tcPr>
            <w:tcW w:w="117" w:type="dxa"/>
            <w:tcBorders/>
            <w:shd w:fill="auto" w:val="clear"/>
            <w:vAlign w:val="bottom"/>
          </w:tcPr>
          <w:p>
            <w:pPr>
              <w:pStyle w:val="TableContents"/>
              <w:spacing w:before="0" w:after="283"/>
              <w:ind w:left="0" w:right="0" w:hanging="0"/>
              <w:jc w:val="center"/>
              <w:rPr/>
            </w:pPr>
            <w:r>
              <w:rPr/>
              <w:t> </w:t>
            </w:r>
          </w:p>
        </w:tc>
      </w:tr>
      <w:tr>
        <w:trPr/>
        <w:tc>
          <w:tcPr>
            <w:tcW w:w="2470" w:type="dxa"/>
            <w:tcBorders/>
            <w:shd w:fill="auto" w:val="clear"/>
            <w:vAlign w:val="bottom"/>
          </w:tcPr>
          <w:p>
            <w:pPr>
              <w:pStyle w:val="TableContents"/>
              <w:spacing w:before="0" w:after="283"/>
              <w:ind w:left="0" w:right="0" w:hanging="0"/>
              <w:jc w:val="center"/>
              <w:rPr/>
            </w:pPr>
            <w:r>
              <w:rPr/>
              <w:t> </w:t>
            </w:r>
          </w:p>
        </w:tc>
        <w:tc>
          <w:tcPr>
            <w:tcW w:w="94" w:type="dxa"/>
            <w:tcBorders/>
            <w:shd w:fill="auto" w:val="clear"/>
            <w:vAlign w:val="bottom"/>
          </w:tcPr>
          <w:p>
            <w:pPr>
              <w:pStyle w:val="TableContents"/>
              <w:spacing w:before="0" w:after="283"/>
              <w:ind w:left="0" w:right="0" w:hanging="0"/>
              <w:jc w:val="center"/>
              <w:rPr/>
            </w:pPr>
            <w:r>
              <w:rPr/>
              <w:t> </w:t>
            </w:r>
          </w:p>
        </w:tc>
        <w:tc>
          <w:tcPr>
            <w:tcW w:w="11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94" w:type="dxa"/>
            <w:tcBorders/>
            <w:shd w:fill="auto" w:val="clear"/>
            <w:vAlign w:val="bottom"/>
          </w:tcPr>
          <w:p>
            <w:pPr>
              <w:pStyle w:val="TableContents"/>
              <w:spacing w:before="0" w:after="283"/>
              <w:ind w:left="0" w:right="0" w:hanging="0"/>
              <w:jc w:val="center"/>
              <w:rPr/>
            </w:pPr>
            <w:r>
              <w:rPr/>
              <w:t> </w:t>
            </w:r>
          </w:p>
        </w:tc>
        <w:tc>
          <w:tcPr>
            <w:tcW w:w="94" w:type="dxa"/>
            <w:tcBorders/>
            <w:shd w:fill="auto" w:val="clear"/>
            <w:vAlign w:val="bottom"/>
          </w:tcPr>
          <w:p>
            <w:pPr>
              <w:pStyle w:val="TableContents"/>
              <w:spacing w:before="0" w:after="283"/>
              <w:ind w:left="0" w:right="0" w:hanging="0"/>
              <w:jc w:val="center"/>
              <w:rPr/>
            </w:pPr>
            <w:r>
              <w:rPr/>
              <w:t> </w:t>
            </w:r>
          </w:p>
        </w:tc>
        <w:tc>
          <w:tcPr>
            <w:tcW w:w="10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94" w:type="dxa"/>
            <w:tcBorders/>
            <w:shd w:fill="auto" w:val="clear"/>
            <w:vAlign w:val="bottom"/>
          </w:tcPr>
          <w:p>
            <w:pPr>
              <w:pStyle w:val="TableContents"/>
              <w:spacing w:before="0" w:after="283"/>
              <w:ind w:left="0" w:right="0" w:hanging="0"/>
              <w:jc w:val="center"/>
              <w:rPr/>
            </w:pPr>
            <w:r>
              <w:rPr/>
              <w:t> </w:t>
            </w:r>
          </w:p>
        </w:tc>
        <w:tc>
          <w:tcPr>
            <w:tcW w:w="94" w:type="dxa"/>
            <w:tcBorders/>
            <w:shd w:fill="auto" w:val="clear"/>
            <w:vAlign w:val="bottom"/>
          </w:tcPr>
          <w:p>
            <w:pPr>
              <w:pStyle w:val="TableContents"/>
              <w:spacing w:before="0" w:after="283"/>
              <w:ind w:left="0" w:right="0" w:hanging="0"/>
              <w:jc w:val="center"/>
              <w:rPr/>
            </w:pPr>
            <w:r>
              <w:rPr/>
              <w:t> </w:t>
            </w:r>
          </w:p>
        </w:tc>
        <w:tc>
          <w:tcPr>
            <w:tcW w:w="10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94" w:type="dxa"/>
            <w:tcBorders/>
            <w:shd w:fill="auto" w:val="clear"/>
            <w:vAlign w:val="bottom"/>
          </w:tcPr>
          <w:p>
            <w:pPr>
              <w:pStyle w:val="TableContents"/>
              <w:spacing w:before="0" w:after="283"/>
              <w:ind w:left="0" w:right="0" w:hanging="0"/>
              <w:jc w:val="center"/>
              <w:rPr/>
            </w:pPr>
            <w:r>
              <w:rPr/>
              <w:t> </w:t>
            </w:r>
          </w:p>
        </w:tc>
        <w:tc>
          <w:tcPr>
            <w:tcW w:w="94" w:type="dxa"/>
            <w:tcBorders/>
            <w:shd w:fill="auto" w:val="clear"/>
            <w:vAlign w:val="bottom"/>
          </w:tcPr>
          <w:p>
            <w:pPr>
              <w:pStyle w:val="TableContents"/>
              <w:spacing w:before="0" w:after="283"/>
              <w:ind w:left="0" w:right="0" w:hanging="0"/>
              <w:jc w:val="center"/>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ind w:left="0" w:right="0" w:hanging="0"/>
              <w:jc w:val="center"/>
              <w:rPr/>
            </w:pPr>
            <w:r>
              <w:rPr/>
              <w:t> </w:t>
            </w:r>
          </w:p>
        </w:tc>
        <w:tc>
          <w:tcPr>
            <w:tcW w:w="996" w:type="dxa"/>
            <w:tcBorders>
              <w:bottom w:val="single" w:sz="12" w:space="0" w:color="000000"/>
            </w:tcBorders>
            <w:shd w:fill="auto" w:val="clear"/>
            <w:tcMar>
              <w:bottom w:w="28" w:type="dxa"/>
            </w:tcMar>
            <w:vAlign w:val="bottom"/>
          </w:tcPr>
          <w:p>
            <w:pPr>
              <w:pStyle w:val="TableContents"/>
              <w:spacing w:before="0" w:after="283"/>
              <w:ind w:left="0" w:right="0" w:hanging="0"/>
              <w:jc w:val="center"/>
              <w:rPr>
                <w:rFonts w:ascii="times new roman" w:hAnsi="times new roman"/>
                <w:b/>
                <w:sz w:val="16"/>
              </w:rPr>
            </w:pPr>
            <w:r>
              <w:rPr>
                <w:rFonts w:ascii="times new roman" w:hAnsi="times new roman"/>
                <w:b/>
                <w:sz w:val="16"/>
              </w:rPr>
              <w:t>2013</w:t>
            </w:r>
          </w:p>
        </w:tc>
        <w:tc>
          <w:tcPr>
            <w:tcW w:w="94" w:type="dxa"/>
            <w:tcBorders/>
            <w:shd w:fill="auto" w:val="clear"/>
            <w:vAlign w:val="bottom"/>
          </w:tcPr>
          <w:p>
            <w:pPr>
              <w:pStyle w:val="TableContents"/>
              <w:spacing w:before="0" w:after="283"/>
              <w:ind w:left="0" w:right="0" w:hanging="0"/>
              <w:jc w:val="center"/>
              <w:rPr/>
            </w:pPr>
            <w:r>
              <w:rPr/>
              <w:t> </w:t>
            </w:r>
          </w:p>
        </w:tc>
        <w:tc>
          <w:tcPr>
            <w:tcW w:w="94" w:type="dxa"/>
            <w:tcBorders/>
            <w:shd w:fill="auto" w:val="clear"/>
            <w:vAlign w:val="bottom"/>
          </w:tcPr>
          <w:p>
            <w:pPr>
              <w:pStyle w:val="TableContents"/>
              <w:spacing w:before="0" w:after="283"/>
              <w:ind w:left="0" w:right="0" w:hanging="0"/>
              <w:jc w:val="center"/>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ind w:left="0" w:right="0" w:hanging="0"/>
              <w:jc w:val="center"/>
              <w:rPr/>
            </w:pPr>
            <w:r>
              <w:rPr/>
              <w:t> </w:t>
            </w:r>
          </w:p>
        </w:tc>
        <w:tc>
          <w:tcPr>
            <w:tcW w:w="996" w:type="dxa"/>
            <w:tcBorders>
              <w:bottom w:val="single" w:sz="12" w:space="0" w:color="000000"/>
            </w:tcBorders>
            <w:shd w:fill="auto" w:val="clear"/>
            <w:tcMar>
              <w:bottom w:w="28" w:type="dxa"/>
            </w:tcMar>
            <w:vAlign w:val="bottom"/>
          </w:tcPr>
          <w:p>
            <w:pPr>
              <w:pStyle w:val="TableContents"/>
              <w:spacing w:before="0" w:after="283"/>
              <w:ind w:left="0" w:right="0" w:hanging="0"/>
              <w:jc w:val="center"/>
              <w:rPr>
                <w:rFonts w:ascii="times new roman" w:hAnsi="times new roman"/>
                <w:b/>
                <w:sz w:val="16"/>
              </w:rPr>
            </w:pPr>
            <w:r>
              <w:rPr>
                <w:rFonts w:ascii="times new roman" w:hAnsi="times new roman"/>
                <w:b/>
                <w:sz w:val="16"/>
              </w:rPr>
              <w:t>2012</w:t>
            </w:r>
          </w:p>
        </w:tc>
        <w:tc>
          <w:tcPr>
            <w:tcW w:w="94" w:type="dxa"/>
            <w:tcBorders/>
            <w:shd w:fill="auto" w:val="clear"/>
            <w:vAlign w:val="bottom"/>
          </w:tcPr>
          <w:p>
            <w:pPr>
              <w:pStyle w:val="TableContents"/>
              <w:spacing w:before="0" w:after="283"/>
              <w:ind w:left="0" w:right="0" w:hanging="0"/>
              <w:jc w:val="center"/>
              <w:rPr/>
            </w:pPr>
            <w:r>
              <w:rPr/>
              <w:t> </w:t>
            </w:r>
          </w:p>
        </w:tc>
        <w:tc>
          <w:tcPr>
            <w:tcW w:w="93" w:type="dxa"/>
            <w:tcBorders/>
            <w:shd w:fill="auto" w:val="clear"/>
            <w:vAlign w:val="bottom"/>
          </w:tcPr>
          <w:p>
            <w:pPr>
              <w:pStyle w:val="TableContents"/>
              <w:spacing w:before="0" w:after="283"/>
              <w:ind w:left="0" w:right="0" w:hanging="0"/>
              <w:jc w:val="center"/>
              <w:rPr/>
            </w:pPr>
            <w:r>
              <w:rPr/>
              <w:t> </w:t>
            </w:r>
          </w:p>
        </w:tc>
        <w:tc>
          <w:tcPr>
            <w:tcW w:w="11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17" w:type="dxa"/>
            <w:tcBorders/>
            <w:shd w:fill="auto" w:val="clear"/>
            <w:vAlign w:val="bottom"/>
          </w:tcPr>
          <w:p>
            <w:pPr>
              <w:pStyle w:val="TableContents"/>
              <w:spacing w:before="0" w:after="283"/>
              <w:jc w:val="left"/>
              <w:rPr/>
            </w:pPr>
            <w:r>
              <w:rPr/>
              <w:t> </w:t>
            </w:r>
          </w:p>
        </w:tc>
      </w:tr>
      <w:tr>
        <w:trPr/>
        <w:tc>
          <w:tcPr>
            <w:tcW w:w="2470"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jc w:val="right"/>
              <w:rPr/>
            </w:pPr>
            <w:r>
              <w:rPr/>
              <w:t> </w:t>
            </w:r>
          </w:p>
        </w:tc>
        <w:tc>
          <w:tcPr>
            <w:tcW w:w="1121" w:type="dxa"/>
            <w:gridSpan w:val="2"/>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jc w:val="right"/>
              <w:rPr/>
            </w:pPr>
            <w:r>
              <w:rPr/>
              <w:t> </w:t>
            </w:r>
          </w:p>
        </w:tc>
        <w:tc>
          <w:tcPr>
            <w:tcW w:w="1051" w:type="dxa"/>
            <w:gridSpan w:val="2"/>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jc w:val="left"/>
              <w:rPr/>
            </w:pPr>
            <w:r>
              <w:rPr/>
              <w:t> </w:t>
            </w:r>
          </w:p>
        </w:tc>
        <w:tc>
          <w:tcPr>
            <w:tcW w:w="926"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117" w:type="dxa"/>
            <w:tcBorders/>
            <w:shd w:fill="auto" w:val="clear"/>
            <w:vAlign w:val="bottom"/>
          </w:tcPr>
          <w:p>
            <w:pPr>
              <w:pStyle w:val="TableContents"/>
              <w:spacing w:before="0" w:after="283"/>
              <w:jc w:val="left"/>
              <w:rPr/>
            </w:pPr>
            <w:r>
              <w:rPr/>
              <w:t> </w:t>
            </w:r>
          </w:p>
        </w:tc>
      </w:tr>
      <w:tr>
        <w:trPr/>
        <w:tc>
          <w:tcPr>
            <w:tcW w:w="247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Selling, general and administrative</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1,556,145</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984,667</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571,478</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2,576,094</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1,293,623</w:t>
            </w:r>
          </w:p>
        </w:tc>
        <w:tc>
          <w:tcPr>
            <w:tcW w:w="9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1,282,471</w:t>
            </w:r>
          </w:p>
        </w:tc>
        <w:tc>
          <w:tcPr>
            <w:tcW w:w="11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209" w:name="TAB15"/>
      <w:bookmarkEnd w:id="209"/>
      <w:r>
        <w:rPr>
          <w:rFonts w:ascii="Times New Roman" w:hAnsi="Times New Roman"/>
          <w:sz w:val="20"/>
        </w:rPr>
        <w:t>For the three and six months ended June 30, 2013, there was an increase of $571,478 and $1,282,471, in selling, general and administrative expenses, as compared to the same periods in the prior year. The increase in selling, general and administrative expenses is largely attributable to the increase in our operations and activity during the six months ended June 30, 2013 as compared to the same period in the prior year, and is primarily due to the hiring and compensation of additional personnel including management and appointments to the Board of Directors, investor relation activities and consultants, and additional filing fees associated with the listing of our common stock on The NASDAQ Capital Market. The increase in personnel and investor relations costs are primarily associated with an increase of $81,290 and $453,049 in stock-based compensation for the three and six months ended June 30, 2013, respectively, as compared to the same periods in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10" w:name="TAB16"/>
      <w:bookmarkEnd w:id="210"/>
      <w:r>
        <w:rPr>
          <w:rFonts w:ascii="Times New Roman" w:hAnsi="Times New Roman"/>
          <w:sz w:val="20"/>
        </w:rPr>
        <w:t>Our research and development expenses primarily include expenses related to the Impracor clinical program, including costs for our contract research organization. Also included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1" w:name="PGBRK22"/>
      <w:bookmarkStart w:id="212" w:name="PGBRK22"/>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FTR22"/>
      <w:bookmarkStart w:id="214" w:name="FTR22"/>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5" w:name="GLFTR22"/>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16" w:name="PN22"/>
      <w:bookmarkEnd w:id="216"/>
      <w:r>
        <w:rPr>
          <w:rFonts w:ascii="effontselection" w:hAnsi="effontselectio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 w:name="HDR19"/>
      <w:bookmarkStart w:id="218" w:name="HDR19"/>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9" w:name="GLHDR22"/>
        <w:bookmarkEnd w:id="21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514"/>
        <w:gridCol w:w="97"/>
        <w:gridCol w:w="125"/>
        <w:gridCol w:w="949"/>
        <w:gridCol w:w="97"/>
        <w:gridCol w:w="97"/>
        <w:gridCol w:w="125"/>
        <w:gridCol w:w="949"/>
        <w:gridCol w:w="96"/>
        <w:gridCol w:w="97"/>
        <w:gridCol w:w="125"/>
        <w:gridCol w:w="949"/>
        <w:gridCol w:w="97"/>
        <w:gridCol w:w="97"/>
        <w:gridCol w:w="125"/>
        <w:gridCol w:w="1012"/>
        <w:gridCol w:w="96"/>
        <w:gridCol w:w="97"/>
        <w:gridCol w:w="125"/>
        <w:gridCol w:w="949"/>
        <w:gridCol w:w="97"/>
        <w:gridCol w:w="97"/>
        <w:gridCol w:w="125"/>
        <w:gridCol w:w="949"/>
        <w:gridCol w:w="119"/>
      </w:tblGrid>
      <w:tr>
        <w:trPr/>
        <w:tc>
          <w:tcPr>
            <w:tcW w:w="2514" w:type="dxa"/>
            <w:tcBorders/>
            <w:shd w:fill="auto" w:val="clear"/>
            <w:vAlign w:val="bottom"/>
          </w:tcPr>
          <w:p>
            <w:pPr>
              <w:pStyle w:val="TableContents"/>
              <w:spacing w:before="0" w:after="283"/>
              <w:ind w:left="0" w:right="0" w:hanging="0"/>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234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June 30,</w:t>
            </w:r>
          </w:p>
        </w:tc>
        <w:tc>
          <w:tcPr>
            <w:tcW w:w="96"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074" w:type="dxa"/>
            <w:gridSpan w:val="2"/>
            <w:tcBorders/>
            <w:shd w:fill="auto" w:val="clear"/>
            <w:vAlign w:val="bottom"/>
          </w:tcPr>
          <w:p>
            <w:pPr>
              <w:pStyle w:val="TableContents"/>
              <w:spacing w:before="0" w:after="283"/>
              <w:ind w:left="0" w:right="0" w:hanging="0"/>
              <w:jc w:val="center"/>
              <w:rPr>
                <w:rFonts w:ascii="times new roman" w:hAnsi="times new roman"/>
                <w:b/>
                <w:sz w:val="16"/>
              </w:rPr>
            </w:pPr>
            <w:r>
              <w:rPr>
                <w:rFonts w:ascii="times new roman" w:hAnsi="times new roman"/>
                <w:b/>
                <w:sz w:val="16"/>
              </w:rPr>
              <w:t>$</w:t>
            </w:r>
          </w:p>
        </w:tc>
        <w:tc>
          <w:tcPr>
            <w:tcW w:w="97"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240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 June 30,</w:t>
            </w:r>
          </w:p>
        </w:tc>
        <w:tc>
          <w:tcPr>
            <w:tcW w:w="97"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074" w:type="dxa"/>
            <w:gridSpan w:val="2"/>
            <w:tcBorders/>
            <w:shd w:fill="auto" w:val="clear"/>
            <w:vAlign w:val="bottom"/>
          </w:tcPr>
          <w:p>
            <w:pPr>
              <w:pStyle w:val="TableContents"/>
              <w:spacing w:before="0" w:after="283"/>
              <w:ind w:left="0" w:right="0" w:hanging="0"/>
              <w:jc w:val="center"/>
              <w:rPr>
                <w:rFonts w:ascii="times new roman" w:hAnsi="times new roman"/>
                <w:b/>
                <w:sz w:val="16"/>
              </w:rPr>
            </w:pPr>
            <w:r>
              <w:rPr>
                <w:rFonts w:ascii="times new roman" w:hAnsi="times new roman"/>
                <w:b/>
                <w:sz w:val="16"/>
              </w:rPr>
              <w:t>$</w:t>
            </w:r>
          </w:p>
        </w:tc>
        <w:tc>
          <w:tcPr>
            <w:tcW w:w="119" w:type="dxa"/>
            <w:tcBorders/>
            <w:shd w:fill="auto" w:val="clear"/>
            <w:vAlign w:val="bottom"/>
          </w:tcPr>
          <w:p>
            <w:pPr>
              <w:pStyle w:val="TableContents"/>
              <w:spacing w:before="0" w:after="283"/>
              <w:ind w:left="0" w:right="0" w:hanging="0"/>
              <w:jc w:val="center"/>
              <w:rPr/>
            </w:pPr>
            <w:r>
              <w:rPr/>
              <w:t> </w:t>
            </w:r>
          </w:p>
        </w:tc>
      </w:tr>
      <w:tr>
        <w:trPr/>
        <w:tc>
          <w:tcPr>
            <w:tcW w:w="2514"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0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97"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0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96"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0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97"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ind w:left="0" w:right="0" w:hanging="0"/>
              <w:jc w:val="center"/>
              <w:rPr/>
            </w:pPr>
            <w:r>
              <w:rPr/>
              <w:t> </w:t>
            </w:r>
          </w:p>
        </w:tc>
        <w:tc>
          <w:tcPr>
            <w:tcW w:w="1012" w:type="dxa"/>
            <w:tcBorders>
              <w:bottom w:val="single" w:sz="12" w:space="0" w:color="000000"/>
            </w:tcBorders>
            <w:shd w:fill="auto" w:val="clear"/>
            <w:tcMar>
              <w:bottom w:w="28" w:type="dxa"/>
            </w:tcMar>
            <w:vAlign w:val="bottom"/>
          </w:tcPr>
          <w:p>
            <w:pPr>
              <w:pStyle w:val="TableContents"/>
              <w:spacing w:before="0" w:after="283"/>
              <w:ind w:left="0" w:right="0" w:hanging="0"/>
              <w:jc w:val="center"/>
              <w:rPr>
                <w:rFonts w:ascii="times new roman" w:hAnsi="times new roman"/>
                <w:b/>
                <w:sz w:val="16"/>
              </w:rPr>
            </w:pPr>
            <w:r>
              <w:rPr>
                <w:rFonts w:ascii="times new roman" w:hAnsi="times new roman"/>
                <w:b/>
                <w:sz w:val="16"/>
              </w:rPr>
              <w:t>2013</w:t>
            </w:r>
          </w:p>
        </w:tc>
        <w:tc>
          <w:tcPr>
            <w:tcW w:w="96"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ind w:left="0" w:right="0" w:hanging="0"/>
              <w:jc w:val="center"/>
              <w:rPr/>
            </w:pPr>
            <w:r>
              <w:rPr/>
              <w:t> </w:t>
            </w:r>
          </w:p>
        </w:tc>
        <w:tc>
          <w:tcPr>
            <w:tcW w:w="949" w:type="dxa"/>
            <w:tcBorders>
              <w:bottom w:val="single" w:sz="12" w:space="0" w:color="000000"/>
            </w:tcBorders>
            <w:shd w:fill="auto" w:val="clear"/>
            <w:tcMar>
              <w:bottom w:w="28" w:type="dxa"/>
            </w:tcMar>
            <w:vAlign w:val="bottom"/>
          </w:tcPr>
          <w:p>
            <w:pPr>
              <w:pStyle w:val="TableContents"/>
              <w:spacing w:before="0" w:after="283"/>
              <w:ind w:left="0" w:right="0" w:hanging="0"/>
              <w:jc w:val="center"/>
              <w:rPr>
                <w:rFonts w:ascii="times new roman" w:hAnsi="times new roman"/>
                <w:b/>
                <w:sz w:val="16"/>
              </w:rPr>
            </w:pPr>
            <w:r>
              <w:rPr>
                <w:rFonts w:ascii="times new roman" w:hAnsi="times new roman"/>
                <w:b/>
                <w:sz w:val="16"/>
              </w:rPr>
              <w:t>2012</w:t>
            </w:r>
          </w:p>
        </w:tc>
        <w:tc>
          <w:tcPr>
            <w:tcW w:w="97"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0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19" w:type="dxa"/>
            <w:tcBorders/>
            <w:shd w:fill="auto" w:val="clear"/>
            <w:vAlign w:val="bottom"/>
          </w:tcPr>
          <w:p>
            <w:pPr>
              <w:pStyle w:val="TableContents"/>
              <w:spacing w:before="0" w:after="283"/>
              <w:jc w:val="left"/>
              <w:rPr/>
            </w:pPr>
            <w:r>
              <w:rPr/>
              <w:t> </w:t>
            </w:r>
          </w:p>
        </w:tc>
      </w:tr>
      <w:tr>
        <w:trPr/>
        <w:tc>
          <w:tcPr>
            <w:tcW w:w="2514"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49"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1012" w:type="dxa"/>
            <w:tcBorders/>
            <w:shd w:fill="auto" w:val="clear"/>
            <w:vAlign w:val="bottom"/>
          </w:tcPr>
          <w:p>
            <w:pPr>
              <w:pStyle w:val="TableContents"/>
              <w:spacing w:before="0" w:after="283"/>
              <w:jc w:val="right"/>
              <w:rPr/>
            </w:pPr>
            <w:r>
              <w:rPr/>
              <w:t> </w:t>
            </w:r>
          </w:p>
        </w:tc>
        <w:tc>
          <w:tcPr>
            <w:tcW w:w="9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49"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49" w:type="dxa"/>
            <w:tcBorders/>
            <w:shd w:fill="auto" w:val="clear"/>
            <w:vAlign w:val="bottom"/>
          </w:tcPr>
          <w:p>
            <w:pPr>
              <w:pStyle w:val="TableContents"/>
              <w:spacing w:before="0" w:after="283"/>
              <w:jc w:val="right"/>
              <w:rPr/>
            </w:pPr>
            <w:r>
              <w:rPr/>
              <w:t> </w:t>
            </w:r>
          </w:p>
        </w:tc>
        <w:tc>
          <w:tcPr>
            <w:tcW w:w="119" w:type="dxa"/>
            <w:tcBorders/>
            <w:shd w:fill="auto" w:val="clear"/>
            <w:vAlign w:val="bottom"/>
          </w:tcPr>
          <w:p>
            <w:pPr>
              <w:pStyle w:val="TableContents"/>
              <w:spacing w:before="0" w:after="283"/>
              <w:jc w:val="left"/>
              <w:rPr/>
            </w:pPr>
            <w:r>
              <w:rPr/>
              <w:t> </w:t>
            </w:r>
          </w:p>
        </w:tc>
      </w:tr>
      <w:tr>
        <w:trPr/>
        <w:tc>
          <w:tcPr>
            <w:tcW w:w="251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Research and development</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677,347</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133,611</w:t>
            </w:r>
          </w:p>
        </w:tc>
        <w:tc>
          <w:tcPr>
            <w:tcW w:w="9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543,736</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1,132,447</w:t>
            </w:r>
          </w:p>
        </w:tc>
        <w:tc>
          <w:tcPr>
            <w:tcW w:w="9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276,574</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855,873</w:t>
            </w:r>
          </w:p>
        </w:tc>
        <w:tc>
          <w:tcPr>
            <w:tcW w:w="11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pPr>
      <w:bookmarkStart w:id="220" w:name="TAB2"/>
      <w:bookmarkEnd w:id="220"/>
      <w:r>
        <w:rPr>
          <w:spacing w:val="180"/>
        </w:rPr>
        <w:t>   </w:t>
      </w:r>
      <w:r>
        <w:rPr/>
        <w:t>     </w:t>
      </w:r>
      <w:r>
        <w:rPr>
          <w:rFonts w:ascii="Times New Roman" w:hAnsi="Times New Roman"/>
          <w:sz w:val="20"/>
        </w:rPr>
        <w:t>For the three and six months ended June 30, 2013, there was an increase of $543,736 and $855,873, respectively, in research and development expense as compared to the same periods in the prior year. The increase was primarily related to the planning and development of our Impracor clinical program, and the hiring and compensation of additional personnel.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Interest Expense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was $0 for the three and six months ended June 30, 2013, compared to $3,576 and $24,658 for the same periods in the prior year. The 10% promissory notes with principal balances of $750,000 issued under a line of credit agreement accounted for $3,576 and $12,535 of interest expense during the three and six months ended June 30, 2012, respectively. A 7.5% convertible note with a principal balance of $1,000,000, issued in April 2010 accounted for $0 and $12,123 of interest expense during the three and six months ended June 30, 2012, respectively. As described in more detail under “Loss on Extinguishment of Debt” below, the entire principal balances and all accrued and unpaid interest under these notes was converted into shares of our common stock on February 28,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Interest Income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Interest income was $12,940 and $20,008 for the three and six months ended June 30, 2013, respectively, compared to $5,584 for the three and six months ended June 30, 2012. The increase was due to a higher average cash balance during the three and six months ended June 30, 2013 as compared to the same period in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Loss on Extinguishment of Debt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January 25, 2012, the Company entered into separate waiver and settlement agreements with Alexej Ladonnikov, the holder of 20% of a 7.5% Convertible Note (the “Note”) and DermaStar International, LLC (“DermaStar”), the holder of 80% of the Note. Pursuant to the terms of a waiver agreement, Mr. Ladonnikov and the Company agreed to the mandatory conversion of the twenty percent (20%) of the principal and accrued and unpaid interest of the Note held by Mr. Ladonnikov into the common stock of the Company at a conversion price of $0.60, at such time as the Company had a sufficient number of authorized common shares to effect such a conversion. Additionally, Mr. Ladonnikov agreed to make a one-time payment to the Company of $50,000 at the time of such conversion. On February 28, 2012, we received payment of $50,000 and issued 380,867 common shares to Mr. Ladonnikov as payment in full for his 20% ownership of the Note ($200,000) and its related accrued interest ($28,521). We determined this was a substantial modification to the debt instruments and applied debt extinguishment accounting to record a loss on extinguishment of debt of $150,000 ($200,000 Note principal balance less $50,000 cash payment) for the six months ended June 30, 2012.</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and DermaStar agreed to the mandatory conversion of the 80% of the principal and accrued and unpaid interest of the Note held by DermaStar into the common stock of the Company at a conversion price of $0.6667 (“DermaStar Conversion Price”), at such time as the Company had a sufficient number of authorized common shares to effect such a conversion. Additionally, DermaStar agreed to a mandatory conversion of an additional $56,087 in accounts payable of the Company (“AP Conversion”) held by DermaStar, at such time as the Company had a sufficient number of authorized common shares and was able to convert the Note. The AP Conversion was made at the DermaStar Conversion Price. On February 28, 2012, we issued 1,454,962 common shares to DermaStar as payment in full for their 80% ownership of the Note ($800,000), its related accrued interest ($114,082) and $56,087 in accounts payable. We determined this was a substantial modification to the debt instrument and applied debt extinguishment accounting to record a loss on extinguishment of debt of $856,087 for the six months ended June 30, 2012.</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20, 2012, DermaStar agreed to convert the promissory notes issued under a line of credit agreement and their related accrued interest, totaling $762,534, into 190,047 shares of our common stock and a related warrant</w:t>
      </w:r>
      <w:r>
        <w:rPr>
          <w:rFonts w:ascii="Times New Roman" w:hAnsi="Times New Roman"/>
          <w:sz w:val="20"/>
          <w:highlight w:val="white"/>
        </w:rPr>
        <w:t xml:space="preserve"> to purchase up to an additional 48,262 shares of our common stock at an exercise price of $5.925 per share</w:t>
      </w:r>
      <w:r>
        <w:rPr>
          <w:rFonts w:ascii="Times New Roman" w:hAnsi="Times New Roman"/>
          <w:sz w:val="20"/>
        </w:rPr>
        <w:t>. We determined this to be a substantial modification to the debt instrument and applied debt extinguishment accounting to record a loss on extinguishment of debt of $189,323 for the three and six months ended June 30, 2012.</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1" w:name="PGBRK23"/>
      <w:bookmarkStart w:id="222" w:name="PGBRK23"/>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FTR23"/>
      <w:bookmarkStart w:id="224" w:name="FTR23"/>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5" w:name="GLFTR23"/>
      <w:bookmarkEnd w:id="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26" w:name="PN23"/>
      <w:bookmarkEnd w:id="226"/>
      <w:r>
        <w:rPr>
          <w:rFonts w:ascii="effontselection" w:hAnsi="effontselectio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HDR20"/>
      <w:bookmarkStart w:id="228" w:name="HDR20"/>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29" w:name="GLHDR23"/>
        <w:bookmarkEnd w:id="22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b/>
          <w:sz w:val="20"/>
        </w:rPr>
        <w:t>Net Loss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loss attributable to common stockholders for the three and six months ended June 30, 2013 was $(2,218,052), and $(3,683,533), respectively, or $(0.25) and $(0.44), respectively, per basic and diluted share, compared to a net loss attributable to common stockholders for the three and six months ended June 30, 2012 of $(1,505,593) and $(2,884,681), respectively, or $(0.39) and $(1.17), respectively, per basic and diluted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cash on hand at June 30, 2013 was $17,970,320 as compared to $7,717,292 at June 30, 2012. The increase in cash on hand is primarily attributable to aggregate net proceeds of approximately $11,920,000 received from the issuance of common stock and warrants in private offerings to accredited investors in April and August 2012, and approximately $9,460,000 in net proceeds attributable to the closing of the Public Offering and its over-allotment exercise, in February and March 2013, respectively. Since inception through June 30, 2013, we have incurred aggregate losses of approximately $27,800,000. These losses are primarily due to selling, general and administrative and research and development expenses incurred in connection with developing and seeking regulatory approval for our lead drug candidate, Impracor. Historically, our operations have been financed through capital contributions and debt and equity financings.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Public Offering</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As further described above under the heading “Recent Developments,” on February 13, 2013 and March 14, 2013 we issued and sold in aggregate 2,116,000 shares of common stock at a per share purchase price of $5.25, for aggregate net proceeds to us of approximately $9,460,000.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detailed information about our net cash flow for the six months ended June 30, 2013 and 2012.</w:t>
      </w:r>
    </w:p>
    <w:p>
      <w:pPr>
        <w:pStyle w:val="TextBody"/>
        <w:spacing w:before="0" w:after="0"/>
        <w:ind w:left="0" w:right="0" w:hanging="0"/>
        <w:jc w:val="both"/>
        <w:rPr/>
      </w:pPr>
      <w:r>
        <w:rPr/>
        <w:t> </w:t>
      </w:r>
    </w:p>
    <w:tbl>
      <w:tblPr>
        <w:tblW w:w="4250" w:type="pct"/>
        <w:jc w:val="center"/>
        <w:tblInd w:w="0" w:type="dxa"/>
        <w:tblCellMar>
          <w:top w:w="0" w:type="dxa"/>
          <w:left w:w="0" w:type="dxa"/>
          <w:bottom w:w="0" w:type="dxa"/>
          <w:right w:w="0" w:type="dxa"/>
        </w:tblCellMar>
      </w:tblPr>
      <w:tblGrid>
        <w:gridCol w:w="5916"/>
        <w:gridCol w:w="97"/>
        <w:gridCol w:w="126"/>
        <w:gridCol w:w="1066"/>
        <w:gridCol w:w="106"/>
        <w:gridCol w:w="97"/>
        <w:gridCol w:w="126"/>
        <w:gridCol w:w="1020"/>
        <w:gridCol w:w="120"/>
      </w:tblGrid>
      <w:tr>
        <w:trPr/>
        <w:tc>
          <w:tcPr>
            <w:tcW w:w="5916"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Cash Flow</w:t>
            </w:r>
          </w:p>
        </w:tc>
        <w:tc>
          <w:tcPr>
            <w:tcW w:w="97" w:type="dxa"/>
            <w:tcBorders/>
            <w:shd w:fill="auto" w:val="clear"/>
            <w:vAlign w:val="bottom"/>
          </w:tcPr>
          <w:p>
            <w:pPr>
              <w:pStyle w:val="TableContents"/>
              <w:spacing w:before="0" w:after="283"/>
              <w:ind w:left="0" w:right="0" w:hanging="0"/>
              <w:jc w:val="center"/>
              <w:rPr/>
            </w:pPr>
            <w:r>
              <w:rPr/>
              <w:t> </w:t>
            </w:r>
          </w:p>
        </w:tc>
        <w:tc>
          <w:tcPr>
            <w:tcW w:w="254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20" w:type="dxa"/>
            <w:tcBorders/>
            <w:shd w:fill="auto" w:val="clear"/>
            <w:vAlign w:val="bottom"/>
          </w:tcPr>
          <w:p>
            <w:pPr>
              <w:pStyle w:val="TableContents"/>
              <w:spacing w:before="0" w:after="283"/>
              <w:ind w:left="0" w:right="0" w:hanging="0"/>
              <w:jc w:val="center"/>
              <w:rPr/>
            </w:pPr>
            <w:r>
              <w:rPr/>
              <w:t> </w:t>
            </w:r>
          </w:p>
        </w:tc>
      </w:tr>
      <w:tr>
        <w:trPr/>
        <w:tc>
          <w:tcPr>
            <w:tcW w:w="5916"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1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6" w:type="dxa"/>
            <w:tcBorders/>
            <w:shd w:fill="auto" w:val="clear"/>
            <w:vAlign w:val="bottom"/>
          </w:tcPr>
          <w:p>
            <w:pPr>
              <w:pStyle w:val="TableContents"/>
              <w:spacing w:before="0" w:after="283"/>
              <w:ind w:left="0" w:right="0" w:hanging="0"/>
              <w:jc w:val="center"/>
              <w:rPr/>
            </w:pPr>
            <w:r>
              <w:rPr/>
              <w:t> </w:t>
            </w:r>
          </w:p>
        </w:tc>
        <w:tc>
          <w:tcPr>
            <w:tcW w:w="97" w:type="dxa"/>
            <w:tcBorders/>
            <w:shd w:fill="auto" w:val="clear"/>
            <w:vAlign w:val="bottom"/>
          </w:tcPr>
          <w:p>
            <w:pPr>
              <w:pStyle w:val="TableContents"/>
              <w:spacing w:before="0" w:after="283"/>
              <w:ind w:left="0" w:right="0" w:hanging="0"/>
              <w:jc w:val="center"/>
              <w:rPr/>
            </w:pPr>
            <w:r>
              <w:rPr/>
              <w:t> </w:t>
            </w:r>
          </w:p>
        </w:tc>
        <w:tc>
          <w:tcPr>
            <w:tcW w:w="11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20" w:type="dxa"/>
            <w:tcBorders/>
            <w:shd w:fill="auto"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operating activities</w:t>
            </w:r>
          </w:p>
        </w:tc>
        <w:tc>
          <w:tcPr>
            <w:tcW w:w="9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(2,062,764</w:t>
            </w:r>
          </w:p>
        </w:tc>
        <w:tc>
          <w:tcPr>
            <w:tcW w:w="1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(617,405</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investing activities</w:t>
            </w:r>
          </w:p>
        </w:tc>
        <w:tc>
          <w:tcPr>
            <w:tcW w:w="9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(55,172</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(15,308</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provided by financing activities</w:t>
            </w:r>
          </w:p>
        </w:tc>
        <w:tc>
          <w:tcPr>
            <w:tcW w:w="97"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10,052,641</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8,203,845</w:t>
            </w:r>
          </w:p>
        </w:tc>
        <w:tc>
          <w:tcPr>
            <w:tcW w:w="120"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283"/>
              <w:rPr/>
            </w:pPr>
            <w:r>
              <w:rPr/>
              <w:t> </w:t>
            </w:r>
          </w:p>
        </w:tc>
        <w:tc>
          <w:tcPr>
            <w:tcW w:w="9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Increase in Cash and Cash Equivalents</w:t>
            </w:r>
          </w:p>
        </w:tc>
        <w:tc>
          <w:tcPr>
            <w:tcW w:w="9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7,934,705</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7,571,132</w:t>
            </w:r>
          </w:p>
        </w:tc>
        <w:tc>
          <w:tcPr>
            <w:tcW w:w="120"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and Cash Equivalents at Beginning of the Period</w:t>
            </w:r>
          </w:p>
        </w:tc>
        <w:tc>
          <w:tcPr>
            <w:tcW w:w="9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20" w:type="dxa"/>
            <w:tcBorders/>
            <w:shd w:fill="FFFFFF"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and Cash Equivalents at End of the Period</w:t>
            </w:r>
          </w:p>
        </w:tc>
        <w:tc>
          <w:tcPr>
            <w:tcW w:w="9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17,970,320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7,717,292</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Operating Activities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cash used in operating activities was $2,062,764 for the six months ended June 30, 2013, as compared to $617,405 used in operating activities during the same period for the prior year. The increase in net cash used in operating activities was mainly due to costs associated with resuming the operation of our business, including hiring additional employees, and the planning, development and preparation of our Impracor clinical program and Phase 3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Investing Activities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cash used in investing activities for the six months ended June 30, 2013 and 2012 was $55,172 and $15,308, respectively. The increase in investing activities during the six months ended June 30, 2103 was due primarily to the purchase of a certificate of deposit required as collateral in connection with the Company’s corporate credit card agreement.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0" w:name="PGBRK24"/>
      <w:bookmarkStart w:id="231" w:name="PGBRK24"/>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FTR24"/>
      <w:bookmarkStart w:id="233" w:name="FTR24"/>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4" w:name="GLFTR24"/>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35" w:name="PN24"/>
      <w:bookmarkEnd w:id="235"/>
      <w:r>
        <w:rPr>
          <w:rFonts w:ascii="effontselection" w:hAnsi="effontselectio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HDR21"/>
      <w:bookmarkStart w:id="237" w:name="HDR21"/>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38" w:name="GLHDR24"/>
        <w:bookmarkEnd w:id="23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Financing Activities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Net cash provided by financing activities for the six months ended June 30, 2013 and 2012 was $10,052,641 and $8,203,845, respectively. The increase in cash is primarily attributable to aggregate proceeds, net of offering costs including $596,281 incurred in fiscal 2012, of approximately $10,053,000 received from the Public Offering and its over-allotment exercise, in February and March of 2013.</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239" w:name="TAB17"/>
      <w:bookmarkEnd w:id="239"/>
      <w:r>
        <w:rPr>
          <w:rFonts w:ascii="Times New Roman" w:hAnsi="Times New Roman"/>
          <w:sz w:val="20"/>
        </w:rPr>
        <w:t>We expect to use our current cash position to pursue our business plan, including conducting clinical studies related to our Accudel technology, and otherwise fund our operations. Management believes we have sufficient cash reserves to operate our business for the next twelve months. If we are not able to generate significant revenues and attain profitable operations, we will need to seek additional financing, including equity or debt financing, funding from a corporate partnership or licensing arrangement or any similar financing. In addition, estimates of our operating expenses and working capital requirements could be incorrect, and we could be required to seek additional financing earlier than we anticipate.</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40" w:name="TAB18"/>
      <w:bookmarkEnd w:id="240"/>
      <w:r>
        <w:rPr>
          <w:rFonts w:ascii="Times New Roman" w:hAnsi="Times New Roman"/>
          <w:sz w:val="20"/>
        </w:rPr>
        <w:t>We expect to require additional funds in order to conduct additional clinical trials and any other studies that may be required to obtain regulatory approval to market Impracor, to pursue additional pharmaceutical development programs and to explore other co-development opportunities. If adequate financing is not available, we may not be able to obtain regulatory approval to market Impracor or develop any additional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may seek funds from equity or debt financings, corporate partnerships, or licensing arrangements, or any other similar financing. Any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on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may be unable to obtain financing when necessary as a result of, among other things, general economic conditions and conditions in the pharmaceuticals industry, or as a result of our operating history, including our past bankruptcy proceedings. In addition, the fact that we are not and have never been profitable could further impact the availability or cost of future financings. As a result, there is no assurance that sufficient funds will be available when needed from any source or, if available, will be available on terms that are acceptable to us. If we are unable to raise funds to satisfy our capital needs on a timely basis, then we may not be able to obtain regulatory approval to market Impracor or develop any additional products or otherwise pursue our business plan, and we may be required to cease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the date of this Quarterly Report, management believes we have sufficient cash reserves to support our operating plan and fund operating cash flow requirements through the next twelve months.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July 2013, the FASB issued Accounting Standards Update (“ASU”) No.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The Company intends to adopt this guidance at the beginning of its first quarter of fiscal year 2014, and is currently evaluating the impact on its financial statements and disclosures.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1" w:name="PGBRK25"/>
      <w:bookmarkStart w:id="242" w:name="PGBRK25"/>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FTR25"/>
      <w:bookmarkStart w:id="244" w:name="FTR25"/>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5" w:name="GLFTR25"/>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46" w:name="PN25"/>
      <w:bookmarkEnd w:id="246"/>
      <w:r>
        <w:rPr>
          <w:rFonts w:ascii="effontselection" w:hAnsi="effontselectio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HDR22"/>
      <w:bookmarkStart w:id="248" w:name="HDR22"/>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49" w:name="GLHDR25"/>
        <w:bookmarkEnd w:id="24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50" w:name="ITEM3"/>
      <w:bookmarkEnd w:id="250"/>
      <w:r>
        <w:rPr>
          <w:rFonts w:ascii="Times New Roman" w:hAnsi="Times New Roman"/>
          <w:b/>
          <w:sz w:val="20"/>
        </w:rPr>
        <w:t>ITEM 3. QUANTITATIVE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Interest rate sensitivity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exposed to market risks related to changes in interest rates. The primary objective of our investments in securities is to preserve principal. We do not purchase financial instruments for trading purposes. Our investment portfolio consists primarily of cash invested in money market funds. We classify our short-term restricted investment, which is a certificate of deposit as of June 30, 2013 as held-to-maturity. This held-to-maturity investment is subject to interest rate risk. Based on our current low yield, any decrease in interest rates is not likely to have a material effect on interest income.</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June 30, 2013, approximately $16,600,000 of our cash and cash equivalents was maintained in money market funds. At times, deposits held with the financial institutions may exceed the amount of insurance provided by the Federal Deposit Insurance Corporation (“FDIC”), which provides deposit coverage with limits up to $250,000 per owner. At June 30, 2013, such uninsured deposits totaled approximately $17,700,000. Generally, these deposits may be redeemed upon demand and, therefore, are believed to bear minimal risk.</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Financial instruments that potentially subject us to concentrations of credit risk consist of cash and cash equivalents. However, we seek to mitigate the risk related to cash and cash equivalents by placing our cash and cash equivalents in money market funds and at financial institutions of high credit standing.</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20"/>
        </w:rPr>
      </w:pPr>
      <w:bookmarkStart w:id="251" w:name="ITEM4"/>
      <w:bookmarkEnd w:id="251"/>
      <w:r>
        <w:rPr>
          <w:rFonts w:ascii="Times New Roman" w:hAnsi="Times New Roman"/>
          <w:b/>
          <w:sz w:val="20"/>
        </w:rPr>
        <w:t>ITEM 4. CONTROLS AND PROCEDURES.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Evaluation of Disclosure Controls and Procedures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Securities and Exchange Commission (the “SEC’s”)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they existed on June 30, 2013. Based on this evaluation, our principal executive officer and principal financial officer have concluded that our disclosure controls and procedures were effective to achieve their stated purpose as of June 30, 2013, the end of the period covered by this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Changes in Internal Controls over Financial Reporting</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has been no change in our internal control over financial reporting (as defined in Rule 13a-15(f) under the Exchange Act) during our second quarter ended June 30, 2013,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2" w:name="PGBRK26"/>
      <w:bookmarkStart w:id="253" w:name="PGBRK26"/>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 w:name="FTR26"/>
      <w:bookmarkStart w:id="255" w:name="FTR26"/>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6" w:name="GLFTR26"/>
      <w:bookmarkEnd w:id="2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57" w:name="PN26"/>
      <w:bookmarkEnd w:id="257"/>
      <w:r>
        <w:rPr>
          <w:rFonts w:ascii="effontselection" w:hAnsi="effontselectio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8" w:name="HDR23"/>
      <w:bookmarkStart w:id="259" w:name="HDR23"/>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60" w:name="GLHDR26"/>
        <w:bookmarkEnd w:id="26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261" w:name="PART2"/>
      <w:bookmarkEnd w:id="261"/>
      <w:r>
        <w:rPr>
          <w:rFonts w:ascii="Times New Roman" w:hAnsi="Times New Roman"/>
          <w:b/>
          <w:sz w:val="20"/>
        </w:rPr>
        <w:t>PART II</w:t>
      </w:r>
    </w:p>
    <w:p>
      <w:pPr>
        <w:pStyle w:val="TextBody"/>
        <w:spacing w:before="0" w:after="0"/>
        <w:ind w:left="0" w:right="0" w:hanging="0"/>
        <w:jc w:val="center"/>
        <w:rPr>
          <w:rFonts w:ascii="Times New Roman" w:hAnsi="Times New Roman"/>
          <w:b/>
          <w:sz w:val="20"/>
        </w:rPr>
      </w:pPr>
      <w:r>
        <w:rPr>
          <w:rFonts w:ascii="Times New Roman" w:hAnsi="Times New Roman"/>
          <w:b/>
          <w:sz w:val="20"/>
        </w:rPr>
        <w:t>OTHER INFORMATION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bookmarkStart w:id="262" w:name="PART2ITEM1"/>
      <w:bookmarkEnd w:id="262"/>
      <w:r>
        <w:rPr>
          <w:rFonts w:ascii="Times New Roman" w:hAnsi="Times New Roman"/>
          <w:b/>
          <w:sz w:val="20"/>
        </w:rPr>
        <w:t>ITEM 1.  LEGAL PROCEEDINGS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not aware of any pending legal proceedings to which we are a party or of which any of our property is subject the adverse outcome of which, individually or in the aggregate, would have a material adverse effect on our financial position or results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bookmarkStart w:id="263" w:name="PART2ITEM1a"/>
      <w:bookmarkEnd w:id="263"/>
      <w:r>
        <w:rPr>
          <w:rFonts w:ascii="Times New Roman" w:hAnsi="Times New Roman"/>
          <w:b/>
          <w:sz w:val="20"/>
        </w:rPr>
        <w:t>ITEM 1A. RISK FACTORS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You should carefully consider the following risk factors in addition to the other information contained in this report and our other filings with the SEC.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 This Quarterly Report contains forward-looking statements.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Our Business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incurred losses in the research and development of Impracor and our Accudel technology since inception. We may never generate revenue or become profitable.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incurred losses in every year of our operations, including net losses of $(5,383,535) and $(953,936) for the years ended December 31, 2012 and 2011, respectively. As of June 30, 2013, our accumulated deficit was $(27,787,801). In addition, we expect to incur increasing operating losses for the foreseeable future as we continue to incur costs for research and development and clinical trials, as well as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The license fees for such drugs or active ingredients may increase our costs.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not commercialized any product candidate and our ability to generate revenues from any of our product candidates will depend on a number of factors, including our ability to successfully complete clinical trials, obtain necessary regulatory approvals and negotiate arrangements with third parties to help finance the development of, and market and distribute, any product candidate that receives regulatory approval. In addition, we will be subject to the risk that the marketplace will not accept our products. Our ultimate success will depend on many factors, including whether Impracor receives U.S. Food and Drug Administration (“FDA”) approval. We cannot be certain that we will receive FDA approval for Impracor, or that we will reach the level of sales and revenues necessary to achieve and sustain profitability. Because of the numerous risks and uncertainties associated with our product development and commercialization efforts, we may never be able to obtain or sustain market acceptance of Impracor or any future product candidate, or achieve profitability or positive cash flow.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a limited operating history and we may be unable to successfully resume our operations and implement our business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initiating a new Phase 3 clinical trial for Impracor. We have a limited operating history since the dismissal of the Chapter 11 Case. We have had to re-assemble a management team and other employees to assist with our general operations. We currently have six employees, only one of whom was an employee of the Company prior to the filing of the Chapter 11 Case. We will need to hire additional employees in order to execute our business plan. Given our operating history, we may be unable to hire and retain qualified individuals we will need to operate our business. In addition, our management team may not be successful in executing our business plan.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4" w:name="PGBRK27"/>
      <w:bookmarkStart w:id="265" w:name="PGBRK27"/>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FTR27"/>
      <w:bookmarkStart w:id="267" w:name="FTR27"/>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8" w:name="GLFTR27"/>
      <w:bookmarkEnd w:id="2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69" w:name="PN27"/>
      <w:bookmarkEnd w:id="269"/>
      <w:r>
        <w:rPr>
          <w:rFonts w:ascii="effontselection" w:hAnsi="effontselectio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 w:name="HDR24"/>
      <w:bookmarkStart w:id="271" w:name="HDR24"/>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72" w:name="GLHDR27"/>
        <w:bookmarkEnd w:id="27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able to correctly estimate our future operating expenses, which could lead to cash shortfalls.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expect our total expenditures over the next 12 months to be approximately $8.5-$10 million.  However, our estimate of total expenditures could change if we encounter unanticipated difficulties with our Phase 3 clinical trials for Impracor or pursue additional product development opportunities.  We have a limited operating history since the dismissal of the Chapter 11 Case, and we may incorrectly estimate the amount of cash necessary to fund our business.  Our estimates of our operating expenses may prove to be wrong and we could spend our available financial resources much faster than we currently expect.  If we do not have sufficient funds to continue to operate and develop our business, we could be required to seek additional financing earlier than we expect or be forced to delay, scale back or eliminate some or all of our proposed operations.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operating expenses may fluctuate significantly in the future as a result of a variety of factors, some of which are outside of our control. These factors include, among other things:</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left"/>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time and resources required to conduct clinical trials and obtain regulatory approvals for Impracor; or any potential future drug candidate;</w:t>
            </w:r>
          </w:p>
        </w:tc>
      </w:tr>
    </w:tbl>
    <w:p>
      <w:pPr>
        <w:pStyle w:val="TextBody"/>
        <w:spacing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left"/>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time and resources required to research and develop potential product candidates and pursue potential acquisition and licensing opportunities;</w:t>
            </w:r>
          </w:p>
          <w:p>
            <w:pPr>
              <w:pStyle w:val="TableContents"/>
              <w:spacing w:before="0" w:after="0"/>
              <w:ind w:left="180" w:right="0" w:hanging="0"/>
              <w:rPr/>
            </w:pPr>
            <w:r>
              <w:rPr/>
              <w:t> </w:t>
            </w:r>
          </w:p>
        </w:tc>
      </w:tr>
      <w:tr>
        <w:trPr/>
        <w:tc>
          <w:tcPr>
            <w:tcW w:w="711" w:type="dxa"/>
            <w:tcBorders/>
            <w:shd w:fill="auto" w:val="clear"/>
          </w:tcPr>
          <w:p>
            <w:pPr>
              <w:pStyle w:val="TableContents"/>
              <w:spacing w:before="0" w:after="0"/>
              <w:ind w:left="900" w:right="0" w:hanging="0"/>
              <w:jc w:val="left"/>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costs to rebuild our management team following the dismissal of the Chapter 11 Case, including attracting and retaining personnel with the skills required for effective operations;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left"/>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costs of preparing, filing, prosecuting, defending and enforcing patent claims and other patent related costs, including litigation costs and the results of such litigation.</w:t>
            </w:r>
          </w:p>
        </w:tc>
      </w:tr>
    </w:tbl>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If we do not have sufficient funds to continue to develop our business, we will be forced to delay, scale back or eliminate some or all of our proposed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expect to need additional capital in order to continue operating our business, and such additional funds may not be available on acceptable terms or at all.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generate any cash from operations and, although we believe we have sufficient cash reserves to execute our business plan for at least the next twelve months, we expect to need significant additional capital to execute our business plan and fund our proposed business operations. We may seek to raise additional capital through, among other things, public and private equity offerings and debt financings. If we are unable to raise additional capital when necessary, we may be required to forego pursuing potentially valuable product development opportunities and reduce our expenses and cash expenditures to a material extent, which would impair or delay our ability to execute our business plan</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raised $21.4 million in funds through equity financings since April 2012. We expect to continue to fund our operations primarily through equity and debt financings in the future, and could also pursue funding from corporate partnerships or licensing arrangements or similar financings. If additional capital is not available when necessary, we may not be able to continue to operate our business pursuant to our business plan or we may have to discontinue our operations entirely.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3" w:name="PGBRK28"/>
      <w:bookmarkStart w:id="274" w:name="PGBRK28"/>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 w:name="FTR28"/>
      <w:bookmarkStart w:id="276" w:name="FTR28"/>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7" w:name="GLFTR28"/>
      <w:bookmarkEnd w:id="2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78" w:name="PN28"/>
      <w:bookmarkEnd w:id="278"/>
      <w:r>
        <w:rPr>
          <w:rFonts w:ascii="effontselection" w:hAnsi="effontselectio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9" w:name="HDR25"/>
      <w:bookmarkStart w:id="280" w:name="HDR25"/>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81" w:name="GLHDR28"/>
        <w:bookmarkEnd w:id="28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be unable to demonstrate the safety and efficacy of our product candidates and obtain FDA regulatory approval to market and sell our product candidates.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process of obtaining FDA approval to market and sell pharmaceutical products is costly, time consuming, uncertain and subject to unanticipated delays. Our primary product candidate, Impracor, has not been approved for sale by the FDA or the regulatory authorities of any other country. In addition, we have acquired intellectual property related to a number of other potential product candidates and are currently assessing whether or not to pursue FDA approval for one or more potential product candidates. The FDA or other regulatory agencies may not approve any product candidates developed by us on a timely basis or at all. Before obtaining regulatory approvals for the sale of any of our potential product candidates, we must demonstrate through preclinical studies and clinical trials that the product candidate is safe and effective for each intended use. Preclinical and clinical studies may fail to demonstrate the safety and effectiveness of our potential product candidates. Even promising results from preclinical and early clinical studies do not always accurately predict results in later, large scale trials. A failure to demonstrate safety and efficacy would result in our failure to obtain regulatory approvals. The outcome of the final analyses of clinical trial data may vary from our initial conclusions, or the FDA may not agree with our interpretation of such results or may challenge the adequacy of our clinical trial design or the execution of the clinical trial. Moreover, even if the FDA grants regulatory approval of a product candidate, the approval may be limited to specific indications or limited with respect to its distribution, which could limit revenues.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282" w:name="TAB19"/>
      <w:bookmarkEnd w:id="282"/>
      <w:r>
        <w:rPr>
          <w:rFonts w:ascii="Times New Roman" w:hAnsi="Times New Roman"/>
          <w:sz w:val="20"/>
        </w:rPr>
        <w:t>In June 2008, we initiated a Phase 3 clinical study for Impracor.  The clinical trial was designed as a randomized, double-blind, placebo-controlled, multi-center Phase 3 study that enrolled a total of 364 patients with acute soft tissue injuries of the upper or lower extremities in 26 centers in the United States. The FDA did not accept our modified Intent-To-Treat (ITT) Analysis of the data from this clinical study, and as a result the study did not demonstrate statistical significance on the primary efficacy endpoint.   The FDA is requiring us to complete two new adequate and well controlled Phase 3 clinical trials and one safety study before we can submit a New Drug Application under Section 505(b)(2) of the Hatch-Waxman Act of 1984 for Impracor.  We expect to conduct two clinical trials for Impracor, one in the indication of sprains, strains and soft tissue injuries and one study in acute flare of osteoarthritis, as well as a routine safety study.  We had previously expected to enroll the first patient in our first proposed Impracor Phase 3 clinical trial, for acute flare of osteoarthritis, during the third quarter of 2013.  However, we have experienced unanticipated delays in initiating the Phase 3 clinical trial as a result of certain manufacturing issues.  We expect to conduct an assessment of these manufacturing issues and are currently assessing our options with respect to the Impracor clinical program.  Following this assessment and our review of the key assumptions underlying the feasibility of the Impracor program, we could determine that it is not in the best interests of the Company to continue the Impracor program.  In addition, we may be unable to initiate or complete the proposed Phase 3 clinical trials for Impracor on a timely basis or at all.    The results of our currently proposed Phase 3 clinical trials or any future clinical trials or studies may not be favorable and we may never receive regulatory approval for Impracor.  Even if we obtain favorable results in our first Phase 3 clinical trial for Impracor, we may not obtain favorable results in the second proposed Phase 3 clinical trial.  We may be unable to demonstrate statistical significance on the primary or secondary endpoints in our proposed clinical trials.  Any limitation on use imposed by the FDA or delay in or failure to obtain FDA approvals of Impracor or any other product candidates developed by us would adversely affect our ability to generate product revenue, as well as the price of our common stock.  If we are unable to obtain FDA regulatory approval to market and sell Impracor or any potential future product candidate, we will not have revenue from product sales and may never become profitable.  </w:t>
      </w:r>
    </w:p>
    <w:p>
      <w:pPr>
        <w:pStyle w:val="TextBody"/>
        <w:spacing w:before="0" w:after="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Delays in the conduct or completion of our clinical and non-clinical trials for Impracor, or any other product candidate we may pursue, or the analysis of the data from our clinical or non-clinical trials, may adversely affect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Clinical trials are very expensive, time consuming and difficult to design and implement. Even if the results of our proposed clinical trials are favorable, they may continue for several years and may take significantly longer than expected to complete. Delays in the commencement or completion of clinical testing could significantly affect our product development costs and business plan. We do not know whether our proposed Phase 3 clinical trials for Impracor will be completed on schedule, if at all. In addition, we do not know whether any other pre-clinical or clinical trials related to any product development candidates we may identify will begin in a timely basis or be completed on schedule, if at all. The commencement and completion of clinical trials can be delayed for a number of reasons, including delays related to:</w:t>
      </w:r>
    </w:p>
    <w:p>
      <w:pPr>
        <w:pStyle w:val="TextBody"/>
        <w:spacing w:before="0" w:after="0"/>
        <w:ind w:left="0" w:right="0" w:hanging="0"/>
        <w:rPr/>
      </w:pPr>
      <w:r>
        <w:rPr/>
      </w:r>
    </w:p>
    <w:p>
      <w:pPr>
        <w:pStyle w:val="Normal"/>
        <w:spacing w:before="0" w:after="0"/>
        <w:rPr>
          <w:sz w:val="4"/>
          <w:szCs w:val="4"/>
        </w:rPr>
      </w:pPr>
      <w:r>
        <w:rPr>
          <w:sz w:val="4"/>
          <w:szCs w:val="4"/>
        </w:rPr>
      </w:r>
      <w:bookmarkStart w:id="283" w:name="list"/>
      <w:bookmarkStart w:id="284" w:name="list"/>
      <w:bookmarkEnd w:id="284"/>
    </w:p>
    <w:tbl>
      <w:tblPr>
        <w:tblW w:w="5000" w:type="pct"/>
        <w:jc w:val="left"/>
        <w:tblInd w:w="0" w:type="dxa"/>
        <w:tblCellMar>
          <w:top w:w="0" w:type="dxa"/>
          <w:left w:w="0" w:type="dxa"/>
          <w:bottom w:w="0" w:type="dxa"/>
          <w:right w:w="0" w:type="dxa"/>
        </w:tblCellMar>
      </w:tblPr>
      <w:tblGrid>
        <w:gridCol w:w="322"/>
        <w:gridCol w:w="9883"/>
      </w:tblGrid>
      <w:tr>
        <w:trPr/>
        <w:tc>
          <w:tcPr>
            <w:tcW w:w="322" w:type="dxa"/>
            <w:tcBorders/>
            <w:shd w:fill="auto" w:val="clear"/>
          </w:tcPr>
          <w:p>
            <w:pPr>
              <w:pStyle w:val="TableContents"/>
              <w:spacing w:before="0" w:after="0"/>
              <w:jc w:val="right"/>
              <w:rPr/>
            </w:pPr>
            <w:r>
              <w:rPr/>
              <w:t>●  </w:t>
            </w:r>
          </w:p>
        </w:tc>
        <w:tc>
          <w:tcPr>
            <w:tcW w:w="98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obtaining clearance from the FDA or its respective international regulatory equivalent to commence a clinical trial;</w:t>
            </w:r>
          </w:p>
        </w:tc>
      </w:tr>
    </w:tbl>
    <w:p>
      <w:pPr>
        <w:pStyle w:val="Normal"/>
        <w:spacing w:before="0" w:after="0"/>
        <w:rPr>
          <w:sz w:val="4"/>
          <w:szCs w:val="4"/>
        </w:rPr>
      </w:pPr>
      <w:r>
        <w:rPr>
          <w:sz w:val="4"/>
          <w:szCs w:val="4"/>
        </w:rPr>
      </w:r>
      <w:bookmarkStart w:id="285" w:name="list1"/>
      <w:bookmarkStart w:id="286" w:name="list1"/>
      <w:bookmarkEnd w:id="286"/>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jc w:val="right"/>
              <w:rPr/>
            </w:pPr>
            <w:r>
              <w:rPr/>
              <w:t>●  </w:t>
            </w:r>
          </w:p>
        </w:tc>
        <w:tc>
          <w:tcPr>
            <w:tcW w:w="98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failure of the FDA to approve the scope or design of our clinical or non-clinical trials or manufacturing plans;</w:t>
            </w:r>
          </w:p>
        </w:tc>
      </w:tr>
    </w:tbl>
    <w:p>
      <w:pPr>
        <w:pStyle w:val="Normal"/>
        <w:spacing w:before="0" w:after="0"/>
        <w:rPr>
          <w:sz w:val="4"/>
          <w:szCs w:val="4"/>
        </w:rPr>
      </w:pPr>
      <w:r>
        <w:rPr>
          <w:sz w:val="4"/>
          <w:szCs w:val="4"/>
        </w:rPr>
      </w:r>
      <w:bookmarkStart w:id="287" w:name="list2"/>
      <w:bookmarkStart w:id="288" w:name="list2"/>
      <w:bookmarkEnd w:id="28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reaching agreement on acceptable terms with clinical research organizations, or CROs, clinical investigators and trial sites;</w:t>
            </w:r>
          </w:p>
        </w:tc>
      </w:tr>
    </w:tbl>
    <w:p>
      <w:pPr>
        <w:pStyle w:val="Normal"/>
        <w:spacing w:before="0" w:after="0"/>
        <w:rPr>
          <w:sz w:val="4"/>
          <w:szCs w:val="4"/>
        </w:rPr>
      </w:pPr>
      <w:r>
        <w:rPr>
          <w:sz w:val="4"/>
          <w:szCs w:val="4"/>
        </w:rPr>
      </w:r>
      <w:bookmarkStart w:id="289" w:name="list3"/>
      <w:bookmarkStart w:id="290" w:name="list3"/>
      <w:bookmarkEnd w:id="290"/>
    </w:p>
    <w:tbl>
      <w:tblPr>
        <w:tblW w:w="5000" w:type="pct"/>
        <w:jc w:val="left"/>
        <w:tblInd w:w="0" w:type="dxa"/>
        <w:tblCellMar>
          <w:top w:w="0" w:type="dxa"/>
          <w:left w:w="0" w:type="dxa"/>
          <w:bottom w:w="0" w:type="dxa"/>
          <w:right w:w="0" w:type="dxa"/>
        </w:tblCellMar>
      </w:tblPr>
      <w:tblGrid>
        <w:gridCol w:w="327"/>
        <w:gridCol w:w="9878"/>
      </w:tblGrid>
      <w:tr>
        <w:trPr/>
        <w:tc>
          <w:tcPr>
            <w:tcW w:w="327" w:type="dxa"/>
            <w:tcBorders/>
            <w:shd w:fill="auto" w:val="clear"/>
          </w:tcPr>
          <w:p>
            <w:pPr>
              <w:pStyle w:val="TableContents"/>
              <w:spacing w:before="0" w:after="0"/>
              <w:jc w:val="right"/>
              <w:rPr/>
            </w:pPr>
            <w:r>
              <w:rPr/>
              <w:t>●  </w:t>
            </w:r>
          </w:p>
        </w:tc>
        <w:tc>
          <w:tcPr>
            <w:tcW w:w="98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obtaining institutional review board, or IRB, approval to initiate and conduct a clinical trial at a prospective site;</w:t>
            </w:r>
          </w:p>
        </w:tc>
      </w:tr>
    </w:tbl>
    <w:p>
      <w:pPr>
        <w:pStyle w:val="Normal"/>
        <w:spacing w:before="0" w:after="0"/>
        <w:rPr>
          <w:sz w:val="4"/>
          <w:szCs w:val="4"/>
        </w:rPr>
      </w:pPr>
      <w:r>
        <w:rPr>
          <w:sz w:val="4"/>
          <w:szCs w:val="4"/>
        </w:rPr>
      </w:r>
      <w:bookmarkStart w:id="291" w:name="list4"/>
      <w:bookmarkStart w:id="292" w:name="list4"/>
      <w:bookmarkEnd w:id="292"/>
    </w:p>
    <w:tbl>
      <w:tblPr>
        <w:tblW w:w="5000" w:type="pct"/>
        <w:jc w:val="left"/>
        <w:tblInd w:w="0" w:type="dxa"/>
        <w:tblCellMar>
          <w:top w:w="0" w:type="dxa"/>
          <w:left w:w="0" w:type="dxa"/>
          <w:bottom w:w="0" w:type="dxa"/>
          <w:right w:w="0" w:type="dxa"/>
        </w:tblCellMar>
      </w:tblPr>
      <w:tblGrid>
        <w:gridCol w:w="326"/>
        <w:gridCol w:w="9879"/>
      </w:tblGrid>
      <w:tr>
        <w:trPr/>
        <w:tc>
          <w:tcPr>
            <w:tcW w:w="326" w:type="dxa"/>
            <w:tcBorders/>
            <w:shd w:fill="auto" w:val="clear"/>
          </w:tcPr>
          <w:p>
            <w:pPr>
              <w:pStyle w:val="TableContents"/>
              <w:spacing w:before="0" w:after="0"/>
              <w:jc w:val="right"/>
              <w:rPr/>
            </w:pPr>
            <w:r>
              <w:rPr/>
              <w:t>●  </w:t>
            </w:r>
          </w:p>
        </w:tc>
        <w:tc>
          <w:tcPr>
            <w:tcW w:w="98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insufficient supply or deficient quality of materials necessary for the performance of clinical or non-clinical trials;</w:t>
            </w:r>
          </w:p>
        </w:tc>
      </w:tr>
    </w:tbl>
    <w:p>
      <w:pPr>
        <w:pStyle w:val="Normal"/>
        <w:spacing w:before="0" w:after="0"/>
        <w:rPr>
          <w:sz w:val="4"/>
          <w:szCs w:val="4"/>
        </w:rPr>
      </w:pPr>
      <w:r>
        <w:rPr>
          <w:sz w:val="4"/>
          <w:szCs w:val="4"/>
        </w:rPr>
      </w:r>
      <w:bookmarkStart w:id="293" w:name="list5"/>
      <w:bookmarkStart w:id="294" w:name="list5"/>
      <w:bookmarkEnd w:id="294"/>
    </w:p>
    <w:tbl>
      <w:tblPr>
        <w:tblW w:w="5000" w:type="pct"/>
        <w:jc w:val="left"/>
        <w:tblInd w:w="0" w:type="dxa"/>
        <w:tblCellMar>
          <w:top w:w="0" w:type="dxa"/>
          <w:left w:w="0" w:type="dxa"/>
          <w:bottom w:w="0" w:type="dxa"/>
          <w:right w:w="0" w:type="dxa"/>
        </w:tblCellMar>
      </w:tblPr>
      <w:tblGrid>
        <w:gridCol w:w="547"/>
        <w:gridCol w:w="9658"/>
      </w:tblGrid>
      <w:tr>
        <w:trPr/>
        <w:tc>
          <w:tcPr>
            <w:tcW w:w="547" w:type="dxa"/>
            <w:tcBorders/>
            <w:shd w:fill="auto" w:val="clear"/>
          </w:tcPr>
          <w:p>
            <w:pPr>
              <w:pStyle w:val="TableContents"/>
              <w:spacing w:before="0" w:after="0"/>
              <w:jc w:val="right"/>
              <w:rPr/>
            </w:pPr>
            <w:r>
              <w:rPr/>
              <w:t>●  </w:t>
            </w:r>
          </w:p>
        </w:tc>
        <w:tc>
          <w:tcPr>
            <w:tcW w:w="96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identifying, recruiting and training suitable clinical investigators;</w:t>
            </w:r>
          </w:p>
        </w:tc>
      </w:tr>
    </w:tbl>
    <w:p>
      <w:pPr>
        <w:pStyle w:val="Normal"/>
        <w:spacing w:before="0" w:after="0"/>
        <w:rPr>
          <w:sz w:val="4"/>
          <w:szCs w:val="4"/>
        </w:rPr>
      </w:pPr>
      <w:r>
        <w:rPr>
          <w:sz w:val="4"/>
          <w:szCs w:val="4"/>
        </w:rPr>
      </w:r>
      <w:bookmarkStart w:id="295" w:name="list6"/>
      <w:bookmarkStart w:id="296" w:name="list6"/>
      <w:bookmarkEnd w:id="296"/>
    </w:p>
    <w:tbl>
      <w:tblPr>
        <w:tblW w:w="5000" w:type="pct"/>
        <w:jc w:val="left"/>
        <w:tblInd w:w="0" w:type="dxa"/>
        <w:tblCellMar>
          <w:top w:w="0" w:type="dxa"/>
          <w:left w:w="0" w:type="dxa"/>
          <w:bottom w:w="0" w:type="dxa"/>
          <w:right w:w="0" w:type="dxa"/>
        </w:tblCellMar>
      </w:tblPr>
      <w:tblGrid>
        <w:gridCol w:w="479"/>
        <w:gridCol w:w="9726"/>
      </w:tblGrid>
      <w:tr>
        <w:trPr/>
        <w:tc>
          <w:tcPr>
            <w:tcW w:w="479" w:type="dxa"/>
            <w:tcBorders/>
            <w:shd w:fill="auto" w:val="clear"/>
          </w:tcPr>
          <w:p>
            <w:pPr>
              <w:pStyle w:val="TableContents"/>
              <w:spacing w:before="0" w:after="0"/>
              <w:jc w:val="right"/>
              <w:rPr/>
            </w:pPr>
            <w:r>
              <w:rPr/>
              <w:t>●  </w:t>
            </w:r>
          </w:p>
        </w:tc>
        <w:tc>
          <w:tcPr>
            <w:tcW w:w="97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identifying, recruiting and enrolling subjects to participate in clinical trials;</w:t>
            </w:r>
          </w:p>
        </w:tc>
      </w:tr>
    </w:tbl>
    <w:p>
      <w:pPr>
        <w:pStyle w:val="Normal"/>
        <w:spacing w:before="0" w:after="0"/>
        <w:rPr>
          <w:sz w:val="4"/>
          <w:szCs w:val="4"/>
        </w:rPr>
      </w:pPr>
      <w:r>
        <w:rPr>
          <w:sz w:val="4"/>
          <w:szCs w:val="4"/>
        </w:rPr>
      </w:r>
      <w:bookmarkStart w:id="297" w:name="list7"/>
      <w:bookmarkStart w:id="298" w:name="list7"/>
      <w:bookmarkEnd w:id="298"/>
    </w:p>
    <w:tbl>
      <w:tblPr>
        <w:tblW w:w="5000" w:type="pct"/>
        <w:jc w:val="left"/>
        <w:tblInd w:w="0" w:type="dxa"/>
        <w:tblCellMar>
          <w:top w:w="0" w:type="dxa"/>
          <w:left w:w="0" w:type="dxa"/>
          <w:bottom w:w="0" w:type="dxa"/>
          <w:right w:w="0" w:type="dxa"/>
        </w:tblCellMar>
      </w:tblPr>
      <w:tblGrid>
        <w:gridCol w:w="315"/>
        <w:gridCol w:w="9890"/>
      </w:tblGrid>
      <w:tr>
        <w:trPr/>
        <w:tc>
          <w:tcPr>
            <w:tcW w:w="315" w:type="dxa"/>
            <w:tcBorders/>
            <w:shd w:fill="auto" w:val="clear"/>
          </w:tcPr>
          <w:p>
            <w:pPr>
              <w:pStyle w:val="TableContents"/>
              <w:spacing w:before="0" w:after="0"/>
              <w:jc w:val="right"/>
              <w:rPr/>
            </w:pPr>
            <w:r>
              <w:rPr/>
              <w:t>●  </w:t>
            </w:r>
          </w:p>
        </w:tc>
        <w:tc>
          <w:tcPr>
            <w:tcW w:w="98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retaining patients who have initiated a clinical trial but may be prone to withdraw or who are lost to further follow-up;</w:t>
            </w:r>
          </w:p>
        </w:tc>
      </w:tr>
    </w:tbl>
    <w:p>
      <w:pPr>
        <w:pStyle w:val="Normal"/>
        <w:spacing w:before="0" w:after="0"/>
        <w:rPr>
          <w:sz w:val="4"/>
          <w:szCs w:val="4"/>
        </w:rPr>
      </w:pPr>
      <w:r>
        <w:rPr>
          <w:sz w:val="4"/>
          <w:szCs w:val="4"/>
        </w:rPr>
      </w:r>
      <w:bookmarkStart w:id="299" w:name="list8"/>
      <w:bookmarkStart w:id="300" w:name="list8"/>
      <w:bookmarkEnd w:id="300"/>
    </w:p>
    <w:tbl>
      <w:tblPr>
        <w:tblW w:w="5000" w:type="pct"/>
        <w:jc w:val="left"/>
        <w:tblInd w:w="0" w:type="dxa"/>
        <w:tblCellMar>
          <w:top w:w="0" w:type="dxa"/>
          <w:left w:w="0" w:type="dxa"/>
          <w:bottom w:w="0" w:type="dxa"/>
          <w:right w:w="0" w:type="dxa"/>
        </w:tblCellMar>
      </w:tblPr>
      <w:tblGrid>
        <w:gridCol w:w="655"/>
        <w:gridCol w:w="9550"/>
      </w:tblGrid>
      <w:tr>
        <w:trPr/>
        <w:tc>
          <w:tcPr>
            <w:tcW w:w="655" w:type="dxa"/>
            <w:tcBorders/>
            <w:shd w:fill="auto" w:val="clear"/>
          </w:tcPr>
          <w:p>
            <w:pPr>
              <w:pStyle w:val="TableContents"/>
              <w:spacing w:before="0" w:after="0"/>
              <w:jc w:val="right"/>
              <w:rPr/>
            </w:pPr>
            <w:r>
              <w:rPr/>
              <w:t>●  </w:t>
            </w:r>
          </w:p>
        </w:tc>
        <w:tc>
          <w:tcPr>
            <w:tcW w:w="95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negative results of clinical or non-clinical studies; and</w:t>
            </w:r>
          </w:p>
        </w:tc>
      </w:tr>
    </w:tbl>
    <w:p>
      <w:pPr>
        <w:pStyle w:val="Normal"/>
        <w:spacing w:before="0" w:after="0"/>
        <w:rPr>
          <w:sz w:val="4"/>
          <w:szCs w:val="4"/>
        </w:rPr>
      </w:pPr>
      <w:r>
        <w:rPr>
          <w:sz w:val="4"/>
          <w:szCs w:val="4"/>
        </w:rPr>
      </w:r>
      <w:bookmarkStart w:id="301" w:name="list9"/>
      <w:bookmarkStart w:id="302" w:name="list9"/>
      <w:bookmarkEnd w:id="302"/>
    </w:p>
    <w:tbl>
      <w:tblPr>
        <w:tblW w:w="5000" w:type="pct"/>
        <w:jc w:val="left"/>
        <w:tblInd w:w="0" w:type="dxa"/>
        <w:tblCellMar>
          <w:top w:w="0" w:type="dxa"/>
          <w:left w:w="0" w:type="dxa"/>
          <w:bottom w:w="0" w:type="dxa"/>
          <w:right w:w="0" w:type="dxa"/>
        </w:tblCellMar>
      </w:tblPr>
      <w:tblGrid>
        <w:gridCol w:w="369"/>
        <w:gridCol w:w="9836"/>
      </w:tblGrid>
      <w:tr>
        <w:trPr/>
        <w:tc>
          <w:tcPr>
            <w:tcW w:w="369" w:type="dxa"/>
            <w:tcBorders/>
            <w:shd w:fill="auto" w:val="clear"/>
          </w:tcPr>
          <w:p>
            <w:pPr>
              <w:pStyle w:val="TableContents"/>
              <w:spacing w:before="0" w:after="0"/>
              <w:jc w:val="right"/>
              <w:rPr/>
            </w:pPr>
            <w:r>
              <w:rPr/>
              <w:t>●  </w:t>
            </w:r>
          </w:p>
        </w:tc>
        <w:tc>
          <w:tcPr>
            <w:tcW w:w="98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adverse side effects experienced by study participants in clinical trials relating to a specific product.</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3" w:name="PGBRK29"/>
      <w:bookmarkStart w:id="304" w:name="PGBRK29"/>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 w:name="FTR29"/>
      <w:bookmarkStart w:id="306" w:name="FTR29"/>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7" w:name="GLFTR29"/>
      <w:bookmarkEnd w:id="3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08" w:name="PN29"/>
      <w:bookmarkEnd w:id="308"/>
      <w:r>
        <w:rPr>
          <w:rFonts w:ascii="effontselection" w:hAnsi="effontselectio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HDR26"/>
      <w:bookmarkStart w:id="310" w:name="HDR26"/>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11" w:name="GLHDR29"/>
        <w:bookmarkEnd w:id="31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may be circumstances other than the ones described above, including circumstances over which we may have no control, which could materially delay the successful completion of our clinical and non-clinical studies. Furthermore, we expect to rely on CROs to ensure the proper and timely conduct of our clinical trials, and while we expect to enter into agreements governing their committed activities, we have limited influence over their actual performance.</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we have planned and designed an adequate clinical trial program for our Impracor product candidate. However, the FDA could determine that it is not satisfied with our plan or the details of our clinical trial protocols and designs. Additionally, changes in applicable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 candidates may be harmed, which may have a material adverse effect on our business, results of operations, financial condition and prospects.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rely on third parties to manufacture sufficient quantities of compounds within product specifications as required by regulatory agencies for use in our pre-clinical and clinical trials, and any delays and problems with the manufacturing of our clinical materials would harm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have the ability to manufacture the materials we use or may use in our pre-clinical and clinical trials. Rather, we rely on various third parties to manufacture these materials.  Our third-party manufacturers may encounter delays and problems in manufacturing our investigational drug candidates and other materials associated with our clinical trials. In August 2013, we were notified by our contract manufacturer of preliminary stability test results related to clinical materials of active and placebo bulk batches of Impracor that were to be used in planned Phase 3 clinical trials for Impracor.  The preliminary test results revealed an out of specification result for the placebo formulation and a lower than expected specification result for the active formulation.  Shortly thereafter, a retest was performed, which confirmed the out of specification results for the placebo batch and revealed continued decreasing stability results related to the active batch.  This led us to conclude that due to the decreasing stability results for the active batch, packaging of the materials would be put on hold, as further decrease in stability levels was likely and would result in the material being unusable for the upcoming planned Impracor clinical trials and cause a significant delay in the commencement of the planned clinical trials.  As a result of these manufacturing issues, we no longer expect to enroll the first patient in our Impracor Phase 3 clinical trial during the third quarter of 2013.  We are evaluating our options regarding the Impracor clinical program as a result of these manufacturing issues, which could include re-manufacturing the clinical materials at the current contract manufacturer’s facilities, resulting in a delay of the our planned clinical trials by at least one to two months, or moving the formulation and manufacturing process to another third party vendor, which could result in a delay of up to six months. We are working with our vendors to evaluate further options related to the production of clinical materials for the Phase 3 clinical trials and the continuation of the planned Impracor Phase 3 clinical program.  In order to have materials successfully manufactured for our clinical program, we must conduct an accurate assessment of the manufacturing issues giving rise to the out of specification results, obtain the materials required to manufacturer Impracor and the placebo, and either work with our current contract manufacturer or engage a new contract manufacturer to manufacture Impracor and the placebo.  If any of these third parties, or any other third parties we rely upon in connection with the manufacturing of clinical materials, do not provide materials in a timely manner, or if they otherwise breach their agreements with us, it may be difficult to replace their services quickly or at all.  There may be long lead times to obtain materials. Commercially available starting materials, reagents, excipients, and other materials may become scarce, more expensive to procure, or not meet quality standards.  We may not be able to identify, qualify and obtain prior regulatory approval for additional sources of clinical materials. If interruptions in our supply chain occur for any reason, including a decision by the third parties to discontinue manufacturing, technical difficulties, labor disputes, natural or other disasters, or a failure of the third parties to follow specifications or regulations, we may encounter difficulties in timely completing our clinical trials, we may be unable to obtain regulatory approvals for our investigational drug candidates in a timely manner and, ultimately, we may be unable to successfully commercialize these investigational drug candidates. If we are unable to have our clinical materials successfully manufactured by our current or any future contract manufacturer, we would be unable to initiate our clinical program.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be unable to successfully develop and commercialize Impracor, or develop and commercialize any other assets we have acquired or may acquire in the future.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future results of operations will depend to a significant extent upon our ability to successfully develop and commercialize in a timely manner any of the assets we have acquired or will acquire rights to, whether through our relationship with PCCA or with other third parties.  In May 2013, we acquired certain intellectual property from Buderer Drug Company.  In August 2013, we acquired certain intellectual property from Novel Drug Solutions and Eye Care Northwest.  We are in the process of assessing the acquired intellectual property in order to determine whether or not to pursue product development of any of these assets.  In addition, we expect to consider the acquisition of additional intellectual property in the future.  There are numerous difficulties inherent in acquiring, developing and commercializing new products and product candidates, including difficulties related to:</w:t>
      </w:r>
    </w:p>
    <w:p>
      <w:pPr>
        <w:pStyle w:val="TextBody"/>
        <w:spacing w:before="0" w:after="0"/>
        <w:ind w:left="0" w:right="0" w:hanging="0"/>
        <w:jc w:val="left"/>
        <w:rPr/>
      </w:pPr>
      <w:r>
        <w:rPr/>
        <w:t> </w:t>
      </w:r>
    </w:p>
    <w:p>
      <w:pPr>
        <w:pStyle w:val="Normal"/>
        <w:spacing w:before="0" w:after="0"/>
        <w:rPr>
          <w:sz w:val="4"/>
          <w:szCs w:val="4"/>
        </w:rPr>
      </w:pPr>
      <w:r>
        <w:rPr>
          <w:sz w:val="4"/>
          <w:szCs w:val="4"/>
        </w:rPr>
      </w:r>
      <w:bookmarkStart w:id="312" w:name="list10"/>
      <w:bookmarkStart w:id="313" w:name="list10"/>
      <w:bookmarkEnd w:id="313"/>
    </w:p>
    <w:tbl>
      <w:tblPr>
        <w:tblW w:w="5000" w:type="pct"/>
        <w:jc w:val="left"/>
        <w:tblInd w:w="0" w:type="dxa"/>
        <w:tblCellMar>
          <w:top w:w="0" w:type="dxa"/>
          <w:left w:w="0" w:type="dxa"/>
          <w:bottom w:w="0" w:type="dxa"/>
          <w:right w:w="0" w:type="dxa"/>
        </w:tblCellMar>
      </w:tblPr>
      <w:tblGrid>
        <w:gridCol w:w="659"/>
        <w:gridCol w:w="9546"/>
      </w:tblGrid>
      <w:tr>
        <w:trPr/>
        <w:tc>
          <w:tcPr>
            <w:tcW w:w="659" w:type="dxa"/>
            <w:tcBorders/>
            <w:shd w:fill="auto" w:val="clear"/>
          </w:tcPr>
          <w:p>
            <w:pPr>
              <w:pStyle w:val="TableContents"/>
              <w:spacing w:before="0" w:after="0"/>
              <w:jc w:val="right"/>
              <w:rPr/>
            </w:pPr>
            <w:r>
              <w:rPr/>
              <w:t>●  </w:t>
            </w:r>
          </w:p>
        </w:tc>
        <w:tc>
          <w:tcPr>
            <w:tcW w:w="95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successfully identifying potential product candidates;</w:t>
            </w:r>
          </w:p>
        </w:tc>
      </w:tr>
    </w:tbl>
    <w:p>
      <w:pPr>
        <w:pStyle w:val="Normal"/>
        <w:spacing w:before="0" w:after="0"/>
        <w:rPr>
          <w:sz w:val="4"/>
          <w:szCs w:val="4"/>
        </w:rPr>
      </w:pPr>
      <w:r>
        <w:rPr>
          <w:sz w:val="4"/>
          <w:szCs w:val="4"/>
        </w:rPr>
      </w:r>
      <w:bookmarkStart w:id="314" w:name="list11"/>
      <w:bookmarkStart w:id="315" w:name="list11"/>
      <w:bookmarkEnd w:id="315"/>
    </w:p>
    <w:tbl>
      <w:tblPr>
        <w:tblW w:w="5000" w:type="pct"/>
        <w:jc w:val="left"/>
        <w:tblInd w:w="0" w:type="dxa"/>
        <w:tblCellMar>
          <w:top w:w="0" w:type="dxa"/>
          <w:left w:w="0" w:type="dxa"/>
          <w:bottom w:w="0" w:type="dxa"/>
          <w:right w:w="0" w:type="dxa"/>
        </w:tblCellMar>
      </w:tblPr>
      <w:tblGrid>
        <w:gridCol w:w="841"/>
        <w:gridCol w:w="9364"/>
      </w:tblGrid>
      <w:tr>
        <w:trPr/>
        <w:tc>
          <w:tcPr>
            <w:tcW w:w="841" w:type="dxa"/>
            <w:tcBorders/>
            <w:shd w:fill="auto" w:val="clear"/>
          </w:tcPr>
          <w:p>
            <w:pPr>
              <w:pStyle w:val="TableContents"/>
              <w:spacing w:before="0" w:after="0"/>
              <w:jc w:val="right"/>
              <w:rPr/>
            </w:pPr>
            <w:r>
              <w:rPr/>
              <w:t>●  </w:t>
            </w:r>
          </w:p>
        </w:tc>
        <w:tc>
          <w:tcPr>
            <w:tcW w:w="93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developing potential product candidates;</w:t>
            </w:r>
          </w:p>
        </w:tc>
      </w:tr>
    </w:tbl>
    <w:p>
      <w:pPr>
        <w:pStyle w:val="Normal"/>
        <w:spacing w:before="0" w:after="0"/>
        <w:rPr>
          <w:sz w:val="4"/>
          <w:szCs w:val="4"/>
        </w:rPr>
      </w:pPr>
      <w:r>
        <w:rPr>
          <w:sz w:val="4"/>
          <w:szCs w:val="4"/>
        </w:rPr>
      </w:r>
      <w:bookmarkStart w:id="316" w:name="list12"/>
      <w:bookmarkStart w:id="317" w:name="list12"/>
      <w:bookmarkEnd w:id="31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difficulties in conducting or completing clinical trials, including receiving incomplete, unconvincing or equivocal clinical trials data;</w:t>
            </w:r>
          </w:p>
        </w:tc>
      </w:tr>
    </w:tbl>
    <w:p>
      <w:pPr>
        <w:pStyle w:val="Normal"/>
        <w:spacing w:before="0" w:after="0"/>
        <w:rPr>
          <w:sz w:val="4"/>
          <w:szCs w:val="4"/>
        </w:rPr>
      </w:pPr>
      <w:r>
        <w:rPr>
          <w:sz w:val="4"/>
          <w:szCs w:val="4"/>
        </w:rPr>
      </w:r>
      <w:bookmarkStart w:id="318" w:name="list13"/>
      <w:bookmarkStart w:id="319" w:name="list13"/>
      <w:bookmarkEnd w:id="319"/>
    </w:p>
    <w:tbl>
      <w:tblPr>
        <w:tblW w:w="5000" w:type="pct"/>
        <w:jc w:val="left"/>
        <w:tblInd w:w="0" w:type="dxa"/>
        <w:tblCellMar>
          <w:top w:w="0" w:type="dxa"/>
          <w:left w:w="0" w:type="dxa"/>
          <w:bottom w:w="0" w:type="dxa"/>
          <w:right w:w="0" w:type="dxa"/>
        </w:tblCellMar>
      </w:tblPr>
      <w:tblGrid>
        <w:gridCol w:w="424"/>
        <w:gridCol w:w="9781"/>
      </w:tblGrid>
      <w:tr>
        <w:trPr/>
        <w:tc>
          <w:tcPr>
            <w:tcW w:w="424" w:type="dxa"/>
            <w:tcBorders/>
            <w:shd w:fill="auto" w:val="clear"/>
          </w:tcPr>
          <w:p>
            <w:pPr>
              <w:pStyle w:val="TableContents"/>
              <w:spacing w:before="0" w:after="0"/>
              <w:jc w:val="right"/>
              <w:rPr/>
            </w:pPr>
            <w:r>
              <w:rPr/>
              <w:t>●  </w:t>
            </w:r>
          </w:p>
        </w:tc>
        <w:tc>
          <w:tcPr>
            <w:tcW w:w="97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obtaining requisite regulatory approvals for such products in a timely manner or at all;</w:t>
            </w:r>
          </w:p>
        </w:tc>
      </w:tr>
    </w:tbl>
    <w:p>
      <w:pPr>
        <w:pStyle w:val="Normal"/>
        <w:spacing w:before="0" w:after="0"/>
        <w:rPr>
          <w:sz w:val="4"/>
          <w:szCs w:val="4"/>
        </w:rPr>
      </w:pPr>
      <w:r>
        <w:rPr>
          <w:sz w:val="4"/>
          <w:szCs w:val="4"/>
        </w:rPr>
      </w:r>
      <w:bookmarkStart w:id="320" w:name="list14"/>
      <w:bookmarkStart w:id="321" w:name="list14"/>
      <w:bookmarkEnd w:id="32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acquiring, developing, testing and manufacturing products in compliance with regulatory standards in a timely manner or at all;</w:t>
            </w:r>
          </w:p>
        </w:tc>
      </w:tr>
    </w:tbl>
    <w:p>
      <w:pPr>
        <w:pStyle w:val="Normal"/>
        <w:spacing w:before="0" w:after="0"/>
        <w:rPr>
          <w:sz w:val="4"/>
          <w:szCs w:val="4"/>
        </w:rPr>
      </w:pPr>
      <w:r>
        <w:rPr>
          <w:sz w:val="4"/>
          <w:szCs w:val="4"/>
        </w:rPr>
      </w:r>
      <w:bookmarkStart w:id="322" w:name="list15"/>
      <w:bookmarkStart w:id="323" w:name="list15"/>
      <w:bookmarkEnd w:id="32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being subject to legal actions brought by our competitors, which may delay or prevent the development and commercialization of new products;</w:t>
            </w:r>
          </w:p>
        </w:tc>
      </w:tr>
    </w:tbl>
    <w:p>
      <w:pPr>
        <w:pStyle w:val="Normal"/>
        <w:spacing w:before="0" w:after="0"/>
        <w:rPr>
          <w:sz w:val="4"/>
          <w:szCs w:val="4"/>
        </w:rPr>
      </w:pPr>
      <w:r>
        <w:rPr>
          <w:sz w:val="4"/>
          <w:szCs w:val="4"/>
        </w:rPr>
      </w:r>
      <w:bookmarkStart w:id="324" w:name="list16"/>
      <w:bookmarkStart w:id="325" w:name="list16"/>
      <w:bookmarkEnd w:id="325"/>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pPr>
            <w:r>
              <w:rPr/>
              <w:t>●  </w:t>
            </w:r>
          </w:p>
        </w:tc>
        <w:tc>
          <w:tcPr>
            <w:tcW w:w="92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delays or unanticipated costs; and</w:t>
            </w:r>
          </w:p>
        </w:tc>
      </w:tr>
    </w:tbl>
    <w:p>
      <w:pPr>
        <w:pStyle w:val="Normal"/>
        <w:spacing w:before="0" w:after="0"/>
        <w:rPr>
          <w:sz w:val="4"/>
          <w:szCs w:val="4"/>
        </w:rPr>
      </w:pPr>
      <w:r>
        <w:rPr>
          <w:sz w:val="4"/>
          <w:szCs w:val="4"/>
        </w:rPr>
      </w:r>
      <w:bookmarkStart w:id="326" w:name="list17"/>
      <w:bookmarkStart w:id="327" w:name="list17"/>
      <w:bookmarkEnd w:id="327"/>
    </w:p>
    <w:tbl>
      <w:tblPr>
        <w:tblW w:w="5000" w:type="pct"/>
        <w:jc w:val="left"/>
        <w:tblInd w:w="0" w:type="dxa"/>
        <w:tblCellMar>
          <w:top w:w="0" w:type="dxa"/>
          <w:left w:w="0" w:type="dxa"/>
          <w:bottom w:w="0" w:type="dxa"/>
          <w:right w:w="0" w:type="dxa"/>
        </w:tblCellMar>
      </w:tblPr>
      <w:tblGrid>
        <w:gridCol w:w="308"/>
        <w:gridCol w:w="9897"/>
      </w:tblGrid>
      <w:tr>
        <w:trPr/>
        <w:tc>
          <w:tcPr>
            <w:tcW w:w="308" w:type="dxa"/>
            <w:tcBorders/>
            <w:shd w:fill="auto" w:val="clear"/>
          </w:tcPr>
          <w:p>
            <w:pPr>
              <w:pStyle w:val="TableContents"/>
              <w:spacing w:before="0" w:after="0"/>
              <w:jc w:val="right"/>
              <w:rPr/>
            </w:pPr>
            <w:r>
              <w:rPr/>
              <w:t>●  </w:t>
            </w:r>
          </w:p>
        </w:tc>
        <w:tc>
          <w:tcPr>
            <w:tcW w:w="98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significant and unpredictable changes in the payer landscape, coverage and reimbursement for any products we develop.</w:t>
            </w:r>
          </w:p>
        </w:tc>
      </w:tr>
    </w:tbl>
    <w:p>
      <w:pPr>
        <w:pStyle w:val="TextBody"/>
        <w:spacing w:before="0" w:after="0"/>
        <w:ind w:left="0" w:right="0" w:firstLine="720"/>
        <w:jc w:val="both"/>
        <w:rPr/>
      </w:pPr>
      <w:bookmarkStart w:id="328" w:name="hangingindent2"/>
      <w:bookmarkEnd w:id="328"/>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9" w:name="PGBRK30"/>
      <w:bookmarkStart w:id="330" w:name="PGBRK30"/>
      <w:bookmarkEnd w:id="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FTR30"/>
      <w:bookmarkStart w:id="332" w:name="FTR30"/>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3" w:name="GLFTR30"/>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34" w:name="PN30"/>
      <w:bookmarkEnd w:id="334"/>
      <w:r>
        <w:rPr>
          <w:rFonts w:ascii="effontselection" w:hAnsi="effontselectio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5" w:name="HDR27"/>
      <w:bookmarkStart w:id="336" w:name="HDR27"/>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37" w:name="GLHDR30"/>
        <w:bookmarkEnd w:id="33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hanging="0"/>
        <w:jc w:val="left"/>
        <w:rPr/>
      </w:pPr>
      <w:bookmarkStart w:id="338" w:name="TAB21"/>
      <w:bookmarkEnd w:id="338"/>
      <w:r>
        <w:rPr>
          <w:spacing w:val="180"/>
        </w:rPr>
        <w:t>   </w:t>
      </w:r>
      <w:r>
        <w:rPr/>
        <w:t xml:space="preserve">     </w:t>
      </w:r>
      <w:r>
        <w:rPr>
          <w:rFonts w:ascii="Times New Roman" w:hAnsi="Times New Roman"/>
          <w:sz w:val="20"/>
        </w:rPr>
        <w:t>Other than with respect to Impracor, we have not identified any potential pharmaceutical product candidates. Once we determine which potential candidates to pursue, we will be required to satisfy a number of FDA requirements prior to commencing clinical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potential product candidate and find that no commercial market exists for the drug.</w:t>
      </w:r>
    </w:p>
    <w:p>
      <w:pPr>
        <w:pStyle w:val="TextBody"/>
        <w:spacing w:before="0" w:after="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a result of these and other difficulties, we may be unable to develop potential product candidates using our intellectual property, and potential products in development by us may not receive timely regulatory approvals, or approvals at all, necessary for marketing by us or our third-party partners. If we do not acquire or develop product candidates, any of our product candidates are not approved in a timely fashion or at all or, when acquired or developed and approved, cannot be successfully manufactured and commercialized, our operating results would be adversely affected. In addition, we may not recoup our investment in developing products, even if we are successful in commercializing those products. Our business expenditures may not result in the successful acquisition, development or commercialization of products that will prove to be commercially successful or result in the long-term profitability of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obtain rights to product candidates or receive any other benefits from our relationship with PCCA.</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expect to utilize our relationship with PCCA to identify development opportunities where we perceive an unmet need for a new drug product, and thereby facilitate our future selection, formulation and development of potential product candidates. Our relationship with PCCA, on which we intend to rely to facilitate our evaluation of the potential market for future products we may develop, is terminable by PCCA if we fail to commence efforts to research and develop future products within certain time periods. We may not be able to meet such requirements within the required time periods or at all, and our relationship with PCCA could be terminated. If we do commence clinical trials of any potential product candidates we obtain through PCCA, such product candidates may never be approved by the FDA. As a result, we may never successfully develop and obtain approval to market and sell any of our potential product candidates. Even if we do develop and obtain approval to market and sell such product candidates, we may be unable to compete against the many products and treatments currently being offered or under development by other established, well-known and well-financed health care and pharmaceutical companies.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 xml:space="preserve">We may participate in strategic transactions that could impact our liquidity, increase our expenses and present significant distractions to our management.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From time to time we consider strategic transactions, such as out-licensing or in-licensing of compounds or technologies,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as an acquisition target. Any such transactions may require us to incur non-recurring or other charges, may increase our near and long-term expenditures and may pose significant integration challenges, require additional expertise or disrupt our management or business, any of which could harm our operations and financial results. Such transactions may also entail numerous operational and financial risks, including, among others, exposure to unknown liabilities, disruption of our business and diversion of our management’s time and attention in order to develop acquired products, product candidates or technologies,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part of an effort to enter into any significant transaction, we must conduct business, legal and financial due diligence with the goal of identifying and evaluating material risks involved in the transaction. Despite our efforts, we may be unsuccessful in ascertaining or evaluating all such risks and, as a result, might not realize the expected benefits of any such transaction. If we fail to realize the expected benefits from any transaction we may consummate, whether as a result of unidentified risks, integration difficulties, regulatory setbacks or other events, our business, results of operations and financial condition could be adversely affected. In addition, we may encounter difficulties and additional unexpected costs in combining the operations and personnel of any acquired businesses with our operations and personnel, and we may be unable to retain key employees of any acquired businesses.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9" w:name="PGBRK31"/>
      <w:bookmarkStart w:id="340" w:name="PGBRK31"/>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1" w:name="FTR31"/>
      <w:bookmarkStart w:id="342" w:name="FTR31"/>
      <w:bookmarkEnd w:id="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3" w:name="GLFTR31"/>
      <w:bookmarkEnd w:id="3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44" w:name="PN31"/>
      <w:bookmarkEnd w:id="344"/>
      <w:r>
        <w:rPr>
          <w:rFonts w:ascii="effontselection" w:hAnsi="effontselectio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45" w:name="GLHDR31"/>
        <w:bookmarkEnd w:id="34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our patents are determined to be unenforceable or expire, or if we are unable to obtain new patents based on current or future patent applications, we may not be able to prevent others from using our intellectual property and this may influence our commitment to continue to fund the development of assets that have limited legal patent life.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Our success will depend in part on our ability to:</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left"/>
              <w:rPr/>
            </w:pPr>
            <w:r>
              <w:rPr/>
              <w:t>●</w:t>
            </w:r>
          </w:p>
        </w:tc>
        <w:tc>
          <w:tcPr>
            <w:tcW w:w="949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obtain and maintain patent protection with respect to our products;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left"/>
              <w:rPr/>
            </w:pPr>
            <w:r>
              <w:rPr/>
              <w:t>●</w:t>
            </w:r>
          </w:p>
        </w:tc>
        <w:tc>
          <w:tcPr>
            <w:tcW w:w="9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prevent third parties from infringing upon our proprietary rights;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0"/>
              <w:ind w:left="900" w:right="0" w:hanging="0"/>
              <w:jc w:val="left"/>
              <w:rPr/>
            </w:pPr>
            <w:r>
              <w:rPr/>
              <w:t>●</w:t>
            </w:r>
          </w:p>
        </w:tc>
        <w:tc>
          <w:tcPr>
            <w:tcW w:w="9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maintain trade secrets;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left"/>
              <w:rPr/>
            </w:pPr>
            <w:r>
              <w:rPr/>
              <w:t>●</w:t>
            </w:r>
          </w:p>
        </w:tc>
        <w:tc>
          <w:tcPr>
            <w:tcW w:w="9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operate without infringing upon the patents and proprietary rights of others; and</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0"/>
              <w:ind w:left="900" w:right="0" w:hanging="0"/>
              <w:jc w:val="left"/>
              <w:rPr/>
            </w:pPr>
            <w:r>
              <w:rPr/>
              <w:t>●</w:t>
            </w:r>
          </w:p>
        </w:tc>
        <w:tc>
          <w:tcPr>
            <w:tcW w:w="94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obtain appropriate licenses to patents or proprietary rights held by third parties if infringement would otherwise occur.</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obtained a patent from the United States Patent and Trademark Office on our Accudel technology in 1998, which affords protection of Accudel through 2016 in the United States. This patent specifically identifies over 500 different drugs in over 60 therapeutic areas, including ketoprofen, the active pharmaceutical ingredient in Impracor. We may not be successful in our efforts to extend the date of our patent protection beyond 2016. Failure to maintain or extend the patent could adversely affect our business. Other than Canada, we do not have a patent for Accudel or Impracor in Europe or any other countries. We will only be able to protect our drug candidates and our technologies from unauthorized use by third parties to the extent that valid and enforceable patents cover them.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also may rely on unpatented trade secrets and know-how and continuing technological innovation to develop and maintain our competitive position, which we seek to protect, in part, by confidentiality agreements with current employees, consultants, collaborators and others. We also have invention or patent assignment agreements with our current employees and certain consultants. There can be no assurance, however, that these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successful in obtaining additional patents based on our intellectual property strategy.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undertaken an effort to examine our intellectual property assets and have or may file additional patent applications in the US and other jurisdictions, with the goal of attaining additional protections for our potential product candidates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6" w:name="PGBRK32"/>
      <w:bookmarkStart w:id="347" w:name="PGBRK32"/>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8" w:name="FTR32"/>
      <w:bookmarkStart w:id="349" w:name="FTR32"/>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0" w:name="GLFTR32"/>
      <w:bookmarkEnd w:id="3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51" w:name="PN32"/>
      <w:bookmarkEnd w:id="351"/>
      <w:r>
        <w:rPr>
          <w:rFonts w:ascii="effontselection" w:hAnsi="effontselectio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 w:name="HDR28"/>
      <w:bookmarkStart w:id="353" w:name="HDR28"/>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54" w:name="GLHDR32"/>
        <w:bookmarkEnd w:id="354"/>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 xml:space="preserve">We may face additional competition outside of the U.S. as a result of a lack of patent coverage in some territories and differences in patent prosecution and enforcement laws in foreign counties.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Filing, prosecuting, defending and enforcing patents on our potential investigational drug candidates throughout the world is extremely expensive. While we have filed patent applications in many countries outside the U.S., and have obtained some patent coverage for Accudel and Impracor in Canada, we do not currently have widespread patent protection for Impracor outside the U.S. and have no protection in any foreign jurisdiction other than Canada. Competitors may use our technologies to develop their own drugs in jurisdictions where we have not obtained patent protection. These drugs may compete with our approved drugs or future investigational drug candidates and may not be covered by any of our patent claims or other intellectual property rights. </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Even if international patent applications for future product candidates or Impracor are ultimately issued or received approval, it is likely that the scope of protection provided by such patents will be different from, and possibly less than, the scope provided by our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makes it difficult for us to stop the infringement of our patents. Even if we have patents issued in these jurisdictions, there can be no assurance that our patent rights will be sufficient to prevent generic competition or unauthorized use. Attempting to enforce our patent rights in foreign jurisdictions could result in substantial cost and divert our efforts and attention from other aspects of our business.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 use of our technologies could potentially conflict with the rights of others.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approved, failure to comply with continuing federal and state regulations could result in the loss of approvals to market our drugs.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5" w:name="PGBRK33"/>
      <w:bookmarkStart w:id="356" w:name="PGBRK33"/>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7" w:name="FTR33"/>
      <w:bookmarkStart w:id="358" w:name="FTR33"/>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9" w:name="GLFTR33"/>
      <w:bookmarkEnd w:id="3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60" w:name="PN33"/>
      <w:bookmarkEnd w:id="360"/>
      <w:r>
        <w:rPr>
          <w:rFonts w:ascii="effontselection" w:hAnsi="effontselectio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 w:name="HDR29"/>
      <w:bookmarkStart w:id="362" w:name="HDR29"/>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63" w:name="GLHDR33"/>
        <w:bookmarkEnd w:id="36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 warning letters;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impose civil or criminal penalties;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both"/>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suspend or withdraw our regulatory approval;</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0"/>
              <w:ind w:left="900" w:right="0" w:hanging="0"/>
              <w:jc w:val="both"/>
              <w:rPr/>
            </w:pPr>
            <w:r>
              <w:rPr/>
              <w:t>●</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suspend or terminate any of our ongoing clinical trials;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both"/>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refuse to approve pending applications or supplements to approved applications filed by us;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impose restrictions on our operations;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both"/>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close the facilities of our contract manufacturers;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0"/>
              <w:ind w:left="900" w:right="0" w:hanging="0"/>
              <w:jc w:val="both"/>
              <w:rPr/>
            </w:pPr>
            <w:r>
              <w:rPr/>
              <w:t>●</w:t>
            </w:r>
          </w:p>
        </w:tc>
        <w:tc>
          <w:tcPr>
            <w:tcW w:w="94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seize or detain products or require a product recall.</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Even if we obtain regulatory approval to market and sell our potential product candidates, we may not be successful in marketing and selling our products and we may not recoup the costs associated with our development programs.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be subject to product liability claims.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development, manufacture, and sale of pharmaceutical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4" w:name="PGBRK34"/>
      <w:bookmarkStart w:id="365" w:name="PGBRK34"/>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6" w:name="FTR34"/>
      <w:bookmarkStart w:id="367" w:name="FTR34"/>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8" w:name="GLFTR34"/>
      <w:bookmarkEnd w:id="3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69" w:name="PN34"/>
      <w:bookmarkEnd w:id="369"/>
      <w:r>
        <w:rPr>
          <w:rFonts w:ascii="effontselection" w:hAnsi="effontselectio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0" w:name="HDR30"/>
      <w:bookmarkStart w:id="371" w:name="HDR30"/>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72" w:name="GLHDR34"/>
        <w:bookmarkEnd w:id="37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employ personnel or possess the facilities necessary to conduct many of the activities associated with our programs. We have engaged, and expect to continue to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CROs with whom we contract and expect to contract for execution of our clinical studies will play a significant role in the conduct of our anticipated clinical studies or assist with our analysis of completed studies and to develop corresponding regulatory strategies. Individuals working at such CROs,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In the event that we successfully develop our product candidates into commercial products, we will be dependent on outside manufacturers and  will have limited control of the manufacturing process, access to raw materials, timing for delivery of finished products and costs. One manufacturer may constitute the sole source of one or more of our products.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that we successfully develop our product candidates into commercial products, we expect that third party manufacturers will manufacture all of our products. Currently, certain of our contract manufacturers constitute the sole source of one or more of our products in connection with our clinical program for Impracor.  We have experienced unanticipated delays in initiating our Phase 3 clinical trial for Impracor as a result of certain manufacturing issues.  If we were to obtain FDA approval to market Impracor, we could continue to experience similar manufacturing delays and issues in connection with the manufacture of Impracor for commercial purposes.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3" w:name="PGBRK35"/>
      <w:bookmarkStart w:id="374" w:name="PGBRK35"/>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5" w:name="FTR35"/>
      <w:bookmarkStart w:id="376" w:name="FTR35"/>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7" w:name="GLFTR35"/>
      <w:bookmarkEnd w:id="3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78" w:name="PN35"/>
      <w:bookmarkEnd w:id="378"/>
      <w:r>
        <w:rPr>
          <w:rFonts w:ascii="effontselection" w:hAnsi="effontselectio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 w:name="HDR31"/>
      <w:bookmarkStart w:id="380" w:name="HDR31"/>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81" w:name="GLHDR35"/>
        <w:bookmarkEnd w:id="38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currently have no internal sales and marketing resources and may have to rely on third parties in the event that we successfully commercialize our product.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If we are unable to attract and retain key personnel and consultants, we may be unable to maintain or expand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terminated all of our employees following our filing of a Chapter 11.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employment agreements with certain key employees,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depend upon consultants and outside contractors extensively in important roles within our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outsource many key functions of our business and therefore rely on a substantial number of consultants, and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or other development activities may be extended, delayed or terminated, and we may not be able to obtain regulatory approval for our current and future investigational drug candidates or otherwise advance our business. We may not be able to manage our existing consultants or find other competent outside contractors and consultants on commercially reasonable terms, or at 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we are unable to compete with other companies that develop rival products to our products, we may never gain market share or achieve profitability.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topical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able to keep up with the rapid technological change in the biotechnology and pharmaceutical industries, which could make our products obsolete and reduce our potential 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2" w:name="PGBRK36"/>
      <w:bookmarkStart w:id="383" w:name="PGBRK36"/>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4" w:name="FTR36"/>
      <w:bookmarkStart w:id="385" w:name="FTR36"/>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6" w:name="GLFTR36"/>
      <w:bookmarkEnd w:id="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87" w:name="PN36"/>
      <w:bookmarkEnd w:id="387"/>
      <w:r>
        <w:rPr>
          <w:rFonts w:ascii="effontselection" w:hAnsi="effontselectio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HDR32"/>
      <w:bookmarkStart w:id="389" w:name="HDR32"/>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90" w:name="GLHDR36"/>
        <w:bookmarkEnd w:id="39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ability to generate revenues will be diminished if we fail to obtain acceptable prices or an adequate level of reimbursement from third-party payors.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Changes in the healthcare industry that are beyond our control may be detrimental to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executive officers and directors own or have the right to acquire within 60 days, in the aggregate, approximately 19% of the shares of common stock outstanding following such issuance to them. In addition, three individual stockholders hold an additional approximately 30%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both"/>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delaying, deferring, or preventing a change in control of our company;</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impeding a merger, consolidation, takeover, or other business combination involving our company;</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causing us to enter into transactions or agreements that are not in the best interests of all stockholders;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0"/>
              <w:ind w:left="900" w:right="0" w:hanging="0"/>
              <w:jc w:val="both"/>
              <w:rPr/>
            </w:pPr>
            <w:r>
              <w:rPr/>
              <w:t>●</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discouraging a potential acquirer from making a tender offer or otherwise attempting to obtain control of our company.</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1" w:name="PGBRK37"/>
      <w:bookmarkStart w:id="392" w:name="PGBRK37"/>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 w:name="FTR37"/>
      <w:bookmarkStart w:id="394" w:name="FTR37"/>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5" w:name="GLFTR37"/>
      <w:bookmarkEnd w:id="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96" w:name="PN37"/>
      <w:bookmarkEnd w:id="396"/>
      <w:r>
        <w:rPr>
          <w:rFonts w:ascii="effontselection" w:hAnsi="effontselectio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7" w:name="HDR33"/>
      <w:bookmarkStart w:id="398" w:name="HDR33"/>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99" w:name="GLHDR37"/>
        <w:bookmarkEnd w:id="39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we fail to maintain an effective system of internal controls, we may not be able to accurately report our financial results. As a result, current and potential stockholders could lose confidence in our financial reporting, which would harm our business.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internal controls are necessary for us to provide reliable financial reports. If we cannot provide reliable financial reports, our operating results could be misstated, our reputation may be harmed and the trading price of our stock could be negatively affected. As we discuss in Item 9A of this Annual Report, we have only recently remediated certain material weaknesses in our internal control over financial reporting. We have implemented actions to address these weaknesses and to enhance the reliability and effectiveness of our internal controls and operations, and our management has concluded that there are no material weaknesses in our internal controls over financial reporting as of December 31, 2012. However, our controls over financial processes and reporting may not continue to be effective, or we may identify additional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An active trading market for shares of our common stock may not develop or be sustained.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00" w:name="TAB110"/>
      <w:bookmarkEnd w:id="400"/>
      <w:r>
        <w:rPr>
          <w:rFonts w:ascii="Times New Roman" w:hAnsi="Times New Roman"/>
          <w:sz w:val="20"/>
        </w:rPr>
        <w:t>Historically, trading in our common stock has been sporadic and volatile, and our common stock has been “thinly-traded”.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an active and liquid trading market in our securities may never develop or, if one does develop, that the market will not continue.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stock price may be volatile.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market price of our common stock is likely to be highly volatile and could fluctuate widely in response to various factors, many of which are beyond our control, including the following:</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both"/>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the pharmaceutical industry and markets;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competitive pricing pressures;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0"/>
              <w:ind w:left="900" w:right="0" w:hanging="0"/>
              <w:jc w:val="both"/>
              <w:rPr/>
            </w:pPr>
            <w:r>
              <w:rPr/>
              <w:t>●</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obtain working capital financing;</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competitors in our market;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both"/>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additions or departures of key personnel;</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0"/>
              <w:ind w:left="900" w:right="0" w:hanging="0"/>
              <w:jc w:val="both"/>
              <w:rPr/>
            </w:pPr>
            <w:r>
              <w:rPr/>
              <w:t>●</w:t>
            </w:r>
          </w:p>
        </w:tc>
        <w:tc>
          <w:tcPr>
            <w:tcW w:w="94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limited “public float” in the hands of a small number of persons whose sales or lack of sales could result in positive or negative pricing pressure on the market price for our common stock;</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0"/>
              <w:ind w:left="900" w:right="0" w:hanging="0"/>
              <w:jc w:val="both"/>
              <w:rPr/>
            </w:pPr>
            <w:r>
              <w:rPr/>
              <w:t>●</w:t>
            </w:r>
          </w:p>
        </w:tc>
        <w:tc>
          <w:tcPr>
            <w:tcW w:w="94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sales of our common stock;</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0"/>
              <w:ind w:left="900" w:right="0" w:hanging="0"/>
              <w:jc w:val="both"/>
              <w:rPr/>
            </w:pPr>
            <w:r>
              <w:rPr/>
              <w:t>●</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execute our business plan;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results that fall below expectations;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1"/>
        <w:gridCol w:w="9494"/>
      </w:tblGrid>
      <w:tr>
        <w:trPr/>
        <w:tc>
          <w:tcPr>
            <w:tcW w:w="711" w:type="dxa"/>
            <w:tcBorders/>
            <w:shd w:fill="auto" w:val="clear"/>
          </w:tcPr>
          <w:p>
            <w:pPr>
              <w:pStyle w:val="TableContents"/>
              <w:spacing w:before="0" w:after="0"/>
              <w:ind w:left="90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loss of any strategic relationship with our contract manufacturers or with other third parties (including PCCA) and clinical and non-clinical research organizations;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ind w:left="900" w:right="0" w:hanging="0"/>
              <w:jc w:val="both"/>
              <w:rPr/>
            </w:pPr>
            <w:r>
              <w:rPr/>
              <w:t>●</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industry or regulatory developments;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0"/>
              <w:ind w:left="900" w:right="0" w:hanging="0"/>
              <w:jc w:val="both"/>
              <w:rPr/>
            </w:pPr>
            <w:r>
              <w:rPr/>
              <w:t>●</w:t>
            </w:r>
          </w:p>
        </w:tc>
        <w:tc>
          <w:tcPr>
            <w:tcW w:w="94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economic and other external factors.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1" w:name="PGBRK38"/>
      <w:bookmarkStart w:id="402" w:name="PGBRK38"/>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3" w:name="FTR38"/>
      <w:bookmarkStart w:id="404" w:name="FTR38"/>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5" w:name="GLFTR38"/>
      <w:bookmarkEnd w:id="4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06" w:name="PN38"/>
      <w:bookmarkEnd w:id="406"/>
      <w:r>
        <w:rPr>
          <w:rFonts w:ascii="effontselection" w:hAnsi="effontselectio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7" w:name="HDR34"/>
      <w:bookmarkStart w:id="408" w:name="HDR34"/>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09" w:name="GLHDR38"/>
        <w:bookmarkEnd w:id="40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the right to issue shares of preferred stock. If we were to issue preferred stock, it is likely to have rights, preferences and privileges superior to those of our common stock.</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10" w:name="TAB111"/>
      <w:bookmarkEnd w:id="410"/>
      <w:r>
        <w:rPr>
          <w:rFonts w:ascii="Times New Roman" w:hAnsi="Times New Roman"/>
          <w:sz w:val="20"/>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not paid dividends in the past and do not expect to pay dividends in the future. Any return on investment may be limited to the value of our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Offers or availability for sale of a substantial number of shares of our common stock may cause the price of our common stock to decline.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bookmarkStart w:id="411" w:name="PART2ITEM2"/>
      <w:bookmarkEnd w:id="411"/>
      <w:r>
        <w:rPr>
          <w:rFonts w:ascii="Times New Roman" w:hAnsi="Times New Roman"/>
          <w:b/>
          <w:sz w:val="20"/>
        </w:rPr>
        <w:t>ITEM 2.  UNREGISTERED SALES OF EQUITY SECURITIES</w:t>
      </w:r>
    </w:p>
    <w:p>
      <w:pPr>
        <w:pStyle w:val="TextBody"/>
        <w:spacing w:before="0" w:after="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previously disclosed on a Form 8-K dated April 27, 2012, effective April 1, 2012, we entered into an advisory agreement with director Dr. Robert Kammer (the “Advisory Agreement”) pursuant to which Dr. Kammer has provided certain services to the Company in addition to his services as a director. As required under the terms of the Advisory Agreement, on June 28, 2013, we issued 33,333 shares to Dr. Kammer in consideration for services performed during the period from April 2012 to June 2013.</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previously disclosed on a Form 8-K dated July 24, 2012, on July 18, 2012 our Board of Directors granted to Mr. Mark L. Baum, our the Chief Executive Officer, 160,000 restricted stock units “(RSUs”) outside of the Company’s 2007 Incentive Stock and Awards Plan pursuant to a Stand-alone Restricted Stock Unit Agreement. The RSUs are subject to certain performance-based vesting criteria, such that 40,000 RSUs vested upon successful completion of our February 2013 public offering. On June 28, 2013, we issued 40,000 shares of common stock to Mr. Baum in connection with the vesting of the 40,000 RSUs.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bookmarkStart w:id="412" w:name="PART2ITEM3"/>
      <w:bookmarkEnd w:id="412"/>
      <w:r>
        <w:rPr>
          <w:rFonts w:ascii="Times New Roman" w:hAnsi="Times New Roman"/>
          <w:b/>
          <w:sz w:val="20"/>
        </w:rPr>
        <w:t>ITEM 3. DEFAULTS UPON SENIOR SECURITIES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bookmarkStart w:id="413" w:name="PART2ITEM4"/>
      <w:bookmarkEnd w:id="413"/>
      <w:r>
        <w:rPr>
          <w:rFonts w:ascii="Times New Roman" w:hAnsi="Times New Roman"/>
          <w:b/>
          <w:sz w:val="20"/>
        </w:rPr>
        <w:t>ITEM 4. MINE SAFETY DISCLOSURES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bookmarkStart w:id="414" w:name="PART2ITEM5"/>
      <w:bookmarkEnd w:id="414"/>
      <w:r>
        <w:rPr>
          <w:rFonts w:ascii="Times New Roman" w:hAnsi="Times New Roman"/>
          <w:b/>
          <w:sz w:val="20"/>
        </w:rPr>
        <w:t>ITEM 5.  OTHER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Asset Purchase Agreement</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August 8, 2013, we acquired intellectual property rights related to certain proprietary innovations from the compounding pharmacy operations of Novel Drug Solutions, LLC and from Eye Care Northwest, Inc. (together referred to as the “Sellers”) pursuant to an Asset Purchase Agreement (the “Novel APA”).  As part of this acquisition we have acquired intellectual property assets, including a provisional patent application related to injectable ophthalmological compositions having anti-bacterial and anti-inflammatory properties for the prevention of post-ophthalmic surgery complications.  In addition, under the Novel APA, we have a right of first refusal on any of the Sellers’ additional intellectual property and drug development opportunities.  The Novel APA provides that the Sellers will cooperate with us in obtaining patent protection for the acquired intellectual property, among other things, and that we will use commercially reasonable efforts to research, develop and commercialize a product based on the acquired intellectual property.</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415" w:name="TAB112"/>
      <w:bookmarkEnd w:id="415"/>
      <w:r>
        <w:rPr>
          <w:rFonts w:ascii="Times New Roman" w:hAnsi="Times New Roman"/>
          <w:sz w:val="20"/>
        </w:rPr>
        <w:t>In consideration for the acquisition, we are obligated to make the following payments to the Sellers:  (1) one payment payable within 30 days after the issuance of the first patent in the United States arising from the acquired intellectual property (if any); (2) one payment payable within 30 days after we file the first IND with the FDA for the first product arising from the acquired intellectual property (if any); (3) one payment payable within 30 days after we file the first New Drug application with the FDA for the first product; and (4) certain royalty payments based on the net receipts received by us in connection with the sale or licensing of any product based on the acquired intellectual property (if any), after deducting (among other things) our development costs associated with such product.   If we do not file an IND for any product based on the acquired intellectual property within five years of the date of the Novel APA, the Sellers may terminate the Novel APA and we must re-assign the acquired technology to the Sellers.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Annual Meeting of Stockholders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August 13, 2013, we held our 2013 Annual Meeting of Stockholders (the “Annual Meeting”) at the offices of Morrison &amp; Foerster LLP, 12531 High Bluff Drive, Suite 100, San Diego, CA 92130.  The final voting results on the matters presented at the Annual Meeting were as follows: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16" w:name="PGBRK39"/>
      <w:bookmarkStart w:id="417" w:name="PGBRK39"/>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18" w:name="FTR39"/>
      <w:bookmarkStart w:id="419" w:name="FTR39"/>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0" w:name="GLFTR39"/>
      <w:bookmarkEnd w:id="4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1" w:name="PN39"/>
      <w:bookmarkEnd w:id="421"/>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22" w:name="HDR35"/>
      <w:bookmarkStart w:id="423" w:name="HDR35"/>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4" w:name="GLHDR39"/>
      <w:bookmarkEnd w:id="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Proposal 1:  To elect six (6) directors to hold office for a one-year term or until their successors are duly elected and qualified.</w:t>
      </w:r>
    </w:p>
    <w:p>
      <w:pPr>
        <w:pStyle w:val="TextBody"/>
        <w:spacing w:before="0" w:after="0"/>
        <w:ind w:left="0" w:right="0" w:hanging="0"/>
        <w:jc w:val="left"/>
        <w:rPr/>
      </w:pPr>
      <w:r>
        <w:rPr/>
        <w:t> </w:t>
      </w:r>
    </w:p>
    <w:tbl>
      <w:tblPr>
        <w:tblW w:w="2500" w:type="pct"/>
        <w:jc w:val="center"/>
        <w:tblInd w:w="0" w:type="dxa"/>
        <w:tblCellMar>
          <w:top w:w="28" w:type="dxa"/>
          <w:left w:w="0" w:type="dxa"/>
          <w:bottom w:w="28" w:type="dxa"/>
          <w:right w:w="0" w:type="dxa"/>
        </w:tblCellMar>
      </w:tblPr>
      <w:tblGrid>
        <w:gridCol w:w="1082"/>
        <w:gridCol w:w="92"/>
        <w:gridCol w:w="1093"/>
        <w:gridCol w:w="92"/>
        <w:gridCol w:w="1063"/>
        <w:gridCol w:w="92"/>
        <w:gridCol w:w="1588"/>
      </w:tblGrid>
      <w:tr>
        <w:trPr/>
        <w:tc>
          <w:tcPr>
            <w:tcW w:w="1082" w:type="dxa"/>
            <w:tcBorders>
              <w:top w:val="single" w:sz="4" w:space="0" w:color="BFBFBF"/>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Directors</w:t>
            </w:r>
          </w:p>
        </w:tc>
        <w:tc>
          <w:tcPr>
            <w:tcW w:w="92" w:type="dxa"/>
            <w:tcBorders>
              <w:top w:val="single" w:sz="4" w:space="0" w:color="BFBFBF"/>
              <w:bottom w:val="single" w:sz="12" w:space="0" w:color="000000"/>
            </w:tcBorders>
            <w:shd w:fill="auto" w:val="clear"/>
          </w:tcPr>
          <w:p>
            <w:pPr>
              <w:pStyle w:val="TableContents"/>
              <w:spacing w:before="0" w:after="283"/>
              <w:rPr/>
            </w:pPr>
            <w:r>
              <w:rPr/>
              <w:t> </w:t>
            </w:r>
          </w:p>
        </w:tc>
        <w:tc>
          <w:tcPr>
            <w:tcW w:w="1093" w:type="dxa"/>
            <w:tcBorders>
              <w:top w:val="single" w:sz="4" w:space="0" w:color="BFBFBF"/>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For</w:t>
            </w:r>
          </w:p>
        </w:tc>
        <w:tc>
          <w:tcPr>
            <w:tcW w:w="92" w:type="dxa"/>
            <w:tcBorders>
              <w:top w:val="single" w:sz="4" w:space="0" w:color="BFBFBF"/>
              <w:bottom w:val="single" w:sz="12" w:space="0" w:color="000000"/>
            </w:tcBorders>
            <w:shd w:fill="auto" w:val="clear"/>
          </w:tcPr>
          <w:p>
            <w:pPr>
              <w:pStyle w:val="TableContents"/>
              <w:spacing w:before="0" w:after="283"/>
              <w:rPr/>
            </w:pPr>
            <w:r>
              <w:rPr/>
              <w:t> </w:t>
            </w:r>
          </w:p>
        </w:tc>
        <w:tc>
          <w:tcPr>
            <w:tcW w:w="1063" w:type="dxa"/>
            <w:tcBorders>
              <w:top w:val="single" w:sz="4" w:space="0" w:color="BFBFBF"/>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Withheld</w:t>
            </w:r>
          </w:p>
        </w:tc>
        <w:tc>
          <w:tcPr>
            <w:tcW w:w="92" w:type="dxa"/>
            <w:tcBorders>
              <w:top w:val="single" w:sz="4" w:space="0" w:color="BFBFBF"/>
              <w:bottom w:val="single" w:sz="12" w:space="0" w:color="000000"/>
            </w:tcBorders>
            <w:shd w:fill="auto" w:val="clear"/>
          </w:tcPr>
          <w:p>
            <w:pPr>
              <w:pStyle w:val="TableContents"/>
              <w:spacing w:before="0" w:after="283"/>
              <w:rPr/>
            </w:pPr>
            <w:r>
              <w:rPr/>
              <w:t> </w:t>
            </w:r>
          </w:p>
        </w:tc>
        <w:tc>
          <w:tcPr>
            <w:tcW w:w="1588" w:type="dxa"/>
            <w:tcBorders>
              <w:top w:val="single" w:sz="4" w:space="0" w:color="BFBFBF"/>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Broker Non-Votes</w:t>
            </w:r>
          </w:p>
        </w:tc>
      </w:tr>
      <w:tr>
        <w:trPr/>
        <w:tc>
          <w:tcPr>
            <w:tcW w:w="1082"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Jeffrey J. Abrams</w:t>
            </w:r>
          </w:p>
        </w:tc>
        <w:tc>
          <w:tcPr>
            <w:tcW w:w="92" w:type="dxa"/>
            <w:tcBorders/>
            <w:shd w:fill="CCEEFF" w:val="clear"/>
            <w:tcMar>
              <w:top w:w="0" w:type="dxa"/>
              <w:bottom w:w="0" w:type="dxa"/>
            </w:tcMar>
          </w:tcPr>
          <w:p>
            <w:pPr>
              <w:pStyle w:val="TableContents"/>
              <w:spacing w:before="0" w:after="283"/>
              <w:rPr/>
            </w:pPr>
            <w:r>
              <w:rPr/>
              <w:t> </w:t>
            </w:r>
          </w:p>
        </w:tc>
        <w:tc>
          <w:tcPr>
            <w:tcW w:w="1093"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4,855,240</w:t>
            </w:r>
          </w:p>
        </w:tc>
        <w:tc>
          <w:tcPr>
            <w:tcW w:w="92" w:type="dxa"/>
            <w:tcBorders/>
            <w:shd w:fill="CCEEFF" w:val="clear"/>
            <w:tcMar>
              <w:top w:w="0" w:type="dxa"/>
              <w:bottom w:w="0" w:type="dxa"/>
            </w:tcMar>
          </w:tcPr>
          <w:p>
            <w:pPr>
              <w:pStyle w:val="TableContents"/>
              <w:spacing w:before="0" w:after="283"/>
              <w:rPr/>
            </w:pPr>
            <w:r>
              <w:rPr/>
              <w:t> </w:t>
            </w:r>
          </w:p>
        </w:tc>
        <w:tc>
          <w:tcPr>
            <w:tcW w:w="1063"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443,487</w:t>
            </w:r>
          </w:p>
        </w:tc>
        <w:tc>
          <w:tcPr>
            <w:tcW w:w="92" w:type="dxa"/>
            <w:tcBorders/>
            <w:shd w:fill="CCEEFF" w:val="clear"/>
            <w:tcMar>
              <w:top w:w="0" w:type="dxa"/>
              <w:bottom w:w="0" w:type="dxa"/>
            </w:tcMar>
          </w:tcPr>
          <w:p>
            <w:pPr>
              <w:pStyle w:val="TableContents"/>
              <w:spacing w:before="0" w:after="283"/>
              <w:jc w:val="center"/>
              <w:rPr/>
            </w:pPr>
            <w:r>
              <w:rPr/>
              <w:t> </w:t>
            </w:r>
          </w:p>
        </w:tc>
        <w:tc>
          <w:tcPr>
            <w:tcW w:w="1588" w:type="dxa"/>
            <w:tcBorders/>
            <w:shd w:fill="CCEEFF" w:val="clear"/>
            <w:tcMar>
              <w:top w:w="0" w:type="dxa"/>
              <w:bottom w:w="0" w:type="dxa"/>
            </w:tcMar>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1082"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Stephen Austin</w:t>
            </w:r>
          </w:p>
        </w:tc>
        <w:tc>
          <w:tcPr>
            <w:tcW w:w="92" w:type="dxa"/>
            <w:tcBorders/>
            <w:shd w:fill="FFFFFF" w:val="clear"/>
            <w:tcMar>
              <w:top w:w="0" w:type="dxa"/>
              <w:bottom w:w="0" w:type="dxa"/>
            </w:tcMar>
          </w:tcPr>
          <w:p>
            <w:pPr>
              <w:pStyle w:val="TableContents"/>
              <w:spacing w:before="0" w:after="283"/>
              <w:rPr/>
            </w:pPr>
            <w:r>
              <w:rPr/>
              <w:t> </w:t>
            </w:r>
          </w:p>
        </w:tc>
        <w:tc>
          <w:tcPr>
            <w:tcW w:w="1093"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4,859,597</w:t>
            </w:r>
          </w:p>
        </w:tc>
        <w:tc>
          <w:tcPr>
            <w:tcW w:w="92" w:type="dxa"/>
            <w:tcBorders/>
            <w:shd w:fill="FFFFFF" w:val="clear"/>
            <w:tcMar>
              <w:top w:w="0" w:type="dxa"/>
              <w:bottom w:w="0" w:type="dxa"/>
            </w:tcMar>
          </w:tcPr>
          <w:p>
            <w:pPr>
              <w:pStyle w:val="TableContents"/>
              <w:spacing w:before="0" w:after="283"/>
              <w:rPr/>
            </w:pPr>
            <w:r>
              <w:rPr/>
              <w:t> </w:t>
            </w:r>
          </w:p>
        </w:tc>
        <w:tc>
          <w:tcPr>
            <w:tcW w:w="1063"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439,130</w:t>
            </w:r>
          </w:p>
        </w:tc>
        <w:tc>
          <w:tcPr>
            <w:tcW w:w="92" w:type="dxa"/>
            <w:tcBorders/>
            <w:shd w:fill="FFFFFF" w:val="clear"/>
            <w:tcMar>
              <w:top w:w="0" w:type="dxa"/>
              <w:bottom w:w="0" w:type="dxa"/>
            </w:tcMar>
          </w:tcPr>
          <w:p>
            <w:pPr>
              <w:pStyle w:val="TableContents"/>
              <w:spacing w:before="0" w:after="283"/>
              <w:jc w:val="center"/>
              <w:rPr/>
            </w:pPr>
            <w:r>
              <w:rPr/>
              <w:t> </w:t>
            </w:r>
          </w:p>
        </w:tc>
        <w:tc>
          <w:tcPr>
            <w:tcW w:w="1588" w:type="dxa"/>
            <w:tcBorders/>
            <w:shd w:fill="FFFFFF" w:val="clear"/>
            <w:tcMar>
              <w:top w:w="0" w:type="dxa"/>
              <w:bottom w:w="0" w:type="dxa"/>
            </w:tcMar>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1082"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August Bassani</w:t>
            </w:r>
          </w:p>
        </w:tc>
        <w:tc>
          <w:tcPr>
            <w:tcW w:w="92" w:type="dxa"/>
            <w:tcBorders/>
            <w:shd w:fill="CCEEFF" w:val="clear"/>
            <w:tcMar>
              <w:top w:w="0" w:type="dxa"/>
              <w:bottom w:w="0" w:type="dxa"/>
            </w:tcMar>
          </w:tcPr>
          <w:p>
            <w:pPr>
              <w:pStyle w:val="TableContents"/>
              <w:spacing w:before="0" w:after="283"/>
              <w:rPr/>
            </w:pPr>
            <w:r>
              <w:rPr/>
              <w:t> </w:t>
            </w:r>
          </w:p>
        </w:tc>
        <w:tc>
          <w:tcPr>
            <w:tcW w:w="1093"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4,875,967</w:t>
            </w:r>
          </w:p>
        </w:tc>
        <w:tc>
          <w:tcPr>
            <w:tcW w:w="92" w:type="dxa"/>
            <w:tcBorders/>
            <w:shd w:fill="CCEEFF" w:val="clear"/>
            <w:tcMar>
              <w:top w:w="0" w:type="dxa"/>
              <w:bottom w:w="0" w:type="dxa"/>
            </w:tcMar>
          </w:tcPr>
          <w:p>
            <w:pPr>
              <w:pStyle w:val="TableContents"/>
              <w:spacing w:before="0" w:after="283"/>
              <w:rPr/>
            </w:pPr>
            <w:r>
              <w:rPr/>
              <w:t> </w:t>
            </w:r>
          </w:p>
        </w:tc>
        <w:tc>
          <w:tcPr>
            <w:tcW w:w="1063"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422,760</w:t>
            </w:r>
          </w:p>
        </w:tc>
        <w:tc>
          <w:tcPr>
            <w:tcW w:w="92" w:type="dxa"/>
            <w:tcBorders/>
            <w:shd w:fill="CCEEFF" w:val="clear"/>
            <w:tcMar>
              <w:top w:w="0" w:type="dxa"/>
              <w:bottom w:w="0" w:type="dxa"/>
            </w:tcMar>
          </w:tcPr>
          <w:p>
            <w:pPr>
              <w:pStyle w:val="TableContents"/>
              <w:spacing w:before="0" w:after="283"/>
              <w:jc w:val="center"/>
              <w:rPr/>
            </w:pPr>
            <w:r>
              <w:rPr/>
              <w:t> </w:t>
            </w:r>
          </w:p>
        </w:tc>
        <w:tc>
          <w:tcPr>
            <w:tcW w:w="1588" w:type="dxa"/>
            <w:tcBorders/>
            <w:shd w:fill="CCEEFF" w:val="clear"/>
            <w:tcMar>
              <w:top w:w="0" w:type="dxa"/>
              <w:bottom w:w="0" w:type="dxa"/>
            </w:tcMar>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1082"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Mark L. Baum</w:t>
            </w:r>
          </w:p>
        </w:tc>
        <w:tc>
          <w:tcPr>
            <w:tcW w:w="92" w:type="dxa"/>
            <w:tcBorders/>
            <w:shd w:fill="FFFFFF" w:val="clear"/>
            <w:tcMar>
              <w:top w:w="0" w:type="dxa"/>
              <w:bottom w:w="0" w:type="dxa"/>
            </w:tcMar>
          </w:tcPr>
          <w:p>
            <w:pPr>
              <w:pStyle w:val="TableContents"/>
              <w:spacing w:before="0" w:after="283"/>
              <w:rPr/>
            </w:pPr>
            <w:r>
              <w:rPr/>
              <w:t> </w:t>
            </w:r>
          </w:p>
        </w:tc>
        <w:tc>
          <w:tcPr>
            <w:tcW w:w="1093"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4,865,886</w:t>
            </w:r>
          </w:p>
        </w:tc>
        <w:tc>
          <w:tcPr>
            <w:tcW w:w="92" w:type="dxa"/>
            <w:tcBorders/>
            <w:shd w:fill="FFFFFF" w:val="clear"/>
            <w:tcMar>
              <w:top w:w="0" w:type="dxa"/>
              <w:bottom w:w="0" w:type="dxa"/>
            </w:tcMar>
          </w:tcPr>
          <w:p>
            <w:pPr>
              <w:pStyle w:val="TableContents"/>
              <w:spacing w:before="0" w:after="283"/>
              <w:rPr/>
            </w:pPr>
            <w:r>
              <w:rPr/>
              <w:t> </w:t>
            </w:r>
          </w:p>
        </w:tc>
        <w:tc>
          <w:tcPr>
            <w:tcW w:w="1063"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432,841</w:t>
            </w:r>
          </w:p>
        </w:tc>
        <w:tc>
          <w:tcPr>
            <w:tcW w:w="92" w:type="dxa"/>
            <w:tcBorders/>
            <w:shd w:fill="FFFFFF" w:val="clear"/>
            <w:tcMar>
              <w:top w:w="0" w:type="dxa"/>
              <w:bottom w:w="0" w:type="dxa"/>
            </w:tcMar>
          </w:tcPr>
          <w:p>
            <w:pPr>
              <w:pStyle w:val="TableContents"/>
              <w:spacing w:before="0" w:after="283"/>
              <w:jc w:val="center"/>
              <w:rPr/>
            </w:pPr>
            <w:r>
              <w:rPr/>
              <w:t> </w:t>
            </w:r>
          </w:p>
        </w:tc>
        <w:tc>
          <w:tcPr>
            <w:tcW w:w="1588" w:type="dxa"/>
            <w:tcBorders/>
            <w:shd w:fill="FFFFFF" w:val="clear"/>
            <w:tcMar>
              <w:top w:w="0" w:type="dxa"/>
              <w:bottom w:w="0" w:type="dxa"/>
            </w:tcMar>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1082"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Robert J. Kammer</w:t>
            </w:r>
          </w:p>
        </w:tc>
        <w:tc>
          <w:tcPr>
            <w:tcW w:w="92" w:type="dxa"/>
            <w:tcBorders/>
            <w:shd w:fill="CCEEFF" w:val="clear"/>
            <w:tcMar>
              <w:top w:w="0" w:type="dxa"/>
              <w:bottom w:w="0" w:type="dxa"/>
            </w:tcMar>
          </w:tcPr>
          <w:p>
            <w:pPr>
              <w:pStyle w:val="TableContents"/>
              <w:spacing w:before="0" w:after="283"/>
              <w:rPr/>
            </w:pPr>
            <w:r>
              <w:rPr/>
              <w:t> </w:t>
            </w:r>
          </w:p>
        </w:tc>
        <w:tc>
          <w:tcPr>
            <w:tcW w:w="1093"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4,818,706</w:t>
            </w:r>
          </w:p>
        </w:tc>
        <w:tc>
          <w:tcPr>
            <w:tcW w:w="92" w:type="dxa"/>
            <w:tcBorders/>
            <w:shd w:fill="CCEEFF" w:val="clear"/>
            <w:tcMar>
              <w:top w:w="0" w:type="dxa"/>
              <w:bottom w:w="0" w:type="dxa"/>
            </w:tcMar>
          </w:tcPr>
          <w:p>
            <w:pPr>
              <w:pStyle w:val="TableContents"/>
              <w:spacing w:before="0" w:after="283"/>
              <w:rPr/>
            </w:pPr>
            <w:r>
              <w:rPr/>
              <w:t> </w:t>
            </w:r>
          </w:p>
        </w:tc>
        <w:tc>
          <w:tcPr>
            <w:tcW w:w="1063" w:type="dxa"/>
            <w:tcBorders/>
            <w:shd w:fill="CCEE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480,021</w:t>
            </w:r>
          </w:p>
        </w:tc>
        <w:tc>
          <w:tcPr>
            <w:tcW w:w="92" w:type="dxa"/>
            <w:tcBorders/>
            <w:shd w:fill="CCEEFF" w:val="clear"/>
            <w:tcMar>
              <w:top w:w="0" w:type="dxa"/>
              <w:bottom w:w="0" w:type="dxa"/>
            </w:tcMar>
          </w:tcPr>
          <w:p>
            <w:pPr>
              <w:pStyle w:val="TableContents"/>
              <w:spacing w:before="0" w:after="283"/>
              <w:jc w:val="center"/>
              <w:rPr/>
            </w:pPr>
            <w:r>
              <w:rPr/>
              <w:t> </w:t>
            </w:r>
          </w:p>
        </w:tc>
        <w:tc>
          <w:tcPr>
            <w:tcW w:w="1588" w:type="dxa"/>
            <w:tcBorders/>
            <w:shd w:fill="CCEEFF" w:val="clear"/>
            <w:tcMar>
              <w:top w:w="0" w:type="dxa"/>
              <w:bottom w:w="0" w:type="dxa"/>
            </w:tcMar>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1082"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Paul Finnegan</w:t>
            </w:r>
          </w:p>
        </w:tc>
        <w:tc>
          <w:tcPr>
            <w:tcW w:w="92" w:type="dxa"/>
            <w:tcBorders/>
            <w:shd w:fill="FFFFFF" w:val="clear"/>
            <w:tcMar>
              <w:top w:w="0" w:type="dxa"/>
              <w:bottom w:w="0" w:type="dxa"/>
            </w:tcMar>
          </w:tcPr>
          <w:p>
            <w:pPr>
              <w:pStyle w:val="TableContents"/>
              <w:spacing w:before="0" w:after="283"/>
              <w:rPr/>
            </w:pPr>
            <w:r>
              <w:rPr/>
              <w:t> </w:t>
            </w:r>
          </w:p>
        </w:tc>
        <w:tc>
          <w:tcPr>
            <w:tcW w:w="1093"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4,697,546</w:t>
            </w:r>
          </w:p>
        </w:tc>
        <w:tc>
          <w:tcPr>
            <w:tcW w:w="92" w:type="dxa"/>
            <w:tcBorders/>
            <w:shd w:fill="FFFFFF" w:val="clear"/>
            <w:tcMar>
              <w:top w:w="0" w:type="dxa"/>
              <w:bottom w:w="0" w:type="dxa"/>
            </w:tcMar>
          </w:tcPr>
          <w:p>
            <w:pPr>
              <w:pStyle w:val="TableContents"/>
              <w:spacing w:before="0" w:after="283"/>
              <w:rPr/>
            </w:pPr>
            <w:r>
              <w:rPr/>
              <w:t> </w:t>
            </w:r>
          </w:p>
        </w:tc>
        <w:tc>
          <w:tcPr>
            <w:tcW w:w="1063" w:type="dxa"/>
            <w:tcBorders/>
            <w:shd w:fill="FFFFFF"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602,181</w:t>
            </w:r>
          </w:p>
        </w:tc>
        <w:tc>
          <w:tcPr>
            <w:tcW w:w="92" w:type="dxa"/>
            <w:tcBorders/>
            <w:shd w:fill="FFFFFF" w:val="clear"/>
            <w:tcMar>
              <w:top w:w="0" w:type="dxa"/>
              <w:bottom w:w="0" w:type="dxa"/>
            </w:tcMar>
          </w:tcPr>
          <w:p>
            <w:pPr>
              <w:pStyle w:val="TableContents"/>
              <w:spacing w:before="0" w:after="283"/>
              <w:jc w:val="center"/>
              <w:rPr/>
            </w:pPr>
            <w:r>
              <w:rPr/>
              <w:t> </w:t>
            </w:r>
          </w:p>
        </w:tc>
        <w:tc>
          <w:tcPr>
            <w:tcW w:w="1588" w:type="dxa"/>
            <w:tcBorders/>
            <w:shd w:fill="FFFFFF" w:val="clear"/>
            <w:tcMar>
              <w:top w:w="0" w:type="dxa"/>
              <w:bottom w:w="0" w:type="dxa"/>
            </w:tcMar>
          </w:tcPr>
          <w:p>
            <w:pPr>
              <w:pStyle w:val="TableContents"/>
              <w:spacing w:before="0" w:after="283"/>
              <w:jc w:val="center"/>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Proposal 2:  To ratify the selection of KMJ Corbin and Company, LLP as the Company’s independent registered public accounting firm for the fiscal year ending December 31, 2013.</w:t>
      </w:r>
    </w:p>
    <w:p>
      <w:pPr>
        <w:pStyle w:val="TextBody"/>
        <w:spacing w:before="0" w:after="0"/>
        <w:ind w:left="0" w:right="0" w:hanging="0"/>
        <w:jc w:val="left"/>
        <w:rPr/>
      </w:pPr>
      <w:r>
        <w:rPr/>
        <w:t> </w:t>
      </w:r>
    </w:p>
    <w:tbl>
      <w:tblPr>
        <w:tblW w:w="2500" w:type="pct"/>
        <w:jc w:val="center"/>
        <w:tblInd w:w="0" w:type="dxa"/>
        <w:tblCellMar>
          <w:top w:w="0" w:type="dxa"/>
          <w:left w:w="0" w:type="dxa"/>
          <w:bottom w:w="28" w:type="dxa"/>
          <w:right w:w="0" w:type="dxa"/>
        </w:tblCellMar>
      </w:tblPr>
      <w:tblGrid>
        <w:gridCol w:w="1594"/>
        <w:gridCol w:w="159"/>
        <w:gridCol w:w="1595"/>
        <w:gridCol w:w="159"/>
        <w:gridCol w:w="1595"/>
      </w:tblGrid>
      <w:tr>
        <w:trPr/>
        <w:tc>
          <w:tcPr>
            <w:tcW w:w="159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w:t>
            </w:r>
          </w:p>
        </w:tc>
        <w:tc>
          <w:tcPr>
            <w:tcW w:w="159" w:type="dxa"/>
            <w:tcBorders/>
            <w:shd w:fill="auto" w:val="clear"/>
            <w:tcMar>
              <w:bottom w:w="0" w:type="dxa"/>
            </w:tcMar>
            <w:vAlign w:val="bottom"/>
          </w:tcPr>
          <w:p>
            <w:pPr>
              <w:pStyle w:val="TableContents"/>
              <w:spacing w:before="0" w:after="283"/>
              <w:rPr/>
            </w:pPr>
            <w:r>
              <w:rPr/>
              <w:t xml:space="preserve">  </w:t>
            </w:r>
          </w:p>
        </w:tc>
        <w:tc>
          <w:tcPr>
            <w:tcW w:w="159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Against</w:t>
            </w:r>
          </w:p>
        </w:tc>
        <w:tc>
          <w:tcPr>
            <w:tcW w:w="159" w:type="dxa"/>
            <w:tcBorders/>
            <w:shd w:fill="auto" w:val="clear"/>
            <w:tcMar>
              <w:bottom w:w="0" w:type="dxa"/>
            </w:tcMar>
            <w:vAlign w:val="bottom"/>
          </w:tcPr>
          <w:p>
            <w:pPr>
              <w:pStyle w:val="TableContents"/>
              <w:spacing w:before="0" w:after="283"/>
              <w:rPr/>
            </w:pPr>
            <w:r>
              <w:rPr/>
              <w:t xml:space="preserve">  </w:t>
            </w:r>
          </w:p>
        </w:tc>
        <w:tc>
          <w:tcPr>
            <w:tcW w:w="159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Abstain</w:t>
            </w:r>
          </w:p>
        </w:tc>
      </w:tr>
      <w:tr>
        <w:trPr/>
        <w:tc>
          <w:tcPr>
            <w:tcW w:w="1594"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4,976,497</w:t>
            </w:r>
          </w:p>
        </w:tc>
        <w:tc>
          <w:tcPr>
            <w:tcW w:w="159" w:type="dxa"/>
            <w:tcBorders/>
            <w:shd w:fill="CCEEFF" w:val="clear"/>
            <w:tcMar>
              <w:bottom w:w="0" w:type="dxa"/>
            </w:tcMar>
            <w:vAlign w:val="bottom"/>
          </w:tcPr>
          <w:p>
            <w:pPr>
              <w:pStyle w:val="TableContents"/>
              <w:spacing w:before="0" w:after="283"/>
              <w:rPr/>
            </w:pPr>
            <w:r>
              <w:rPr/>
              <w:t xml:space="preserve">  </w:t>
            </w:r>
          </w:p>
        </w:tc>
        <w:tc>
          <w:tcPr>
            <w:tcW w:w="159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40,902</w:t>
            </w:r>
          </w:p>
        </w:tc>
        <w:tc>
          <w:tcPr>
            <w:tcW w:w="159" w:type="dxa"/>
            <w:tcBorders/>
            <w:shd w:fill="CCEEFF" w:val="clear"/>
            <w:tcMar>
              <w:bottom w:w="0" w:type="dxa"/>
            </w:tcMar>
            <w:vAlign w:val="bottom"/>
          </w:tcPr>
          <w:p>
            <w:pPr>
              <w:pStyle w:val="TableContents"/>
              <w:spacing w:before="0" w:after="283"/>
              <w:rPr/>
            </w:pPr>
            <w:r>
              <w:rPr/>
              <w:t xml:space="preserve">  </w:t>
            </w:r>
          </w:p>
        </w:tc>
        <w:tc>
          <w:tcPr>
            <w:tcW w:w="159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281,328</w:t>
            </w:r>
          </w:p>
        </w:tc>
      </w:tr>
    </w:tbl>
    <w:p>
      <w:pPr>
        <w:pStyle w:val="TextBody"/>
        <w:spacing w:before="0" w:after="0"/>
        <w:ind w:left="0" w:right="0" w:hanging="0"/>
        <w:jc w:val="left"/>
        <w:rPr/>
      </w:pPr>
      <w:bookmarkStart w:id="425" w:name="hangingindent3"/>
      <w:bookmarkStart w:id="426" w:name="hangingindent4"/>
      <w:bookmarkEnd w:id="425"/>
      <w:bookmarkEnd w:id="426"/>
      <w:r>
        <w:rPr/>
        <w:t> </w:t>
      </w:r>
    </w:p>
    <w:p>
      <w:pPr>
        <w:pStyle w:val="TextBody"/>
        <w:spacing w:before="0" w:after="0"/>
        <w:jc w:val="left"/>
        <w:rPr>
          <w:rFonts w:ascii="Times New Roman" w:hAnsi="Times New Roman"/>
          <w:sz w:val="20"/>
        </w:rPr>
      </w:pPr>
      <w:r>
        <w:rPr>
          <w:rFonts w:ascii="Times New Roman" w:hAnsi="Times New Roman"/>
          <w:sz w:val="20"/>
        </w:rPr>
        <w:t>Proposal 3: To approve, on an advisory basis, the compensation of the Company’s named executive officers.</w:t>
      </w:r>
    </w:p>
    <w:p>
      <w:pPr>
        <w:pStyle w:val="TextBody"/>
        <w:spacing w:before="0" w:after="0"/>
        <w:jc w:val="left"/>
        <w:rPr/>
      </w:pPr>
      <w:r>
        <w:rPr/>
        <w:t> </w:t>
      </w:r>
    </w:p>
    <w:tbl>
      <w:tblPr>
        <w:tblW w:w="2500" w:type="pct"/>
        <w:jc w:val="center"/>
        <w:tblInd w:w="0" w:type="dxa"/>
        <w:tblCellMar>
          <w:top w:w="0" w:type="dxa"/>
          <w:left w:w="0" w:type="dxa"/>
          <w:bottom w:w="28" w:type="dxa"/>
          <w:right w:w="0" w:type="dxa"/>
        </w:tblCellMar>
      </w:tblPr>
      <w:tblGrid>
        <w:gridCol w:w="1162"/>
        <w:gridCol w:w="102"/>
        <w:gridCol w:w="1077"/>
        <w:gridCol w:w="102"/>
        <w:gridCol w:w="1061"/>
        <w:gridCol w:w="102"/>
        <w:gridCol w:w="1496"/>
      </w:tblGrid>
      <w:tr>
        <w:trPr/>
        <w:tc>
          <w:tcPr>
            <w:tcW w:w="116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w:t>
            </w:r>
          </w:p>
        </w:tc>
        <w:tc>
          <w:tcPr>
            <w:tcW w:w="102" w:type="dxa"/>
            <w:tcBorders/>
            <w:shd w:fill="auto" w:val="clear"/>
            <w:tcMar>
              <w:bottom w:w="0" w:type="dxa"/>
            </w:tcMar>
            <w:vAlign w:val="bottom"/>
          </w:tcPr>
          <w:p>
            <w:pPr>
              <w:pStyle w:val="TableContents"/>
              <w:spacing w:before="0" w:after="283"/>
              <w:rPr/>
            </w:pPr>
            <w:r>
              <w:rPr/>
              <w:t xml:space="preserve">  </w:t>
            </w:r>
          </w:p>
        </w:tc>
        <w:tc>
          <w:tcPr>
            <w:tcW w:w="107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Against</w:t>
            </w:r>
          </w:p>
        </w:tc>
        <w:tc>
          <w:tcPr>
            <w:tcW w:w="102" w:type="dxa"/>
            <w:tcBorders/>
            <w:shd w:fill="auto" w:val="clear"/>
            <w:tcMar>
              <w:bottom w:w="0" w:type="dxa"/>
            </w:tcMar>
            <w:vAlign w:val="bottom"/>
          </w:tcPr>
          <w:p>
            <w:pPr>
              <w:pStyle w:val="TableContents"/>
              <w:spacing w:before="0" w:after="283"/>
              <w:rPr/>
            </w:pPr>
            <w:r>
              <w:rPr/>
              <w:t xml:space="preserve">  </w:t>
            </w:r>
          </w:p>
        </w:tc>
        <w:tc>
          <w:tcPr>
            <w:tcW w:w="106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Abstain</w:t>
            </w:r>
          </w:p>
        </w:tc>
        <w:tc>
          <w:tcPr>
            <w:tcW w:w="102" w:type="dxa"/>
            <w:tcBorders/>
            <w:shd w:fill="auto" w:val="clear"/>
            <w:tcMar>
              <w:bottom w:w="0" w:type="dxa"/>
            </w:tcMar>
            <w:vAlign w:val="bottom"/>
          </w:tcPr>
          <w:p>
            <w:pPr>
              <w:pStyle w:val="TableContents"/>
              <w:spacing w:before="0" w:after="283"/>
              <w:rPr/>
            </w:pPr>
            <w:r>
              <w:rPr/>
              <w:t xml:space="preserve">  </w:t>
            </w:r>
          </w:p>
        </w:tc>
        <w:tc>
          <w:tcPr>
            <w:tcW w:w="1496"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Broker Non-Vote</w:t>
            </w:r>
          </w:p>
        </w:tc>
      </w:tr>
      <w:tr>
        <w:trPr/>
        <w:tc>
          <w:tcPr>
            <w:tcW w:w="1162"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4,658,538</w:t>
            </w:r>
          </w:p>
        </w:tc>
        <w:tc>
          <w:tcPr>
            <w:tcW w:w="102" w:type="dxa"/>
            <w:tcBorders/>
            <w:shd w:fill="CCEEFF" w:val="clear"/>
            <w:tcMar>
              <w:bottom w:w="0" w:type="dxa"/>
            </w:tcMar>
            <w:vAlign w:val="bottom"/>
          </w:tcPr>
          <w:p>
            <w:pPr>
              <w:pStyle w:val="TableContents"/>
              <w:spacing w:before="0" w:after="283"/>
              <w:rPr/>
            </w:pPr>
            <w:r>
              <w:rPr/>
              <w:t xml:space="preserve">  </w:t>
            </w:r>
          </w:p>
        </w:tc>
        <w:tc>
          <w:tcPr>
            <w:tcW w:w="1077"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554,750</w:t>
            </w:r>
          </w:p>
        </w:tc>
        <w:tc>
          <w:tcPr>
            <w:tcW w:w="102" w:type="dxa"/>
            <w:tcBorders/>
            <w:shd w:fill="CCEEFF" w:val="clear"/>
            <w:tcMar>
              <w:bottom w:w="0" w:type="dxa"/>
            </w:tcMar>
            <w:vAlign w:val="bottom"/>
          </w:tcPr>
          <w:p>
            <w:pPr>
              <w:pStyle w:val="TableContents"/>
              <w:spacing w:before="0" w:after="283"/>
              <w:rPr/>
            </w:pPr>
            <w:r>
              <w:rPr/>
              <w:t xml:space="preserve">  </w:t>
            </w:r>
          </w:p>
        </w:tc>
        <w:tc>
          <w:tcPr>
            <w:tcW w:w="1061"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85,439</w:t>
            </w:r>
          </w:p>
        </w:tc>
        <w:tc>
          <w:tcPr>
            <w:tcW w:w="102" w:type="dxa"/>
            <w:tcBorders/>
            <w:shd w:fill="CCEEFF" w:val="clear"/>
            <w:tcMar>
              <w:bottom w:w="0" w:type="dxa"/>
            </w:tcMar>
            <w:vAlign w:val="bottom"/>
          </w:tcPr>
          <w:p>
            <w:pPr>
              <w:pStyle w:val="TableContents"/>
              <w:spacing w:before="0" w:after="283"/>
              <w:rPr/>
            </w:pPr>
            <w:r>
              <w:rPr/>
              <w:t xml:space="preserve">  </w:t>
            </w:r>
          </w:p>
        </w:tc>
        <w:tc>
          <w:tcPr>
            <w:tcW w:w="1496"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bookmarkStart w:id="427" w:name="hangingindent5"/>
      <w:bookmarkEnd w:id="427"/>
      <w:r>
        <w:rPr/>
        <w:t> </w:t>
      </w:r>
    </w:p>
    <w:p>
      <w:pPr>
        <w:pStyle w:val="TextBody"/>
        <w:spacing w:before="0" w:after="0"/>
        <w:ind w:left="0" w:right="0" w:hanging="0"/>
        <w:jc w:val="both"/>
        <w:rPr>
          <w:rFonts w:ascii="Times New Roman" w:hAnsi="Times New Roman"/>
          <w:sz w:val="20"/>
        </w:rPr>
      </w:pPr>
      <w:r>
        <w:rPr>
          <w:rFonts w:ascii="Times New Roman" w:hAnsi="Times New Roman"/>
          <w:sz w:val="20"/>
        </w:rPr>
        <w:t>Proposal 4:  To vote, on an advisory basis, on the frequency of holding an advisory vote on the compensation of the Company’s named executive officers:</w:t>
      </w:r>
    </w:p>
    <w:p>
      <w:pPr>
        <w:pStyle w:val="TextBody"/>
        <w:spacing w:before="0" w:after="0"/>
        <w:ind w:left="0" w:right="0" w:hanging="0"/>
        <w:jc w:val="both"/>
        <w:rPr/>
      </w:pPr>
      <w:r>
        <w:rPr/>
        <w:t> </w:t>
      </w:r>
    </w:p>
    <w:tbl>
      <w:tblPr>
        <w:tblW w:w="2500" w:type="pct"/>
        <w:jc w:val="center"/>
        <w:tblInd w:w="0" w:type="dxa"/>
        <w:tblCellMar>
          <w:top w:w="0" w:type="dxa"/>
          <w:left w:w="0" w:type="dxa"/>
          <w:bottom w:w="28" w:type="dxa"/>
          <w:right w:w="0" w:type="dxa"/>
        </w:tblCellMar>
      </w:tblPr>
      <w:tblGrid>
        <w:gridCol w:w="1186"/>
        <w:gridCol w:w="119"/>
        <w:gridCol w:w="1186"/>
        <w:gridCol w:w="119"/>
        <w:gridCol w:w="1186"/>
        <w:gridCol w:w="119"/>
        <w:gridCol w:w="1187"/>
      </w:tblGrid>
      <w:tr>
        <w:trPr/>
        <w:tc>
          <w:tcPr>
            <w:tcW w:w="1186"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Year</w:t>
            </w:r>
          </w:p>
        </w:tc>
        <w:tc>
          <w:tcPr>
            <w:tcW w:w="119" w:type="dxa"/>
            <w:tcBorders/>
            <w:shd w:fill="auto" w:val="clear"/>
            <w:tcMar>
              <w:bottom w:w="0" w:type="dxa"/>
            </w:tcMar>
            <w:vAlign w:val="bottom"/>
          </w:tcPr>
          <w:p>
            <w:pPr>
              <w:pStyle w:val="TableContents"/>
              <w:spacing w:before="0" w:after="283"/>
              <w:rPr/>
            </w:pPr>
            <w:r>
              <w:rPr/>
              <w:t xml:space="preserve">  </w:t>
            </w:r>
          </w:p>
        </w:tc>
        <w:tc>
          <w:tcPr>
            <w:tcW w:w="1186"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 Years</w:t>
            </w:r>
          </w:p>
        </w:tc>
        <w:tc>
          <w:tcPr>
            <w:tcW w:w="119" w:type="dxa"/>
            <w:tcBorders/>
            <w:shd w:fill="auto" w:val="clear"/>
            <w:tcMar>
              <w:bottom w:w="0" w:type="dxa"/>
            </w:tcMar>
            <w:vAlign w:val="bottom"/>
          </w:tcPr>
          <w:p>
            <w:pPr>
              <w:pStyle w:val="TableContents"/>
              <w:spacing w:before="0" w:after="283"/>
              <w:rPr/>
            </w:pPr>
            <w:r>
              <w:rPr/>
              <w:t xml:space="preserve">  </w:t>
            </w:r>
          </w:p>
        </w:tc>
        <w:tc>
          <w:tcPr>
            <w:tcW w:w="1186"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3 Years</w:t>
            </w:r>
          </w:p>
        </w:tc>
        <w:tc>
          <w:tcPr>
            <w:tcW w:w="119" w:type="dxa"/>
            <w:tcBorders/>
            <w:shd w:fill="auto" w:val="clear"/>
            <w:tcMar>
              <w:bottom w:w="0" w:type="dxa"/>
            </w:tcMar>
            <w:vAlign w:val="bottom"/>
          </w:tcPr>
          <w:p>
            <w:pPr>
              <w:pStyle w:val="TableContents"/>
              <w:spacing w:before="0" w:after="283"/>
              <w:rPr/>
            </w:pPr>
            <w:r>
              <w:rPr/>
              <w:t xml:space="preserve">  </w:t>
            </w:r>
          </w:p>
        </w:tc>
        <w:tc>
          <w:tcPr>
            <w:tcW w:w="118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Abstain</w:t>
            </w:r>
          </w:p>
        </w:tc>
      </w:tr>
      <w:tr>
        <w:trPr/>
        <w:tc>
          <w:tcPr>
            <w:tcW w:w="118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2,261,759</w:t>
            </w:r>
          </w:p>
        </w:tc>
        <w:tc>
          <w:tcPr>
            <w:tcW w:w="119" w:type="dxa"/>
            <w:tcBorders/>
            <w:shd w:fill="CCEEFF" w:val="clear"/>
            <w:tcMar>
              <w:bottom w:w="0" w:type="dxa"/>
            </w:tcMar>
            <w:vAlign w:val="bottom"/>
          </w:tcPr>
          <w:p>
            <w:pPr>
              <w:pStyle w:val="TableContents"/>
              <w:spacing w:before="0" w:after="283"/>
              <w:rPr/>
            </w:pPr>
            <w:r>
              <w:rPr/>
              <w:t xml:space="preserve">  </w:t>
            </w:r>
          </w:p>
        </w:tc>
        <w:tc>
          <w:tcPr>
            <w:tcW w:w="118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2,555</w:t>
            </w:r>
          </w:p>
        </w:tc>
        <w:tc>
          <w:tcPr>
            <w:tcW w:w="119" w:type="dxa"/>
            <w:tcBorders/>
            <w:shd w:fill="CCEEFF" w:val="clear"/>
            <w:tcMar>
              <w:bottom w:w="0" w:type="dxa"/>
            </w:tcMar>
            <w:vAlign w:val="bottom"/>
          </w:tcPr>
          <w:p>
            <w:pPr>
              <w:pStyle w:val="TableContents"/>
              <w:spacing w:before="0" w:after="283"/>
              <w:rPr/>
            </w:pPr>
            <w:r>
              <w:rPr/>
              <w:t xml:space="preserve">  </w:t>
            </w:r>
          </w:p>
        </w:tc>
        <w:tc>
          <w:tcPr>
            <w:tcW w:w="118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2,950,169</w:t>
            </w:r>
          </w:p>
        </w:tc>
        <w:tc>
          <w:tcPr>
            <w:tcW w:w="119" w:type="dxa"/>
            <w:tcBorders/>
            <w:shd w:fill="CCEEFF" w:val="clear"/>
            <w:tcMar>
              <w:bottom w:w="0" w:type="dxa"/>
            </w:tcMar>
            <w:vAlign w:val="bottom"/>
          </w:tcPr>
          <w:p>
            <w:pPr>
              <w:pStyle w:val="TableContents"/>
              <w:spacing w:before="0" w:after="283"/>
              <w:rPr/>
            </w:pPr>
            <w:r>
              <w:rPr/>
              <w:t xml:space="preserve">  </w:t>
            </w:r>
          </w:p>
        </w:tc>
        <w:tc>
          <w:tcPr>
            <w:tcW w:w="1187"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84,244</w:t>
            </w:r>
          </w:p>
        </w:tc>
      </w:tr>
    </w:tbl>
    <w:p>
      <w:pPr>
        <w:pStyle w:val="TextBody"/>
        <w:spacing w:before="0" w:after="0"/>
        <w:ind w:left="0" w:right="0" w:firstLine="720"/>
        <w:jc w:val="both"/>
        <w:rPr/>
      </w:pPr>
      <w:bookmarkStart w:id="428" w:name="hangingindent6"/>
      <w:bookmarkEnd w:id="428"/>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consideration of the results of the stockholder vote on Proposal 4 set forth above, the Board of Directors of the Company has determined to hold a stockholder advisory vote on the compensation of the Company’s executive officers once every three years.</w:t>
      </w:r>
    </w:p>
    <w:p>
      <w:pPr>
        <w:pStyle w:val="TextBody"/>
        <w:spacing w:before="0" w:after="0"/>
        <w:ind w:left="72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9" w:name="PGBRK40"/>
      <w:bookmarkStart w:id="430" w:name="PGBRK40"/>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FTR40"/>
      <w:bookmarkStart w:id="432" w:name="FTR40"/>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33" w:name="GLFTR40"/>
      <w:bookmarkEnd w:id="4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4" w:name="PN40"/>
      <w:bookmarkEnd w:id="434"/>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5" w:name="HDR36"/>
      <w:bookmarkStart w:id="436" w:name="HDR36"/>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37" w:name="GLHDR40"/>
        <w:bookmarkEnd w:id="43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bookmarkStart w:id="438" w:name="PART2ITEM6"/>
      <w:bookmarkEnd w:id="438"/>
      <w:r>
        <w:rPr>
          <w:rFonts w:ascii="Times New Roman" w:hAnsi="Times New Roman"/>
          <w:b/>
          <w:sz w:val="20"/>
        </w:rPr>
        <w:t>ITEM 6.</w:t>
      </w:r>
      <w:r>
        <w:rPr>
          <w:rFonts w:ascii="Times New Roman" w:hAnsi="Times New Roman"/>
          <w:sz w:val="20"/>
        </w:rPr>
        <w:t xml:space="preserve"> </w:t>
      </w:r>
      <w:r>
        <w:rPr>
          <w:rFonts w:ascii="Times New Roman" w:hAnsi="Times New Roman"/>
          <w:b/>
          <w:sz w:val="20"/>
        </w:rPr>
        <w:t>EXHIBIT</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816"/>
        <w:gridCol w:w="204"/>
        <w:gridCol w:w="9185"/>
      </w:tblGrid>
      <w:tr>
        <w:trPr/>
        <w:tc>
          <w:tcPr>
            <w:tcW w:w="816"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16"/>
              </w:rPr>
            </w:pPr>
            <w:r>
              <w:rPr>
                <w:rFonts w:ascii="times new roman" w:hAnsi="times new roman"/>
                <w:b/>
                <w:sz w:val="16"/>
              </w:rPr>
              <w:t>Exhibit Number</w:t>
            </w:r>
          </w:p>
        </w:tc>
        <w:tc>
          <w:tcPr>
            <w:tcW w:w="204" w:type="dxa"/>
            <w:tcBorders/>
            <w:shd w:fill="auto" w:val="clear"/>
            <w:tcMar>
              <w:bottom w:w="0" w:type="dxa"/>
            </w:tcMar>
          </w:tcPr>
          <w:p>
            <w:pPr>
              <w:pStyle w:val="TableContents"/>
              <w:spacing w:before="0" w:after="283"/>
              <w:jc w:val="left"/>
              <w:rPr/>
            </w:pPr>
            <w:r>
              <w:rPr/>
              <w:t> </w:t>
            </w:r>
          </w:p>
        </w:tc>
        <w:tc>
          <w:tcPr>
            <w:tcW w:w="9185"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16"/>
              </w:rPr>
            </w:pPr>
            <w:r>
              <w:rPr>
                <w:rFonts w:ascii="times new roman" w:hAnsi="times new roman"/>
                <w:b/>
                <w:sz w:val="16"/>
              </w:rPr>
              <w:t>Description</w:t>
            </w:r>
          </w:p>
        </w:tc>
      </w:tr>
      <w:tr>
        <w:trPr/>
        <w:tc>
          <w:tcPr>
            <w:tcW w:w="816" w:type="dxa"/>
            <w:tcBorders/>
            <w:shd w:fill="auto" w:val="clear"/>
            <w:tcMar>
              <w:bottom w:w="0" w:type="dxa"/>
            </w:tcMar>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w:t>
            </w:r>
          </w:p>
        </w:tc>
        <w:tc>
          <w:tcPr>
            <w:tcW w:w="9185" w:type="dxa"/>
            <w:tcBorders/>
            <w:shd w:fill="auto"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w:t>
            </w:r>
          </w:p>
        </w:tc>
        <w:tc>
          <w:tcPr>
            <w:tcW w:w="204" w:type="dxa"/>
            <w:tcBorders/>
            <w:shd w:fill="CCEEFF" w:val="clear"/>
            <w:tcMar>
              <w:bottom w:w="0" w:type="dxa"/>
            </w:tcMar>
          </w:tcPr>
          <w:p>
            <w:pPr>
              <w:pStyle w:val="TableContents"/>
              <w:spacing w:before="0" w:after="283"/>
              <w:jc w:val="left"/>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Amended and Restated Employment Agreement, dated May 2, 2013, by and between the Company and Mark L. Baum (incorporated by reference to Exhibit 10.2 to the Quarterly Report on Form 10-Q filed with the Securities and Exchange Commission on May 8, 2013).</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10.2</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Imprimis Pharmaceuticals, Inc. Amended and Restated 2007 Stock Incentive and Awards Plan (incorporated by reference to Exhibit 10.3 to the Quarterly Report on Form 10-Q filed with the Securities and Exchange Commission on May 8, 2013)</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10.3</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Form of Restricted Stock Unit Agreement under the Imprimis Pharmaceuticals, Inc. Amended and Restated 2007 Stock Incentive and Awards Plan (incorporated by reference to Exhibit 10.3 to the Quarterly Report on Form 10-Q filed with the Securities and Exchange Commission on May 8, 2013)</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10.4*</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Performance Stock Unit Agreement, dated May 2, 2013, by and between the Company and Mark L. Baum</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10.5*</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Asset Purchase Agreement, dated June 11, 2013, by and between the Company and Buderer Drug Company, Inc. (Confidential treatment has been requested with respect to portions of this exhibit pursuant to Rule 24b-2 of the Securities Exchange Act of 1934 and these confidential portions have been redacted from the filing that is incorporated by reference. A complete copy of this exhibit, including the redacted terms, has been separately filed with the Securities and Exchange Commission.)</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31.1*</w:t>
            </w:r>
          </w:p>
        </w:tc>
        <w:tc>
          <w:tcPr>
            <w:tcW w:w="204" w:type="dxa"/>
            <w:tcBorders/>
            <w:shd w:fill="CCEEFF" w:val="clear"/>
            <w:tcMar>
              <w:bottom w:w="0" w:type="dxa"/>
            </w:tcMar>
          </w:tcPr>
          <w:p>
            <w:pPr>
              <w:pStyle w:val="TableContents"/>
              <w:spacing w:before="0" w:after="283"/>
              <w:jc w:val="left"/>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Certification of Mark L. Baum, Principal Executive Officer, pursuant to Rule 13a-14(a) or 15d-14(a) of the Securities and Exchange Act of 1934, as adopted pursuant to Section 302 of the Sarbanes- Oxley Act of 2002.</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31.2*</w:t>
            </w:r>
          </w:p>
        </w:tc>
        <w:tc>
          <w:tcPr>
            <w:tcW w:w="204" w:type="dxa"/>
            <w:tcBorders/>
            <w:shd w:fill="CCEEFF" w:val="clear"/>
            <w:tcMar>
              <w:bottom w:w="0" w:type="dxa"/>
            </w:tcMar>
          </w:tcPr>
          <w:p>
            <w:pPr>
              <w:pStyle w:val="TableContents"/>
              <w:spacing w:before="0" w:after="283"/>
              <w:jc w:val="left"/>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Certification of Andrew R. Boll, Principal Accounting and Financial Officer, pursuant to Rule 13a-14(a) or 15d-14(a) of the Securities and Exchange Act of 1934, as adopted pursuant to Section 302 of the Sarbanes- Oxley Act of 2002.</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32.1*</w:t>
            </w:r>
          </w:p>
        </w:tc>
        <w:tc>
          <w:tcPr>
            <w:tcW w:w="204" w:type="dxa"/>
            <w:tcBorders/>
            <w:shd w:fill="CCEEFF" w:val="clear"/>
            <w:tcMar>
              <w:bottom w:w="0" w:type="dxa"/>
            </w:tcMar>
          </w:tcPr>
          <w:p>
            <w:pPr>
              <w:pStyle w:val="TableContents"/>
              <w:spacing w:before="0" w:after="283"/>
              <w:jc w:val="left"/>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Certification pursuant to 18 U.S.C. Section 1350, as adopted pursuant to Section 906 of the Sarbanes-Oxley Act of 2002, executed by Mark L. Baum, Chief Executive Officer, and Andrew R. Boll, Principal Accounting and Financial Officer.</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101.INS**</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Instance Document</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101.SCH**</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Taxonomy Extension Schema</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101.CAL**</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Taxonomy Extension Calculation Linkbase</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101.DEF**</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Taxonomy Extension Definition Linkbase</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101.LAB**</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Taxonomy Extension Label Linkbase</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101.PRE**</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Taxonomy Extension Presentation Linkbase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except as expressly set forth by specific reference in such filing.</w:t>
            </w:r>
          </w:p>
        </w:tc>
      </w:tr>
    </w:tbl>
    <w:p>
      <w:pPr>
        <w:pStyle w:val="TextBody"/>
        <w:spacing w:before="0" w:after="0"/>
        <w:rPr/>
      </w:pPr>
      <w:bookmarkStart w:id="439" w:name="hangingindent7"/>
      <w:bookmarkEnd w:id="439"/>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0" w:name="PGBRK41"/>
      <w:bookmarkStart w:id="441" w:name="PGBRK41"/>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2" w:name="FTR41"/>
      <w:bookmarkStart w:id="443" w:name="FTR41"/>
      <w:bookmarkEnd w:id="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44" w:name="GLFTR41"/>
      <w:bookmarkEnd w:id="4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5" w:name="PN41"/>
      <w:bookmarkEnd w:id="445"/>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6" w:name="HDR37"/>
      <w:bookmarkStart w:id="447" w:name="HDR37"/>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48" w:name="GLHDR41"/>
        <w:bookmarkEnd w:id="44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jc w:val="center"/>
        <w:rPr>
          <w:rFonts w:ascii="Times New Roman" w:hAnsi="Times New Roman"/>
          <w:b/>
          <w:sz w:val="20"/>
        </w:rPr>
      </w:pPr>
      <w:bookmarkStart w:id="449" w:name="SIGNATURES"/>
      <w:bookmarkEnd w:id="449"/>
      <w:r>
        <w:rPr>
          <w:rFonts w:ascii="Times New Roman" w:hAnsi="Times New Roman"/>
          <w:b/>
          <w:sz w:val="20"/>
        </w:rPr>
        <w:t>SIGNATURES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5076"/>
        <w:gridCol w:w="320"/>
        <w:gridCol w:w="3592"/>
        <w:gridCol w:w="1217"/>
      </w:tblGrid>
      <w:tr>
        <w:trPr/>
        <w:tc>
          <w:tcPr>
            <w:tcW w:w="5076" w:type="dxa"/>
            <w:tcBorders/>
            <w:shd w:fill="auto" w:val="clear"/>
          </w:tcPr>
          <w:p>
            <w:pPr>
              <w:pStyle w:val="TableContents"/>
              <w:spacing w:before="0" w:after="283"/>
              <w:jc w:val="left"/>
              <w:rPr/>
            </w:pPr>
            <w:r>
              <w:rPr/>
              <w:t> </w:t>
            </w:r>
          </w:p>
        </w:tc>
        <w:tc>
          <w:tcPr>
            <w:tcW w:w="3912"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Imprimis Pharmaceuticals, Inc.</w:t>
            </w:r>
          </w:p>
        </w:tc>
        <w:tc>
          <w:tcPr>
            <w:tcW w:w="1217" w:type="dxa"/>
            <w:tcBorders/>
            <w:shd w:fill="auto" w:val="clear"/>
          </w:tcPr>
          <w:p>
            <w:pPr>
              <w:pStyle w:val="TableContents"/>
              <w:spacing w:before="0" w:after="283"/>
              <w:jc w:val="left"/>
              <w:rPr/>
            </w:pPr>
            <w:r>
              <w:rPr/>
              <w:t> </w:t>
            </w:r>
          </w:p>
        </w:tc>
      </w:tr>
      <w:tr>
        <w:trPr/>
        <w:tc>
          <w:tcPr>
            <w:tcW w:w="5076" w:type="dxa"/>
            <w:tcBorders/>
            <w:shd w:fill="auto" w:val="clear"/>
          </w:tcPr>
          <w:p>
            <w:pPr>
              <w:pStyle w:val="TableContents"/>
              <w:spacing w:before="0" w:after="283"/>
              <w:jc w:val="left"/>
              <w:rPr/>
            </w:pPr>
            <w:r>
              <w:rPr/>
              <w:t> </w:t>
            </w:r>
          </w:p>
        </w:tc>
        <w:tc>
          <w:tcPr>
            <w:tcW w:w="320" w:type="dxa"/>
            <w:tcBorders/>
            <w:shd w:fill="auto" w:val="clear"/>
          </w:tcPr>
          <w:p>
            <w:pPr>
              <w:pStyle w:val="TableContents"/>
              <w:spacing w:before="0" w:after="283"/>
              <w:jc w:val="left"/>
              <w:rPr/>
            </w:pPr>
            <w:r>
              <w:rPr/>
              <w:t> </w:t>
            </w:r>
          </w:p>
        </w:tc>
        <w:tc>
          <w:tcPr>
            <w:tcW w:w="3592" w:type="dxa"/>
            <w:tcBorders/>
            <w:shd w:fill="auto" w:val="clear"/>
          </w:tcPr>
          <w:p>
            <w:pPr>
              <w:pStyle w:val="TableContents"/>
              <w:spacing w:before="0" w:after="283"/>
              <w:jc w:val="left"/>
              <w:rPr/>
            </w:pPr>
            <w:r>
              <w:rPr/>
              <w:t> </w:t>
            </w:r>
          </w:p>
        </w:tc>
        <w:tc>
          <w:tcPr>
            <w:tcW w:w="1217" w:type="dxa"/>
            <w:tcBorders/>
            <w:shd w:fill="auto" w:val="clear"/>
          </w:tcPr>
          <w:p>
            <w:pPr>
              <w:pStyle w:val="TableContents"/>
              <w:spacing w:before="0" w:after="283"/>
              <w:jc w:val="left"/>
              <w:rPr/>
            </w:pPr>
            <w:r>
              <w:rPr/>
              <w:t> </w:t>
            </w:r>
          </w:p>
        </w:tc>
      </w:tr>
      <w:tr>
        <w:trPr/>
        <w:tc>
          <w:tcPr>
            <w:tcW w:w="50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Dated: August 14, 2013</w:t>
            </w:r>
          </w:p>
        </w:tc>
        <w:tc>
          <w:tcPr>
            <w:tcW w:w="3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59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i/>
                <w:sz w:val="20"/>
              </w:rPr>
            </w:pPr>
            <w:r>
              <w:rPr>
                <w:rFonts w:ascii="times new roman" w:hAnsi="times new roman"/>
                <w:i/>
                <w:sz w:val="20"/>
              </w:rPr>
              <w:t>/s/ Mark L. Baum</w:t>
            </w:r>
          </w:p>
        </w:tc>
        <w:tc>
          <w:tcPr>
            <w:tcW w:w="1217" w:type="dxa"/>
            <w:tcBorders/>
            <w:shd w:fill="auto" w:val="clear"/>
          </w:tcPr>
          <w:p>
            <w:pPr>
              <w:pStyle w:val="TableContents"/>
              <w:spacing w:before="0" w:after="283"/>
              <w:jc w:val="left"/>
              <w:rPr/>
            </w:pPr>
            <w:r>
              <w:rPr/>
              <w:t> </w:t>
            </w:r>
          </w:p>
        </w:tc>
      </w:tr>
      <w:tr>
        <w:trPr/>
        <w:tc>
          <w:tcPr>
            <w:tcW w:w="5396" w:type="dxa"/>
            <w:gridSpan w:val="2"/>
            <w:tcBorders/>
            <w:shd w:fill="auto" w:val="clear"/>
          </w:tcPr>
          <w:p>
            <w:pPr>
              <w:pStyle w:val="TableContents"/>
              <w:spacing w:before="0" w:after="283"/>
              <w:jc w:val="left"/>
              <w:rPr/>
            </w:pPr>
            <w:r>
              <w:rPr/>
              <w:t> </w:t>
            </w:r>
          </w:p>
        </w:tc>
        <w:tc>
          <w:tcPr>
            <w:tcW w:w="35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Mark L. Baum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Director</w:t>
            </w:r>
          </w:p>
          <w:p>
            <w:pPr>
              <w:pStyle w:val="TableContents"/>
              <w:spacing w:before="0" w:after="0"/>
              <w:ind w:left="0" w:right="0" w:hanging="0"/>
              <w:jc w:val="left"/>
              <w:rPr>
                <w:rFonts w:ascii="times new roman" w:hAnsi="times new roman"/>
                <w:sz w:val="20"/>
              </w:rPr>
            </w:pPr>
            <w:r>
              <w:rPr>
                <w:rFonts w:ascii="times new roman" w:hAnsi="times new roman"/>
                <w:sz w:val="20"/>
              </w:rPr>
              <w:t>(Principal Executive Officer)</w:t>
            </w:r>
          </w:p>
        </w:tc>
        <w:tc>
          <w:tcPr>
            <w:tcW w:w="1217" w:type="dxa"/>
            <w:tcBorders/>
            <w:shd w:fill="auto" w:val="clear"/>
          </w:tcPr>
          <w:p>
            <w:pPr>
              <w:pStyle w:val="TableContents"/>
              <w:spacing w:before="0" w:after="283"/>
              <w:jc w:val="left"/>
              <w:rPr/>
            </w:pPr>
            <w:r>
              <w:rPr/>
              <w:t> </w:t>
            </w:r>
          </w:p>
        </w:tc>
      </w:tr>
      <w:tr>
        <w:trPr/>
        <w:tc>
          <w:tcPr>
            <w:tcW w:w="5396" w:type="dxa"/>
            <w:gridSpan w:val="2"/>
            <w:tcBorders/>
            <w:shd w:fill="auto" w:val="clear"/>
          </w:tcPr>
          <w:p>
            <w:pPr>
              <w:pStyle w:val="TableContents"/>
              <w:spacing w:before="0" w:after="283"/>
              <w:jc w:val="left"/>
              <w:rPr/>
            </w:pPr>
            <w:r>
              <w:rPr/>
              <w:t> </w:t>
            </w:r>
          </w:p>
        </w:tc>
        <w:tc>
          <w:tcPr>
            <w:tcW w:w="3592" w:type="dxa"/>
            <w:tcBorders/>
            <w:shd w:fill="auto" w:val="clear"/>
          </w:tcPr>
          <w:p>
            <w:pPr>
              <w:pStyle w:val="TableContents"/>
              <w:spacing w:before="0" w:after="283"/>
              <w:jc w:val="left"/>
              <w:rPr/>
            </w:pPr>
            <w:r>
              <w:rPr/>
              <w:t> </w:t>
            </w:r>
          </w:p>
        </w:tc>
        <w:tc>
          <w:tcPr>
            <w:tcW w:w="1217" w:type="dxa"/>
            <w:tcBorders/>
            <w:shd w:fill="auto" w:val="clear"/>
          </w:tcPr>
          <w:p>
            <w:pPr>
              <w:pStyle w:val="TableContents"/>
              <w:spacing w:before="0" w:after="283"/>
              <w:jc w:val="left"/>
              <w:rPr/>
            </w:pPr>
            <w:r>
              <w:rPr/>
              <w:t> </w:t>
            </w:r>
          </w:p>
        </w:tc>
      </w:tr>
      <w:tr>
        <w:trPr/>
        <w:tc>
          <w:tcPr>
            <w:tcW w:w="5396" w:type="dxa"/>
            <w:gridSpan w:val="2"/>
            <w:tcBorders/>
            <w:shd w:fill="auto" w:val="clear"/>
          </w:tcPr>
          <w:p>
            <w:pPr>
              <w:pStyle w:val="TableContents"/>
              <w:spacing w:before="0" w:after="283"/>
              <w:jc w:val="left"/>
              <w:rPr/>
            </w:pPr>
            <w:r>
              <w:rPr/>
              <w:t> </w:t>
            </w:r>
          </w:p>
        </w:tc>
        <w:tc>
          <w:tcPr>
            <w:tcW w:w="3592" w:type="dxa"/>
            <w:tcBorders/>
            <w:shd w:fill="auto" w:val="clear"/>
          </w:tcPr>
          <w:p>
            <w:pPr>
              <w:pStyle w:val="TableContents"/>
              <w:spacing w:before="0" w:after="283"/>
              <w:jc w:val="left"/>
              <w:rPr/>
            </w:pPr>
            <w:r>
              <w:rPr/>
              <w:t> </w:t>
            </w:r>
          </w:p>
        </w:tc>
        <w:tc>
          <w:tcPr>
            <w:tcW w:w="1217" w:type="dxa"/>
            <w:tcBorders/>
            <w:shd w:fill="auto" w:val="clear"/>
          </w:tcPr>
          <w:p>
            <w:pPr>
              <w:pStyle w:val="TableContents"/>
              <w:spacing w:before="0" w:after="283"/>
              <w:jc w:val="left"/>
              <w:rPr/>
            </w:pPr>
            <w:r>
              <w:rPr/>
              <w:t> </w:t>
            </w:r>
          </w:p>
        </w:tc>
      </w:tr>
      <w:tr>
        <w:trPr/>
        <w:tc>
          <w:tcPr>
            <w:tcW w:w="5076" w:type="dxa"/>
            <w:tcBorders/>
            <w:shd w:fill="auto" w:val="clear"/>
          </w:tcPr>
          <w:p>
            <w:pPr>
              <w:pStyle w:val="TableContents"/>
              <w:spacing w:before="0" w:after="283"/>
              <w:rPr/>
            </w:pPr>
            <w:r>
              <w:rPr/>
              <w:t> </w:t>
            </w:r>
          </w:p>
        </w:tc>
        <w:tc>
          <w:tcPr>
            <w:tcW w:w="3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59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i/>
                <w:sz w:val="20"/>
              </w:rPr>
            </w:pPr>
            <w:r>
              <w:rPr>
                <w:rFonts w:ascii="times new roman" w:hAnsi="times new roman"/>
                <w:i/>
                <w:sz w:val="20"/>
              </w:rPr>
              <w:t>/s/ Andrew R. Boll</w:t>
            </w:r>
          </w:p>
        </w:tc>
        <w:tc>
          <w:tcPr>
            <w:tcW w:w="1217" w:type="dxa"/>
            <w:tcBorders/>
            <w:shd w:fill="auto" w:val="clear"/>
          </w:tcPr>
          <w:p>
            <w:pPr>
              <w:pStyle w:val="TableContents"/>
              <w:spacing w:before="0" w:after="283"/>
              <w:jc w:val="left"/>
              <w:rPr/>
            </w:pPr>
            <w:r>
              <w:rPr/>
              <w:t> </w:t>
            </w:r>
          </w:p>
        </w:tc>
      </w:tr>
      <w:tr>
        <w:trPr/>
        <w:tc>
          <w:tcPr>
            <w:tcW w:w="5396" w:type="dxa"/>
            <w:gridSpan w:val="2"/>
            <w:tcBorders/>
            <w:shd w:fill="auto" w:val="clear"/>
          </w:tcPr>
          <w:p>
            <w:pPr>
              <w:pStyle w:val="TableContents"/>
              <w:spacing w:before="0" w:after="283"/>
              <w:jc w:val="left"/>
              <w:rPr/>
            </w:pPr>
            <w:r>
              <w:rPr/>
              <w:t> </w:t>
            </w:r>
          </w:p>
        </w:tc>
        <w:tc>
          <w:tcPr>
            <w:tcW w:w="35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Andrew R. Boll</w:t>
            </w:r>
          </w:p>
          <w:p>
            <w:pPr>
              <w:pStyle w:val="TableContents"/>
              <w:spacing w:before="0" w:after="0"/>
              <w:ind w:left="0" w:right="0" w:hanging="0"/>
              <w:jc w:val="left"/>
              <w:rPr>
                <w:rFonts w:ascii="times new roman" w:hAnsi="times new roman"/>
                <w:sz w:val="20"/>
              </w:rPr>
            </w:pPr>
            <w:r>
              <w:rPr>
                <w:rFonts w:ascii="times new roman" w:hAnsi="times new roman"/>
                <w:sz w:val="20"/>
              </w:rPr>
              <w:t>Vice President, Accounting and Public Reporting</w:t>
            </w:r>
          </w:p>
          <w:p>
            <w:pPr>
              <w:pStyle w:val="TableContents"/>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1217" w:type="dxa"/>
            <w:tcBorders/>
            <w:shd w:fill="auto" w:val="clear"/>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0" w:name="PGBRK42"/>
      <w:bookmarkStart w:id="451" w:name="PGBRK42"/>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2" w:name="FTR42"/>
      <w:bookmarkStart w:id="453" w:name="FTR42"/>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4" w:name="GLFTR42"/>
      <w:bookmarkEnd w:id="4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5" w:name="PN42"/>
      <w:bookmarkEnd w:id="455"/>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6" w:name="HDR38"/>
      <w:bookmarkStart w:id="457" w:name="HDR38"/>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58" w:name="GLHDR42"/>
        <w:bookmarkEnd w:id="45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jc w:val="center"/>
        <w:rPr>
          <w:rFonts w:ascii="Times New Roman" w:hAnsi="Times New Roman"/>
          <w:b/>
          <w:sz w:val="20"/>
          <w:u w:val="single"/>
        </w:rPr>
      </w:pPr>
      <w:bookmarkStart w:id="459" w:name="EXHIBITINDEX"/>
      <w:bookmarkEnd w:id="459"/>
      <w:r>
        <w:rPr>
          <w:rFonts w:ascii="Times New Roman" w:hAnsi="Times New Roman"/>
          <w:b/>
          <w:sz w:val="20"/>
          <w:u w:val="single"/>
        </w:rPr>
        <w:t>EXHIBIT INDEX</w:t>
      </w:r>
    </w:p>
    <w:p>
      <w:pPr>
        <w:pStyle w:val="TextBody"/>
        <w:spacing w:before="0" w:after="0"/>
        <w:jc w:val="center"/>
        <w:rPr/>
      </w:pPr>
      <w:r>
        <w:rPr/>
        <w:t> </w:t>
      </w:r>
    </w:p>
    <w:tbl>
      <w:tblPr>
        <w:tblW w:w="5000" w:type="pct"/>
        <w:jc w:val="left"/>
        <w:tblInd w:w="0" w:type="dxa"/>
        <w:tblCellMar>
          <w:top w:w="0" w:type="dxa"/>
          <w:left w:w="0" w:type="dxa"/>
          <w:bottom w:w="28" w:type="dxa"/>
          <w:right w:w="0" w:type="dxa"/>
        </w:tblCellMar>
      </w:tblPr>
      <w:tblGrid>
        <w:gridCol w:w="816"/>
        <w:gridCol w:w="204"/>
        <w:gridCol w:w="9185"/>
      </w:tblGrid>
      <w:tr>
        <w:trPr/>
        <w:tc>
          <w:tcPr>
            <w:tcW w:w="816"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6"/>
              </w:rPr>
            </w:pPr>
            <w:r>
              <w:rPr>
                <w:rFonts w:ascii="times new roman" w:hAnsi="times new roman"/>
                <w:b/>
                <w:sz w:val="16"/>
              </w:rPr>
              <w:t>Exhibit Number</w:t>
            </w:r>
          </w:p>
        </w:tc>
        <w:tc>
          <w:tcPr>
            <w:tcW w:w="204" w:type="dxa"/>
            <w:tcBorders/>
            <w:shd w:fill="auto" w:val="clear"/>
            <w:tcMar>
              <w:bottom w:w="0" w:type="dxa"/>
            </w:tcMar>
            <w:vAlign w:val="center"/>
          </w:tcPr>
          <w:p>
            <w:pPr>
              <w:pStyle w:val="TableContents"/>
              <w:spacing w:before="0" w:after="283"/>
              <w:jc w:val="left"/>
              <w:rPr/>
            </w:pPr>
            <w:r>
              <w:rPr/>
              <w:t> </w:t>
            </w:r>
          </w:p>
        </w:tc>
        <w:tc>
          <w:tcPr>
            <w:tcW w:w="9185"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6"/>
              </w:rPr>
            </w:pPr>
            <w:r>
              <w:rPr>
                <w:rFonts w:ascii="times new roman" w:hAnsi="times new roman"/>
                <w:b/>
                <w:sz w:val="16"/>
              </w:rPr>
              <w:t>Description</w:t>
            </w:r>
          </w:p>
        </w:tc>
      </w:tr>
      <w:tr>
        <w:trPr/>
        <w:tc>
          <w:tcPr>
            <w:tcW w:w="816" w:type="dxa"/>
            <w:tcBorders/>
            <w:shd w:fill="auto" w:val="clear"/>
            <w:tcMar>
              <w:bottom w:w="0" w:type="dxa"/>
            </w:tcMar>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w:t>
            </w:r>
          </w:p>
        </w:tc>
        <w:tc>
          <w:tcPr>
            <w:tcW w:w="9185" w:type="dxa"/>
            <w:tcBorders/>
            <w:shd w:fill="auto"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w:t>
            </w:r>
          </w:p>
        </w:tc>
        <w:tc>
          <w:tcPr>
            <w:tcW w:w="204" w:type="dxa"/>
            <w:tcBorders/>
            <w:shd w:fill="CCEEFF" w:val="clear"/>
            <w:tcMar>
              <w:bottom w:w="0" w:type="dxa"/>
            </w:tcMar>
          </w:tcPr>
          <w:p>
            <w:pPr>
              <w:pStyle w:val="TableContents"/>
              <w:spacing w:before="0" w:after="283"/>
              <w:jc w:val="left"/>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Amended and Restated Employment Agreement, dated May 2, 2013, by and between the Company and Mark L. Baum (incorporated by reference to Exhibit 10.2 to the Quarterly Report on Form 10-Q filed with the Securities and Exchange Commission on May 8, 2013).</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10.2</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Imprimis Pharmaceuticals, Inc. Amended and Restated 2007 Stock Incentive and Awards Plan (incorporated by reference to Exhibit 10.3 to the Quarterly Report on Form 10-Q filed with the Securities and Exchange Commission on May 8, 2013)</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10.3</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Form of Restricted Stock Unit Agreement under the Imprimis Pharmaceuticals, Inc. Amended and Restated 2007 Stock Incentive and Awards Plan (incorporated by reference to Exhibit 10.3 to the Quarterly Report on Form 10-Q filed with the Securities and Exchange Commission on May 8, 2013)</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10.4*</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Performance Stock Unit Agreement, dated May 2, 2013, by and between the Company and Mark L. Baum</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10.5*</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Asset Purchase Agreement, dated June 11, 2013, by and between the Company and Buderer Drug Company, Inc. (Confidential treatment has been requested with respect to portions of this exhibit pursuant to Rule 24b-2 of the Securities Exchange Act of 1934 and these confidential portions have been redacted from the filing that is incorporated by reference. A complete copy of this exhibit, including the redacted terms, has been separately filed with the Securities and Exchange Commission.)</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31.1*</w:t>
            </w:r>
          </w:p>
        </w:tc>
        <w:tc>
          <w:tcPr>
            <w:tcW w:w="204" w:type="dxa"/>
            <w:tcBorders/>
            <w:shd w:fill="CCEEFF" w:val="clear"/>
            <w:tcMar>
              <w:bottom w:w="0" w:type="dxa"/>
            </w:tcMar>
          </w:tcPr>
          <w:p>
            <w:pPr>
              <w:pStyle w:val="TableContents"/>
              <w:spacing w:before="0" w:after="283"/>
              <w:jc w:val="left"/>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Certification of Mark L. Baum, Principal Executive Officer, pursuant to Rule 13a-14(a) or 15d-14(a) of the Securities and Exchange Act of 1934, as adopted pursuant to Section 302 of the Sarbanes- Oxley Act of 2002.</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31.2*</w:t>
            </w:r>
          </w:p>
        </w:tc>
        <w:tc>
          <w:tcPr>
            <w:tcW w:w="204" w:type="dxa"/>
            <w:tcBorders/>
            <w:shd w:fill="CCEEFF" w:val="clear"/>
            <w:tcMar>
              <w:bottom w:w="0" w:type="dxa"/>
            </w:tcMar>
          </w:tcPr>
          <w:p>
            <w:pPr>
              <w:pStyle w:val="TableContents"/>
              <w:spacing w:before="0" w:after="283"/>
              <w:jc w:val="left"/>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Certification of Andrew R. Boll, Principal Accounting and Financial Officer, pursuant to Rule 13a-14(a) or 15d-14(a) of the Securities and Exchange Act of 1934, as adopted pursuant to Section 302 of the Sarbanes- Oxley Act of 2002.</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32.1*</w:t>
            </w:r>
          </w:p>
        </w:tc>
        <w:tc>
          <w:tcPr>
            <w:tcW w:w="204" w:type="dxa"/>
            <w:tcBorders/>
            <w:shd w:fill="CCEEFF" w:val="clear"/>
            <w:tcMar>
              <w:bottom w:w="0" w:type="dxa"/>
            </w:tcMar>
          </w:tcPr>
          <w:p>
            <w:pPr>
              <w:pStyle w:val="TableContents"/>
              <w:spacing w:before="0" w:after="283"/>
              <w:jc w:val="left"/>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Certification pursuant to 18 U.S.C. Section 1350, as adopted pursuant to Section 906 of the Sarbanes-Oxley Act of 2002, executed by Mark L. Baum, Chief Executive Officer, and Andrew R. Boll, Principal Accounting and Financial Officer.</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101.INS**</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XBRL Instance Document</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101.SCH**</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XBRL Taxonomy Extension Schema</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101.CAL**</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XBRL Taxonomy Extension Calculation Linkbase</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both"/>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101.DEF**</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Taxonomy Extension Definition Linkbase</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101.LAB**</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Taxonomy Extension Label Linkbase</w:t>
            </w:r>
          </w:p>
        </w:tc>
      </w:tr>
      <w:tr>
        <w:trPr/>
        <w:tc>
          <w:tcPr>
            <w:tcW w:w="816"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rPr/>
            </w:pPr>
            <w:r>
              <w:rPr/>
              <w:t> </w:t>
            </w:r>
          </w:p>
        </w:tc>
        <w:tc>
          <w:tcPr>
            <w:tcW w:w="9185" w:type="dxa"/>
            <w:tcBorders/>
            <w:shd w:fill="FFFFFF" w:val="clear"/>
            <w:tcMar>
              <w:bottom w:w="0" w:type="dxa"/>
            </w:tcMar>
          </w:tcPr>
          <w:p>
            <w:pPr>
              <w:pStyle w:val="TableContents"/>
              <w:spacing w:before="0" w:after="283"/>
              <w:jc w:val="left"/>
              <w:rPr/>
            </w:pPr>
            <w:r>
              <w:rPr/>
              <w:t> </w:t>
            </w:r>
          </w:p>
        </w:tc>
      </w:tr>
      <w:tr>
        <w:trPr/>
        <w:tc>
          <w:tcPr>
            <w:tcW w:w="816"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101.PRE**</w:t>
            </w:r>
          </w:p>
        </w:tc>
        <w:tc>
          <w:tcPr>
            <w:tcW w:w="204" w:type="dxa"/>
            <w:tcBorders/>
            <w:shd w:fill="CCEEFF" w:val="clear"/>
            <w:tcMar>
              <w:bottom w:w="0" w:type="dxa"/>
            </w:tcMar>
          </w:tcPr>
          <w:p>
            <w:pPr>
              <w:pStyle w:val="TableContents"/>
              <w:spacing w:before="0" w:after="283"/>
              <w:rPr/>
            </w:pPr>
            <w:r>
              <w:rPr/>
              <w:t> </w:t>
            </w:r>
          </w:p>
        </w:tc>
        <w:tc>
          <w:tcPr>
            <w:tcW w:w="9185" w:type="dxa"/>
            <w:tcBorders/>
            <w:shd w:fill="CCEEFF" w:val="clear"/>
            <w:tcMar>
              <w:bottom w:w="0" w:type="dxa"/>
            </w:tcM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XBRL Taxonomy Extension Presentation Linkbase</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45</w:t>
      </w:r>
    </w:p>
    <w:p>
      <w:pPr>
        <w:pStyle w:val="HorizontalLine"/>
        <w:pBdr>
          <w:bottom w:val="single" w:sz="12" w:space="0" w:color="808080"/>
        </w:pBdr>
        <w:rPr/>
      </w:pPr>
      <w:r>
        <w:rPr/>
      </w:r>
      <w:r>
        <w:br w:type="page"/>
      </w:r>
    </w:p>
    <w:p>
      <w:pPr>
        <w:pStyle w:val="TextBody"/>
        <w:spacing w:before="0" w:after="0"/>
        <w:ind w:left="0" w:right="0" w:hanging="0"/>
        <w:jc w:val="right"/>
        <w:rPr>
          <w:rFonts w:ascii="Times New Roman" w:hAnsi="Times New Roman"/>
          <w:b/>
          <w:sz w:val="20"/>
        </w:rPr>
      </w:pPr>
      <w:bookmarkStart w:id="460" w:name="immy_ex104.htm"/>
      <w:bookmarkStart w:id="461" w:name="ksimmy_ex104"/>
      <w:bookmarkEnd w:id="460"/>
      <w:bookmarkEnd w:id="461"/>
      <w:r>
        <w:rPr>
          <w:rFonts w:ascii="Times New Roman" w:hAnsi="Times New Roman"/>
          <w:b/>
          <w:sz w:val="20"/>
        </w:rPr>
        <w:t>Exhibit 10.4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PERFORMANCE STOCK UNITS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May 2, 2013 (the “Grant Date”), Imprimis Pharmaceuticals, Inc., a Delaware corporation (the “Company”), has awarded to Mark Baum (“Grantee”) a targeted number of 1,050,000 (the “Target Number”) Performance Stock Units (the “Performance Stock Units” or “Award”) to be calculated and determined as discussed below.  Each Performance Stock Unit will represent an unfunded and unsecured promise of the Company to deliver shares of common stock, par value $0.01 per share, of the Company (the “Shares”) to Grantee as set forth herein. Each Performance Stock Unit will be subject to forfeiture until the date such Performance Stock Unit vests pursuant to Paragraph 1 of this Agreement.  The Performance Stock Units have been granted pursuant to the Imprimis Pharmaceuticals, Inc. Amended and Restated 2007 Incentive Stock and Awards Plan (the “Plan”), and shall be subject to all provisions of the Plan, which are incorporated herein by reference, and shall be subject to the provisions of this Agreement.  Capitalized terms used in this Agreement that are not specifically defined will have the meanings ascribed to such terms in the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w:t>
      </w:r>
      <w:r>
        <w:rPr>
          <w:rFonts w:ascii="Times New Roman" w:hAnsi="Times New Roman"/>
          <w:sz w:val="20"/>
          <w:u w:val="single"/>
        </w:rPr>
        <w:t>Vesting</w:t>
      </w:r>
      <w:r>
        <w:rPr>
          <w:rFonts w:ascii="Times New Roman" w:hAnsi="Times New Roman"/>
          <w:sz w:val="20"/>
        </w:rPr>
        <w:t>.  The Performance Stock Units consist of the following five tranches (each, a “Tranche”) that vest upon the attainment of the target share price (the “Target Share Price”) as specified below:</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532"/>
        <w:gridCol w:w="131"/>
        <w:gridCol w:w="3271"/>
        <w:gridCol w:w="130"/>
        <w:gridCol w:w="3141"/>
      </w:tblGrid>
      <w:tr>
        <w:trPr/>
        <w:tc>
          <w:tcPr>
            <w:tcW w:w="3532" w:type="dxa"/>
            <w:tcBorders/>
            <w:shd w:fill="auto" w:val="clear"/>
            <w:vAlign w:val="center"/>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xml:space="preserve">  </w:t>
            </w:r>
          </w:p>
        </w:tc>
        <w:tc>
          <w:tcPr>
            <w:tcW w:w="3271" w:type="dxa"/>
            <w:tcBorders/>
            <w:shd w:fill="auto" w:val="clear"/>
            <w:vAlign w:val="center"/>
          </w:tcPr>
          <w:p>
            <w:pPr>
              <w:pStyle w:val="TableContents"/>
              <w:spacing w:before="0" w:after="283"/>
              <w:rPr/>
            </w:pPr>
            <w:r>
              <w:rPr/>
              <w:t xml:space="preserve">  </w:t>
            </w:r>
          </w:p>
        </w:tc>
        <w:tc>
          <w:tcPr>
            <w:tcW w:w="130" w:type="dxa"/>
            <w:tcBorders/>
            <w:shd w:fill="auto" w:val="clear"/>
            <w:vAlign w:val="bottom"/>
          </w:tcPr>
          <w:p>
            <w:pPr>
              <w:pStyle w:val="TableContents"/>
              <w:spacing w:before="0" w:after="283"/>
              <w:rPr/>
            </w:pPr>
            <w:r>
              <w:rPr/>
              <w:t xml:space="preserve">  </w:t>
            </w:r>
          </w:p>
        </w:tc>
        <w:tc>
          <w:tcPr>
            <w:tcW w:w="3141" w:type="dxa"/>
            <w:tcBorders/>
            <w:shd w:fill="auto" w:val="clear"/>
            <w:vAlign w:val="center"/>
          </w:tcPr>
          <w:p>
            <w:pPr>
              <w:pStyle w:val="TableContents"/>
              <w:spacing w:before="0" w:after="283"/>
              <w:rPr/>
            </w:pPr>
            <w:r>
              <w:rPr/>
              <w:t xml:space="preserve">  </w:t>
            </w:r>
          </w:p>
        </w:tc>
      </w:tr>
      <w:tr>
        <w:trPr/>
        <w:tc>
          <w:tcPr>
            <w:tcW w:w="3532" w:type="dxa"/>
            <w:tcBorders>
              <w:bottom w:val="single" w:sz="12"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Tranche</w:t>
            </w:r>
          </w:p>
        </w:tc>
        <w:tc>
          <w:tcPr>
            <w:tcW w:w="131" w:type="dxa"/>
            <w:tcBorders/>
            <w:shd w:fill="auto" w:val="clear"/>
            <w:vAlign w:val="bottom"/>
          </w:tcPr>
          <w:p>
            <w:pPr>
              <w:pStyle w:val="TableContents"/>
              <w:spacing w:before="0" w:after="0"/>
              <w:ind w:left="0" w:right="0" w:hanging="0"/>
              <w:jc w:val="both"/>
              <w:rPr/>
            </w:pPr>
            <w:r>
              <w:rPr/>
              <w:t>  </w:t>
            </w:r>
          </w:p>
        </w:tc>
        <w:tc>
          <w:tcPr>
            <w:tcW w:w="3271" w:type="dxa"/>
            <w:tcBorders>
              <w:bottom w:val="single" w:sz="12"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 of Shares</w:t>
            </w:r>
          </w:p>
        </w:tc>
        <w:tc>
          <w:tcPr>
            <w:tcW w:w="130" w:type="dxa"/>
            <w:tcBorders/>
            <w:shd w:fill="auto" w:val="clear"/>
            <w:vAlign w:val="bottom"/>
          </w:tcPr>
          <w:p>
            <w:pPr>
              <w:pStyle w:val="TableContents"/>
              <w:spacing w:before="0" w:after="0"/>
              <w:ind w:left="0" w:right="0" w:hanging="0"/>
              <w:jc w:val="both"/>
              <w:rPr/>
            </w:pPr>
            <w:r>
              <w:rPr/>
              <w:t>  </w:t>
            </w:r>
          </w:p>
        </w:tc>
        <w:tc>
          <w:tcPr>
            <w:tcW w:w="3141" w:type="dxa"/>
            <w:tcBorders>
              <w:bottom w:val="single" w:sz="12"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Target Share Price</w:t>
            </w:r>
          </w:p>
        </w:tc>
      </w:tr>
      <w:tr>
        <w:trPr/>
        <w:tc>
          <w:tcPr>
            <w:tcW w:w="35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Tranche 1</w:t>
            </w:r>
          </w:p>
        </w:tc>
        <w:tc>
          <w:tcPr>
            <w:tcW w:w="131" w:type="dxa"/>
            <w:tcBorders/>
            <w:shd w:fill="auto" w:val="clear"/>
            <w:vAlign w:val="bottom"/>
          </w:tcPr>
          <w:p>
            <w:pPr>
              <w:pStyle w:val="TableContents"/>
              <w:spacing w:before="0" w:after="283"/>
              <w:rPr/>
            </w:pPr>
            <w:r>
              <w:rPr/>
              <w:t xml:space="preserve">  </w:t>
            </w:r>
          </w:p>
        </w:tc>
        <w:tc>
          <w:tcPr>
            <w:tcW w:w="327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19.05% of Target Number</w:t>
            </w:r>
          </w:p>
        </w:tc>
        <w:tc>
          <w:tcPr>
            <w:tcW w:w="130" w:type="dxa"/>
            <w:tcBorders/>
            <w:shd w:fill="auto" w:val="clear"/>
            <w:vAlign w:val="bottom"/>
          </w:tcPr>
          <w:p>
            <w:pPr>
              <w:pStyle w:val="TableContents"/>
              <w:spacing w:before="0" w:after="0"/>
              <w:ind w:left="0" w:right="0" w:hanging="0"/>
              <w:jc w:val="both"/>
              <w:rPr/>
            </w:pPr>
            <w:r>
              <w:rPr/>
              <w:t>  </w:t>
            </w:r>
          </w:p>
        </w:tc>
        <w:tc>
          <w:tcPr>
            <w:tcW w:w="31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$10.00 or greater</w:t>
            </w:r>
          </w:p>
        </w:tc>
      </w:tr>
      <w:tr>
        <w:trPr/>
        <w:tc>
          <w:tcPr>
            <w:tcW w:w="35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Tranche 2</w:t>
            </w:r>
          </w:p>
        </w:tc>
        <w:tc>
          <w:tcPr>
            <w:tcW w:w="131" w:type="dxa"/>
            <w:tcBorders/>
            <w:shd w:fill="auto" w:val="clear"/>
            <w:vAlign w:val="bottom"/>
          </w:tcPr>
          <w:p>
            <w:pPr>
              <w:pStyle w:val="TableContents"/>
              <w:spacing w:before="0" w:after="0"/>
              <w:ind w:left="0" w:right="0" w:hanging="0"/>
              <w:jc w:val="both"/>
              <w:rPr/>
            </w:pPr>
            <w:r>
              <w:rPr/>
              <w:t>  </w:t>
            </w:r>
          </w:p>
        </w:tc>
        <w:tc>
          <w:tcPr>
            <w:tcW w:w="327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19.05% of Target Number</w:t>
            </w:r>
          </w:p>
        </w:tc>
        <w:tc>
          <w:tcPr>
            <w:tcW w:w="130" w:type="dxa"/>
            <w:tcBorders/>
            <w:shd w:fill="auto" w:val="clear"/>
            <w:vAlign w:val="bottom"/>
          </w:tcPr>
          <w:p>
            <w:pPr>
              <w:pStyle w:val="TableContents"/>
              <w:spacing w:before="0" w:after="0"/>
              <w:ind w:left="0" w:right="0" w:hanging="0"/>
              <w:jc w:val="both"/>
              <w:rPr/>
            </w:pPr>
            <w:r>
              <w:rPr/>
              <w:t>  </w:t>
            </w:r>
          </w:p>
        </w:tc>
        <w:tc>
          <w:tcPr>
            <w:tcW w:w="31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$15.00 or greater</w:t>
            </w:r>
          </w:p>
        </w:tc>
      </w:tr>
      <w:tr>
        <w:trPr/>
        <w:tc>
          <w:tcPr>
            <w:tcW w:w="35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Tranche 3</w:t>
            </w:r>
          </w:p>
        </w:tc>
        <w:tc>
          <w:tcPr>
            <w:tcW w:w="131" w:type="dxa"/>
            <w:tcBorders/>
            <w:shd w:fill="auto" w:val="clear"/>
            <w:vAlign w:val="bottom"/>
          </w:tcPr>
          <w:p>
            <w:pPr>
              <w:pStyle w:val="TableContents"/>
              <w:spacing w:before="0" w:after="0"/>
              <w:ind w:left="0" w:right="0" w:hanging="0"/>
              <w:jc w:val="both"/>
              <w:rPr/>
            </w:pPr>
            <w:r>
              <w:rPr/>
              <w:t>  </w:t>
            </w:r>
          </w:p>
        </w:tc>
        <w:tc>
          <w:tcPr>
            <w:tcW w:w="327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19.05% of Target Number</w:t>
            </w:r>
          </w:p>
        </w:tc>
        <w:tc>
          <w:tcPr>
            <w:tcW w:w="130" w:type="dxa"/>
            <w:tcBorders/>
            <w:shd w:fill="auto" w:val="clear"/>
            <w:vAlign w:val="bottom"/>
          </w:tcPr>
          <w:p>
            <w:pPr>
              <w:pStyle w:val="TableContents"/>
              <w:spacing w:before="0" w:after="0"/>
              <w:ind w:left="0" w:right="0" w:hanging="0"/>
              <w:jc w:val="both"/>
              <w:rPr/>
            </w:pPr>
            <w:r>
              <w:rPr/>
              <w:t>  </w:t>
            </w:r>
          </w:p>
        </w:tc>
        <w:tc>
          <w:tcPr>
            <w:tcW w:w="31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$20.00 or greater</w:t>
            </w:r>
          </w:p>
        </w:tc>
      </w:tr>
      <w:tr>
        <w:trPr/>
        <w:tc>
          <w:tcPr>
            <w:tcW w:w="35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Tranche 4</w:t>
            </w:r>
          </w:p>
        </w:tc>
        <w:tc>
          <w:tcPr>
            <w:tcW w:w="131" w:type="dxa"/>
            <w:tcBorders/>
            <w:shd w:fill="auto" w:val="clear"/>
            <w:vAlign w:val="bottom"/>
          </w:tcPr>
          <w:p>
            <w:pPr>
              <w:pStyle w:val="TableContents"/>
              <w:spacing w:before="0" w:after="0"/>
              <w:ind w:left="0" w:right="0" w:hanging="0"/>
              <w:jc w:val="both"/>
              <w:rPr/>
            </w:pPr>
            <w:r>
              <w:rPr/>
              <w:t>  </w:t>
            </w:r>
          </w:p>
        </w:tc>
        <w:tc>
          <w:tcPr>
            <w:tcW w:w="327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19.05% of Target Number</w:t>
            </w:r>
          </w:p>
        </w:tc>
        <w:tc>
          <w:tcPr>
            <w:tcW w:w="130" w:type="dxa"/>
            <w:tcBorders/>
            <w:shd w:fill="auto" w:val="clear"/>
            <w:vAlign w:val="bottom"/>
          </w:tcPr>
          <w:p>
            <w:pPr>
              <w:pStyle w:val="TableContents"/>
              <w:spacing w:before="0" w:after="0"/>
              <w:ind w:left="0" w:right="0" w:hanging="0"/>
              <w:jc w:val="both"/>
              <w:rPr/>
            </w:pPr>
            <w:r>
              <w:rPr/>
              <w:t>  </w:t>
            </w:r>
          </w:p>
        </w:tc>
        <w:tc>
          <w:tcPr>
            <w:tcW w:w="31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$25.00 or greater</w:t>
            </w:r>
          </w:p>
        </w:tc>
      </w:tr>
      <w:tr>
        <w:trPr/>
        <w:tc>
          <w:tcPr>
            <w:tcW w:w="35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Tranche 5</w:t>
            </w:r>
          </w:p>
        </w:tc>
        <w:tc>
          <w:tcPr>
            <w:tcW w:w="131" w:type="dxa"/>
            <w:tcBorders/>
            <w:shd w:fill="auto" w:val="clear"/>
            <w:vAlign w:val="bottom"/>
          </w:tcPr>
          <w:p>
            <w:pPr>
              <w:pStyle w:val="TableContents"/>
              <w:spacing w:before="0" w:after="0"/>
              <w:ind w:left="0" w:right="0" w:hanging="0"/>
              <w:jc w:val="both"/>
              <w:rPr/>
            </w:pPr>
            <w:r>
              <w:rPr/>
              <w:t>  </w:t>
            </w:r>
          </w:p>
        </w:tc>
        <w:tc>
          <w:tcPr>
            <w:tcW w:w="327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23.8% of Target Number</w:t>
            </w:r>
          </w:p>
        </w:tc>
        <w:tc>
          <w:tcPr>
            <w:tcW w:w="130" w:type="dxa"/>
            <w:tcBorders/>
            <w:shd w:fill="auto" w:val="clear"/>
            <w:vAlign w:val="bottom"/>
          </w:tcPr>
          <w:p>
            <w:pPr>
              <w:pStyle w:val="TableContents"/>
              <w:spacing w:before="0" w:after="0"/>
              <w:ind w:left="0" w:right="0" w:hanging="0"/>
              <w:jc w:val="both"/>
              <w:rPr/>
            </w:pPr>
            <w:r>
              <w:rPr/>
              <w:t>  </w:t>
            </w:r>
          </w:p>
        </w:tc>
        <w:tc>
          <w:tcPr>
            <w:tcW w:w="314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$30.00 or greater</w:t>
            </w:r>
          </w:p>
        </w:tc>
      </w:tr>
    </w:tbl>
    <w:p>
      <w:pPr>
        <w:pStyle w:val="TextBody"/>
        <w:spacing w:before="0" w:after="0"/>
        <w:ind w:left="0" w:right="0" w:hanging="0"/>
        <w:jc w:val="both"/>
        <w:rPr>
          <w:rFonts w:ascii="Times New Roman" w:hAnsi="Times New Roman"/>
          <w:sz w:val="20"/>
        </w:rPr>
      </w:pPr>
      <w:r>
        <w:rPr>
          <w:rFonts w:ascii="Times New Roman" w:hAnsi="Times New Roman"/>
          <w:sz w:val="20"/>
        </w:rPr>
        <w:t>Each Tranche may only vest once.  Except as otherwise specified below, for each respective Tranche to vest, all three of the following conditions must be met: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a Trigger Date may occur any time after the Grant Date.  A “Trigger Date” means any trading day on which the official closing price per Share (the “Closing Price”) is at or above the Target Share Price for the respective Tranche.  Notwithstanding the foregoing, the Committee will, in such manner as the Committee determines is appropriate in its discretion, include the value of stock dividends distributed to the stockholders of the Company in connection with spin-offs or similar transactions for purposes of determining whether the Target Share Price has been achieved;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           during the period that includes the Trigger Date and the immediately following 19 trading days (each, a “Measurement Period”), the arithmetic mean of the 20 Closing Prices during the Measurement Period must be at or above the Target Share Price for such Tranche (the “20 Closing Price Condition”);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           the Grantee must be in continuous service with the Company and its Affiliates through the third anniversary of the Grant Date (the “Service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the extent all three of the above conditions are met, the third anniversary of the Grant Date shall be the “Vesting Date.” If the Grantee’s employment is terminated as a result of death or Disability, in each case before the third anniversary of the Grant Date, then all Tranches for which a Trigger Date has occurred and the 20 Closing Price Condition has been satisfied on or before the date of termination but which are not vested solely because the date of termination occurs before the third anniversary of the Grant Date shall vest, and the date of termination shall be the Vesting Date.  If the Grantee’s employment is terminated by the Company other than a termination for Cause (as defined in his Employment Agreement), or by the Grantee for Good Reason (as defined in his Employment Agreement), in each case before the third anniversary of the Grant Date, then (i) all Tranches for which a Trigger Date has occurred and the 20 Closing Price Condition has been satisfied on or before the date of termination but which are not vested solely because the Service Condition has not been satisfied shall vest, and the date of termination shall be the Vesting Date; and (ii) all Tranches for which a Trigger Date occurs and the 20 Closing Price Condition has been satisfied on or after the date of termination but on or before the first anniversary of the date of termination and with respect to which the Grantee would have vested had he satisfied the Service Condition shall vest on the date on which both the Trigger Date occurs and the 20 Closing Price Condition has been satisfied and such date shall be the Vesting Date; provided that the Grantee executes and delivers the Release contemplated by the Employment Agreement to the Company within twenty-one (21) days following the date of termination, without revocation or modification; provided, further, that if a Change of Control has occurred prior to such termination, the subsequent sentence shall govern, and in no event shall the Vesting Date or a Trigger Date extend beyond the third anniversary of the Grant Date.  If, after the first anniversary but before the third anniversary of the Grant Date, the Grantee’s employment is terminated by the Company or its successor without Cause or by the Grantee for Good Reason (as defined under his Employment Agreement), in either case within one (1) year after a Change of Control, then the following Tranches shall vest, and the date of termination shall be the Vesting Date: (i) all Tranches for which a Trigger Date has occurred and the 20 Closing Price Condition has been satisfied on or immediately before the Change of Control but which are not vested solely because the Grantee has not satisfied the Service Condition; and (ii) all other Tranches with a Target Share Price at or below the per-Share transaction consideration received by stockholders of the Company upon the Change of Control (as determined in accordance with the terms and conditions of the applicable definitive agreement that results in the Change of Control), provided that the Grantee executes and delivers the Release contemplated by the Employment Agreement to the Company within twenty-one (21) days following the date of termination, without revocation or modification.  Any Tranche that has not vested by the third anniversary of the Grant Date shall expire.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2" w:name="PGBRK43"/>
      <w:bookmarkStart w:id="463" w:name="PGBRK43"/>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4" w:name="FTR43"/>
      <w:bookmarkStart w:id="465" w:name="FTR43"/>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6" w:name="GLFTR43"/>
      <w:bookmarkEnd w:id="4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7" w:name="PN43"/>
      <w:bookmarkEnd w:id="46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8" w:name="HDR39"/>
      <w:bookmarkStart w:id="469" w:name="HDR39"/>
      <w:bookmarkEnd w:id="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0" w:name="GLHDR43"/>
      <w:bookmarkEnd w:id="4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w:t>
      </w:r>
      <w:r>
        <w:rPr>
          <w:rFonts w:ascii="Times New Roman" w:hAnsi="Times New Roman"/>
          <w:sz w:val="20"/>
          <w:u w:val="single"/>
        </w:rPr>
        <w:t>Transferability</w:t>
      </w:r>
      <w:r>
        <w:rPr>
          <w:rFonts w:ascii="Times New Roman" w:hAnsi="Times New Roman"/>
          <w:sz w:val="20"/>
        </w:rPr>
        <w:t>.  The Performance Stock Units shall not be transferable.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w:t>
      </w:r>
      <w:r>
        <w:rPr>
          <w:rFonts w:ascii="Times New Roman" w:hAnsi="Times New Roman"/>
          <w:sz w:val="20"/>
          <w:u w:val="single"/>
        </w:rPr>
        <w:t>Termination of Employment</w:t>
      </w:r>
      <w:r>
        <w:rPr>
          <w:rFonts w:ascii="Times New Roman" w:hAnsi="Times New Roman"/>
          <w:sz w:val="20"/>
        </w:rPr>
        <w:t>.  Except as set forth in Paragraph 1, if a termination of employment of Grantee occurs prior to the vesting in full of the Performance Stock Units, any unvested portion of such Performance Stock Units shall be forfeited by Grantee.</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4.           </w:t>
      </w:r>
      <w:r>
        <w:rPr>
          <w:rFonts w:ascii="Times New Roman" w:hAnsi="Times New Roman"/>
          <w:sz w:val="20"/>
          <w:u w:val="single"/>
        </w:rPr>
        <w:t>Triggering Conduct</w:t>
      </w:r>
      <w:r>
        <w:rPr>
          <w:rFonts w:ascii="Times New Roman" w:hAnsi="Times New Roman"/>
          <w:sz w:val="20"/>
        </w:rPr>
        <w:t>. As used in this Agreement, “Triggering Conduct” shall mean Grantee’s material breach of any provision of Section </w:t>
      </w:r>
      <w:hyperlink w:anchor="_Ref354487401">
        <w:r>
          <w:rPr>
            <w:rStyle w:val="InternetLink"/>
            <w:rFonts w:ascii="Times New Roman" w:hAnsi="Times New Roman"/>
            <w:sz w:val="20"/>
          </w:rPr>
          <w:t>7</w:t>
        </w:r>
      </w:hyperlink>
      <w:r>
        <w:rPr>
          <w:rFonts w:ascii="Times New Roman" w:hAnsi="Times New Roman"/>
          <w:sz w:val="20"/>
        </w:rPr>
        <w:t xml:space="preserve"> of the Employment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5.           </w:t>
      </w:r>
      <w:r>
        <w:rPr>
          <w:rFonts w:ascii="Times New Roman" w:hAnsi="Times New Roman"/>
          <w:sz w:val="20"/>
          <w:u w:val="single"/>
        </w:rPr>
        <w:t>Special Forfeiture/Repayment Rules</w:t>
      </w:r>
      <w:r>
        <w:rPr>
          <w:rFonts w:ascii="Times New Roman" w:hAnsi="Times New Roman"/>
          <w:sz w:val="20"/>
        </w:rPr>
        <w:t>.  For so long as Grantee continues as an employee with the Imprimis Group and for one year following termination of employment regardless of the reason, Grantee agrees not to engage in Triggering Conduct. If Grantee engages in Triggering Conduct during the time period set forth in the preceding sentence, then Grantee shall, within 30 days following written notice from the Company, pay to the Company an amount equal to (x) the aggregate gross gain realized or obtained by Grantee resulting from the settlement of all Performance Stock Units pursuant to Paragraph 6 hereof (measured as of the settlement date (i.e., the market value of the Performance Stock Units on such settlement date)) that have already been settled and that had vested at any time within three years prior to the Triggering Conduct (the “Look-Back Period”), minus (y) $1.00.  Grantee may be released from Grantee’s obligations under this Paragraph 5 if and only if the Committee (or its duly appointed designee) authorizes, in writing and in its sole discretion, such release.  Nothing in this Paragraph 5 constitutes a so-called “noncompete” covenant.  This Paragraph 5 does, however, prohibit certain conduct while Grantee is associated with the Imprimis Group and thereafter and does provide for the forfeiture or repayment of the benefits granted by this Agreement under certain circumstances.  No provisions of this Agreement shall diminish, negate or otherwise impact any separate agreement to which Grantee may be a party, including, but not limited to, any certificate of compliance or similar attestation/certification signed by Grantee; provided, however, that to the extent that any provisions contained in any other agreement are inconsistent in any manner with the restrictions and covenants of Grantee contained in this Agreement, the provisions of this Agreement shall take precedence and such other inconsistent provisions shall be null and void as to this Agreement.  Grantee acknowledges and agrees that the restrictions contained in this Agreement are being made for the benefit of the Company in consideration of Grantee’s receipt of the Performance Stock Units, in consideration of employment, in consideration of exposing Grantee to the Company’s business operations and confidential information, and for other good and valuable consideration, the adequacy of which consideration is hereby expressly confirmed.  Grantee further acknowledges that the receipt of the Performance Stock Units and execution of this Agreement are voluntary actions on the part of Grantee and that the Company is unwilling to provide the Performance Stock Units to Grantee without including the restrictions and covenants of Grantee contained in this Agreement. Further, the parties agree and acknowledge that the provisions contained in Paragraphs 4 and 5 are ancillary to, or part of, an otherwise enforceable agreement at the time the agreement is made.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6.           </w:t>
      </w:r>
      <w:r>
        <w:rPr>
          <w:rFonts w:ascii="Times New Roman" w:hAnsi="Times New Roman"/>
          <w:sz w:val="20"/>
          <w:u w:val="single"/>
        </w:rPr>
        <w:t>Payment</w:t>
      </w:r>
      <w:r>
        <w:rPr>
          <w:rFonts w:ascii="Times New Roman" w:hAnsi="Times New Roman"/>
          <w:sz w:val="20"/>
        </w:rPr>
        <w:t>.  Subject to the provisions of Paragraphs 4 and 5 of this Agreement, and unless Grantee makes an effective election to defer receipt of the Shares represented by the Performance Stock Units, on the Vesting Date, Grantee shall be entitled to receive from the Company (without any payment on behalf of Grantee other than as described in Paragraph 10) the Shares represented by such Performance Stock Unit; provided, however, that where the vesting of any Restricted Stock Unit occurs in connection with Grantee’s termination without Cause, resignation for Good Reason or termination due to Disability, Section 409A of the Code applies to the distribution in connection with such acceleration and Grantee is a “specified employee” (determined in accordance with Section 409A of the Code), Grantee shall be entitled to receive the corresponding Shares from the Company on the date that is the first day of the seventh month after Grantee’s “separation from service” with the Company (determined in accordance with Section 409A of the Code).  Elections to defer receipt of the Shares beyond the date of settlement provided herein may be permitted in the discretion of the Committee pursuant to procedures established by the Committee in compliance with the requirements of Section 409A of the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7.           </w:t>
      </w:r>
      <w:r>
        <w:rPr>
          <w:rFonts w:ascii="Times New Roman" w:hAnsi="Times New Roman"/>
          <w:sz w:val="20"/>
          <w:u w:val="single"/>
        </w:rPr>
        <w:t>Dividend Equivalents</w:t>
      </w:r>
      <w:r>
        <w:rPr>
          <w:rFonts w:ascii="Times New Roman" w:hAnsi="Times New Roman"/>
          <w:sz w:val="20"/>
        </w:rPr>
        <w:t>. Grantee shall not be entitled to receive any cash dividends on the Performance Stock Units.  However, to the extent the Company determines to pay a cash dividend to holders of the Common Stock, a Grantee shall, with respect to each Performance Stock Unit, be entitled to receive a cash payment from the Company on each cash dividend payment date with respect to the Shares with a record date between the Grant Date and the settlement of such unit pursuant to Paragraph 6 hereof, such cash payment to be in an amount equal to the dividend that would have been paid on the Common Stock represented by such unit.  Cash payments on each cash dividend payment date with respect to the Shares with a record date prior to a Vesting Date shall be accrued until the Vesting Date and paid thereon (subject to the same vesting requirements as the underlying Performance Stock Units award).  Elections to defer receipt of the cash payments in lieu of cash dividends beyond the date of settlement provided herein may be permitted in the discretion of the Committee pursuant to procedures established by the Company in compliance with the requirements of Section 409A of the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8.           </w:t>
      </w:r>
      <w:r>
        <w:rPr>
          <w:rFonts w:ascii="Times New Roman" w:hAnsi="Times New Roman"/>
          <w:sz w:val="20"/>
          <w:u w:val="single"/>
        </w:rPr>
        <w:t>Right of Set-Off</w:t>
      </w:r>
      <w:r>
        <w:rPr>
          <w:rFonts w:ascii="Times New Roman" w:hAnsi="Times New Roman"/>
          <w:sz w:val="20"/>
        </w:rPr>
        <w:t>.  By accepting these Performance Stock Units, Grantee consents to a deduction from, and set-off against, any amounts owed to Grantee that are not treated as “non-qualified deferred compensation” under Section 409A of the Code by any member of the Imprimis Group from time to time (including, but not limited to, amounts owed to Grantee as wages, severance payments or other fringe benefits) to the extent of the amounts owed to the Imprimis Group by Grantee under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9.           </w:t>
      </w:r>
      <w:r>
        <w:rPr>
          <w:rFonts w:ascii="Times New Roman" w:hAnsi="Times New Roman"/>
          <w:sz w:val="20"/>
          <w:u w:val="single"/>
        </w:rPr>
        <w:t>No Stockholder Rights</w:t>
      </w:r>
      <w:r>
        <w:rPr>
          <w:rFonts w:ascii="Times New Roman" w:hAnsi="Times New Roman"/>
          <w:sz w:val="20"/>
        </w:rPr>
        <w:t>.  Grantee shall have no rights of a stockholder with respect to the Performance Stock Units, including, without limitation, any right to vote the Shares represented by the Performance Stock Units.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1" w:name="PGBRK44"/>
      <w:bookmarkStart w:id="472" w:name="PGBRK44"/>
      <w:bookmarkEnd w:id="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 w:name="FTR44"/>
      <w:bookmarkStart w:id="474" w:name="FTR44"/>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5" w:name="GLFTR44"/>
      <w:bookmarkEnd w:id="4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6" w:name="PN44"/>
      <w:bookmarkEnd w:id="47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7" w:name="HDR40"/>
      <w:bookmarkStart w:id="478" w:name="HDR40"/>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9" w:name="GLHDR44"/>
      <w:bookmarkEnd w:id="4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10.           </w:t>
      </w:r>
      <w:r>
        <w:rPr>
          <w:rFonts w:ascii="Times New Roman" w:hAnsi="Times New Roman"/>
          <w:sz w:val="20"/>
          <w:u w:val="single"/>
        </w:rPr>
        <w:t>Withholding Tax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Generally</w:t>
      </w:r>
      <w:r>
        <w:rPr>
          <w:rFonts w:ascii="Times New Roman" w:hAnsi="Times New Roman"/>
          <w:sz w:val="20"/>
        </w:rPr>
        <w:t>.  Grantee is liable and responsible for all taxes owed in connection with the Performance Stock Units (including taxes owed with respect to any cash payments described in Paragraph 7 hereof), regardless of any action the Company takes with respect to any tax withholding obligations that arise in connection with the Performance Stock Units.  The Company does not make any representation or undertaking regarding the tax treatment or the treatment of any tax withholding in connection with the grant or vesting of the Performance Stock Units or the subsequent sale of Shares issuable upon settlement of the Performance Stock Units.  The Company does not commit and is under no obligation to structure the Performance Stock Units to reduce or eliminate Grantee’s tax liability.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Payment of Withholding Taxes</w:t>
      </w:r>
      <w:r>
        <w:rPr>
          <w:rFonts w:ascii="Times New Roman" w:hAnsi="Times New Roman"/>
          <w:sz w:val="20"/>
        </w:rPr>
        <w:t>.  Prior to any event in connection with the Performance Stock Units (e.g., vesting or settlement) that the Company determines may result in any domestic or foreign tax withholding obligation, whether national, federal, state or local, including any employment tax obligation (the “Tax Withholding Obligation”), Grantee is required to arrange for the satisfaction of the minimum amount of such Tax Withholding Obligation in a manner acceptable to the Company.  Unless Grantee elects to satisfy the Tax Withholding Obligation by an alternative means that is then permitted by the Company, Grantee’s acceptance of this Agreement constitutes Grantee’s instruction and authorization to the Company to retain on Grantee’s behalf the number of Shares from those Shares issuable to Grantee under the Award as the Company determines to be sufficient to satisfy the Tax Withholding Obligation as owed when any such obligation becomes due.  The value of any Shares retained for such purposes shall be based on the Fair Market Value, as the term is defined in the Plan, of the Shares on the date of vesting of the Performance Stock Units.  To the extent that the Company retains any Shares to cover the Tax Withholding Obligation, it will do so at the minimum statutory rate, but in no event shall such amount exceed the minimum required by applicable law and regulations.  The Company shall have the right to deduct from all cash payments paid pursuant to Paragraph 7 hereof the amount of any taxes which the Company is required to withhold with respect to such payments.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11.           </w:t>
      </w:r>
      <w:r>
        <w:rPr>
          <w:rFonts w:ascii="Times New Roman" w:hAnsi="Times New Roman"/>
          <w:sz w:val="20"/>
          <w:u w:val="single"/>
        </w:rPr>
        <w:t>Governing Law/Venue for Dispute Resolution/Costs and Legal Fees</w:t>
      </w:r>
      <w:r>
        <w:rPr>
          <w:rFonts w:ascii="Times New Roman" w:hAnsi="Times New Roman"/>
          <w:sz w:val="20"/>
        </w:rPr>
        <w:t>.  This Agreement shall be governed by the laws of the State of Delaware, without regard to principles of conflicts of law, except to the extent superseded by the laws of the United States of America.  The parties agree and acknowledge that the laws of the State of Delaware bear a substantial relationship to the parties and/or this Agreement and that the Performance Stock Units and benefits granted herein would not be granted without the governance of this Agreement by the laws of the State of Delaware.  In addition, all disputes relating to this Agreement shall be resolved exclusively pursuant to the terms of Section </w:t>
      </w:r>
      <w:hyperlink w:anchor="_Ref354487745">
        <w:r>
          <w:rPr>
            <w:rStyle w:val="InternetLink"/>
            <w:rFonts w:ascii="Times New Roman" w:hAnsi="Times New Roman"/>
            <w:sz w:val="20"/>
          </w:rPr>
          <w:t>17</w:t>
        </w:r>
      </w:hyperlink>
      <w:r>
        <w:rPr>
          <w:rFonts w:ascii="Times New Roman" w:hAnsi="Times New Roman"/>
          <w:sz w:val="20"/>
        </w:rPr>
        <w:t xml:space="preserve"> of the Employment Agreement between Grantee and the Company dated May 2,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12.           </w:t>
      </w:r>
      <w:r>
        <w:rPr>
          <w:rFonts w:ascii="Times New Roman" w:hAnsi="Times New Roman"/>
          <w:sz w:val="20"/>
          <w:u w:val="single"/>
        </w:rPr>
        <w:t>Action by the Committee</w:t>
      </w:r>
      <w:r>
        <w:rPr>
          <w:rFonts w:ascii="Times New Roman" w:hAnsi="Times New Roman"/>
          <w:sz w:val="20"/>
        </w:rPr>
        <w:t>.  The parties agree that the interpretation of this Agreement shall rest exclusively and completely within the sole discretion of the Committee.  The parties agree to be bound by the decisions of the Committee with regard to the interpretation of this Agreement and with regard to any and all matters set forth in this Agreement.  The Committee may delegate its functions under this Agreement to an officer of the Imprimis Group designated by the Committee (hereinafter the “designee”).  In fulfilling its responsibilities hereunder, the Committee or its designee may rely upon documents, written statements of the parties or such other material as the Committee or its designee deems appropriate.  The parties agree that there is no right to be heard or to appear before the Committee or its designee and that any decision of the Committee or its designee relating to this Agreement, including, without limitation, whether particular conduct constitutes Triggering Conduct, shall be final and binding unless such decision is arbitrary and capricious.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13.           </w:t>
      </w:r>
      <w:r>
        <w:rPr>
          <w:rFonts w:ascii="Times New Roman" w:hAnsi="Times New Roman"/>
          <w:sz w:val="20"/>
          <w:u w:val="single"/>
        </w:rPr>
        <w:t>Prompt Acceptance of Agreement</w:t>
      </w:r>
      <w:r>
        <w:rPr>
          <w:rFonts w:ascii="Times New Roman" w:hAnsi="Times New Roman"/>
          <w:sz w:val="20"/>
        </w:rPr>
        <w:t>.  The Performance Stock Unit grant evidenced by this Agreement shall, at the discretion of the Committee, be forfeited if this Agreement is not manually executed and returned to the Company, or electronically executed by Grantee by indicating Grantee’s acceptance of this Agreement in accordance with the acceptance procedures set forth on the Company’s third-party equity plan administrator’s web site, within 90 days of the Grant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14.           </w:t>
      </w:r>
      <w:r>
        <w:rPr>
          <w:rFonts w:ascii="Times New Roman" w:hAnsi="Times New Roman"/>
          <w:sz w:val="20"/>
          <w:u w:val="single"/>
        </w:rPr>
        <w:t>Electronic Delivery and Consent to Electronic Participation</w:t>
      </w:r>
      <w:r>
        <w:rPr>
          <w:rFonts w:ascii="Times New Roman" w:hAnsi="Times New Roman"/>
          <w:sz w:val="20"/>
        </w:rPr>
        <w:t>.  The Company may, in its sole discretion, decide to deliver any documents related to the Performance Stock Unit grant under and participation in the Plan or future Performance Stock Units that may be granted under the Plan by electronic means.  Grantee hereby consents to receive such documents by electronic delivery and to participate in the Plan through an on-line or electronic system established and maintained by the Company or another third party designated by the Company, including the acceptance of Performance Stock Unit grants and the execution of Performance Stock Unit agreements through electronic signature.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15.           </w:t>
      </w:r>
      <w:r>
        <w:rPr>
          <w:rFonts w:ascii="Times New Roman" w:hAnsi="Times New Roman"/>
          <w:sz w:val="20"/>
          <w:u w:val="single"/>
        </w:rPr>
        <w:t>Notices</w:t>
      </w:r>
      <w:r>
        <w:rPr>
          <w:rFonts w:ascii="Times New Roman" w:hAnsi="Times New Roman"/>
          <w:sz w:val="20"/>
        </w:rPr>
        <w:t>.  All notices, requests, consents and other communications required or provided under this Agreement to be delivered by Grantee to the Company will be in writing and will be deemed sufficient if delivered by hand, facsimile, nationally recognized overnight courier, or certified or registered mail, return receipt requested, postage prepaid, and will be effective upon delivery to the Company at the address set forth below:</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Imprimis Pharmaceuticals, Inc.</w:t>
      </w:r>
    </w:p>
    <w:p>
      <w:pPr>
        <w:pStyle w:val="TextBody"/>
        <w:spacing w:before="0" w:after="0"/>
        <w:ind w:left="720" w:right="0" w:hanging="0"/>
        <w:jc w:val="both"/>
        <w:rPr>
          <w:rFonts w:ascii="Times New Roman" w:hAnsi="Times New Roman"/>
          <w:sz w:val="20"/>
        </w:rPr>
      </w:pPr>
      <w:r>
        <w:rPr>
          <w:rFonts w:ascii="Times New Roman" w:hAnsi="Times New Roman"/>
          <w:sz w:val="20"/>
        </w:rPr>
        <w:t>437 S. Hwy. 101, Suite 209</w:t>
      </w:r>
    </w:p>
    <w:p>
      <w:pPr>
        <w:pStyle w:val="TextBody"/>
        <w:spacing w:before="0" w:after="0"/>
        <w:ind w:left="720" w:right="0" w:hanging="0"/>
        <w:jc w:val="both"/>
        <w:rPr>
          <w:rFonts w:ascii="Times New Roman" w:hAnsi="Times New Roman"/>
          <w:sz w:val="20"/>
        </w:rPr>
      </w:pPr>
      <w:r>
        <w:rPr>
          <w:rFonts w:ascii="Times New Roman" w:hAnsi="Times New Roman"/>
          <w:sz w:val="20"/>
        </w:rPr>
        <w:t>Solana Beach, CA 92075</w:t>
      </w:r>
    </w:p>
    <w:p>
      <w:pPr>
        <w:pStyle w:val="TextBody"/>
        <w:spacing w:before="0" w:after="0"/>
        <w:ind w:left="720" w:right="0" w:hanging="0"/>
        <w:jc w:val="both"/>
        <w:rPr>
          <w:rFonts w:ascii="Times New Roman" w:hAnsi="Times New Roman"/>
          <w:sz w:val="20"/>
        </w:rPr>
      </w:pPr>
      <w:r>
        <w:rPr>
          <w:rFonts w:ascii="Times New Roman" w:hAnsi="Times New Roman"/>
          <w:sz w:val="20"/>
        </w:rPr>
        <w:t>Attention:  General Counsel</w:t>
      </w:r>
    </w:p>
    <w:p>
      <w:pPr>
        <w:pStyle w:val="TextBody"/>
        <w:spacing w:before="0" w:after="0"/>
        <w:ind w:left="720" w:right="0" w:hanging="0"/>
        <w:jc w:val="both"/>
        <w:rPr>
          <w:rFonts w:ascii="Times New Roman" w:hAnsi="Times New Roman"/>
          <w:sz w:val="20"/>
        </w:rPr>
      </w:pPr>
      <w:r>
        <w:rPr>
          <w:rFonts w:ascii="Times New Roman" w:hAnsi="Times New Roman"/>
          <w:sz w:val="20"/>
        </w:rPr>
        <w:t>Facsimile:  858-345-1745</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0" w:name="PGBRK45"/>
      <w:bookmarkStart w:id="481" w:name="PGBRK45"/>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2" w:name="FTR45"/>
      <w:bookmarkStart w:id="483" w:name="FTR45"/>
      <w:bookmarkEnd w:id="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4" w:name="GLFTR45"/>
      <w:bookmarkEnd w:id="4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5" w:name="PN45"/>
      <w:bookmarkEnd w:id="48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6" w:name="HDR41"/>
      <w:bookmarkStart w:id="487" w:name="HDR41"/>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8" w:name="GLHDR45"/>
      <w:bookmarkEnd w:id="4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All notices, requests, consents and other communications required or provided under this Agreement to be delivered by the Company to Grantee may be delivered by e-mail or in writing and will be deemed sufficient if delivered by e-mail, hand, facsimile, nationally recognized overnight courier, or certified or registered mail, return receipt requested, postage prepaid, and will be effective upon delivery to the Grantee.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w:t>
      </w:r>
      <w:r>
        <w:rPr>
          <w:rFonts w:ascii="Times New Roman" w:hAnsi="Times New Roman"/>
          <w:sz w:val="20"/>
          <w:u w:val="single"/>
        </w:rPr>
        <w:t>/s/ Robert Kammer</w:t>
      </w:r>
      <w:r>
        <w:rPr>
          <w:rFonts w:ascii="Times New Roman" w:hAnsi="Times New Roman"/>
          <w:sz w:val="20"/>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Its:           </w:t>
      </w:r>
      <w:r>
        <w:rPr>
          <w:rFonts w:ascii="Times New Roman" w:hAnsi="Times New Roman"/>
          <w:sz w:val="20"/>
          <w:u w:val="single"/>
        </w:rPr>
        <w:t>Chairman of the Board of Directors</w:t>
      </w:r>
      <w:r>
        <w:rPr>
          <w:rFonts w:ascii="Times New Roman" w:hAnsi="Times New Roman"/>
          <w:sz w:val="20"/>
        </w:rPr>
        <w:t>                                                                </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9" w:name="PGBRK46"/>
      <w:bookmarkStart w:id="490" w:name="PGBRK46"/>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1" w:name="FTR46"/>
      <w:bookmarkStart w:id="492" w:name="FTR46"/>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3" w:name="GLFTR46"/>
      <w:bookmarkEnd w:id="4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4" w:name="PN46"/>
      <w:bookmarkEnd w:id="49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5" w:name="HDR42"/>
      <w:bookmarkStart w:id="496" w:name="HDR42"/>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7" w:name="GLHDR46"/>
      <w:bookmarkEnd w:id="4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ACCEPTANCE OF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Grantee hereby: (a) acknowledges receiving a copy of the Plan, which has either been previously delivered or is provided with this agreement, and represents that he or she is familiar with and understands all provisions of the Plan and this agreement; and (b) voluntarily and knowingly accepts this Agreement and the Performance Stock Units granted to him or her under this Agreement subject to all provisions of the Plan and this Agreement, including the provisions in the Agreement regarding “Triggering Conduct” and “Special Forfeiture/Repayment Rules” set forth in Paragraphs 4 and 5 above.  Grantee further acknowledges receiving a copy of the Company’s most recent annual report to stockholders and other communications routinely distributed to the Company’s stockholders and a copy of the Plan Prospectus pertaining to the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/s/ Mark L. Baum</w:t>
      </w:r>
      <w:r>
        <w:rPr>
          <w:rFonts w:ascii="Times New Roman" w:hAnsi="Times New Roman"/>
          <w:sz w:val="20"/>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Grantee’s Signature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May 3, 2013</w:t>
      </w:r>
      <w:r>
        <w:rPr>
          <w:rFonts w:ascii="Times New Roman" w:hAnsi="Times New Roman"/>
          <w:sz w:val="20"/>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w:t>
      </w:r>
    </w:p>
    <w:p>
      <w:pPr>
        <w:pStyle w:val="TextBody"/>
        <w:ind w:left="0" w:right="0" w:hanging="0"/>
        <w:jc w:val="both"/>
        <w:rPr/>
      </w:pPr>
      <w:r>
        <w:rPr/>
        <w:t> </w:t>
      </w:r>
      <w:r>
        <w:br w:type="page"/>
      </w:r>
    </w:p>
    <w:p>
      <w:pPr>
        <w:pStyle w:val="TextBody"/>
        <w:spacing w:before="0" w:after="0"/>
        <w:jc w:val="right"/>
        <w:rPr>
          <w:rFonts w:ascii="Times New Roman" w:hAnsi="Times New Roman"/>
          <w:b/>
          <w:sz w:val="20"/>
        </w:rPr>
      </w:pPr>
      <w:bookmarkStart w:id="498" w:name="immy_ex105.htm"/>
      <w:bookmarkStart w:id="499" w:name="ksimmy_ex105"/>
      <w:bookmarkEnd w:id="498"/>
      <w:bookmarkEnd w:id="499"/>
      <w:r>
        <w:rPr>
          <w:rFonts w:ascii="Times New Roman" w:hAnsi="Times New Roman"/>
          <w:b/>
          <w:sz w:val="20"/>
        </w:rPr>
        <w:t>Exhibit 10.5</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6"/>
        </w:rPr>
      </w:pPr>
      <w:r>
        <w:rPr>
          <w:rFonts w:ascii="Times New Roman" w:hAnsi="Times New Roman"/>
          <w:b/>
          <w:sz w:val="16"/>
        </w:rPr>
        <w:t xml:space="preserve">CONFIDENTIAL TREATMENT REQUESTED.  OMITTED PORTIONS ARE MARKED WITH [***] </w:t>
        <w:br/>
        <w:t>AND HAVE BEEN FILED SEPARATELY WITH THE SEC.</w:t>
      </w:r>
    </w:p>
    <w:p>
      <w:pPr>
        <w:pStyle w:val="TextBody"/>
        <w:spacing w:before="0" w:after="0"/>
        <w:rPr/>
      </w:pPr>
      <w:r>
        <w:rPr/>
        <w:t> </w:t>
      </w: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ASSET PURCHASE AGREEMENT</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THIS ASSET PURCHASE AGREEMENT (this “Agreement”) dated as of June 11, 2013 (the “Effective Date”), is entered into between BUDERER DRUG COMPANY, INC., an Ohio corporation (“Buderer”), with a place of business at 633 Hancock Street, Sandusky, Ohio 44870, and IMPRIMIS PHARMACEUTICALS, INC., a Delaware corporation (“Imprimis”), with a place of business at 12626 High Bluff Drive, Suite 150, San Diego, California 92130.  The parties hereby agree as follows: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1.</w:t>
      </w:r>
      <w:bookmarkStart w:id="500" w:name="TAB22"/>
      <w:bookmarkEnd w:id="500"/>
      <w:r>
        <w:rPr>
          <w:color w:val="000000"/>
          <w:spacing w:val="180"/>
        </w:rPr>
        <w:t> </w:t>
      </w:r>
      <w:r>
        <w:rPr>
          <w:rFonts w:ascii="Times New Roman" w:hAnsi="Times New Roman"/>
          <w:sz w:val="20"/>
          <w:u w:val="single"/>
        </w:rPr>
        <w:t>Definitions</w:t>
      </w:r>
      <w:r>
        <w:rPr>
          <w:rFonts w:ascii="Times New Roman" w:hAnsi="Times New Roman"/>
          <w:sz w:val="20"/>
        </w:rPr>
        <w:t>.  For the purposes of this Agreement, the following terms shall have the respective meanings set forth below and grammatical variations of such terms shall have corresponding meanings: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w:t>
      </w:r>
      <w:bookmarkStart w:id="501" w:name="TAB23"/>
      <w:bookmarkEnd w:id="501"/>
      <w:r>
        <w:rPr>
          <w:color w:val="000000"/>
          <w:spacing w:val="180"/>
        </w:rPr>
        <w:t> </w:t>
      </w:r>
      <w:r>
        <w:rPr/>
        <w:t>“</w:t>
      </w:r>
      <w:r>
        <w:rPr>
          <w:rFonts w:ascii="Times New Roman" w:hAnsi="Times New Roman"/>
          <w:sz w:val="20"/>
        </w:rPr>
        <w:t>Affiliate”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1.2</w:t>
      </w:r>
      <w:bookmarkStart w:id="502" w:name="TAB24"/>
      <w:bookmarkEnd w:id="502"/>
      <w:r>
        <w:rPr>
          <w:color w:val="000000"/>
          <w:spacing w:val="180"/>
        </w:rPr>
        <w:t> </w:t>
      </w:r>
      <w:r>
        <w:rPr/>
        <w:t>“</w:t>
      </w:r>
      <w:r>
        <w:rPr>
          <w:rFonts w:ascii="Times New Roman" w:hAnsi="Times New Roman"/>
          <w:sz w:val="20"/>
        </w:rPr>
        <w:t>Assets” shall mean, collectively, (a) the Technology; (b) all discoveries, inventions, technology, compositions, formulations, samples, components, processes, standards, methods, procedures and techniques relating thereto; (c) all formulae, data, information, results of experimentation and testing, and other know-how, whether or not patentable or copyrightable, relating thereto; (d) all product registrations and applications therefor relating thereto; and (e) all intellectual property rights and other assets relating thereto.</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1.3</w:t>
      </w:r>
      <w:bookmarkStart w:id="503" w:name="TAB25"/>
      <w:bookmarkEnd w:id="503"/>
      <w:r>
        <w:rPr>
          <w:color w:val="000000"/>
          <w:spacing w:val="180"/>
        </w:rPr>
        <w:t> </w:t>
      </w:r>
      <w:r>
        <w:rPr/>
        <w:t>“</w:t>
      </w:r>
      <w:r>
        <w:rPr>
          <w:rFonts w:ascii="Times New Roman" w:hAnsi="Times New Roman"/>
          <w:sz w:val="20"/>
        </w:rPr>
        <w:t>Assigned Patent Rights” shall mean, collectively, (a) all patent applications (including provisional patent applications) in any jurisdiction that claim the Technology, together with all divisionals, continuations and continuations-in-part that claim priority to, or common priority with, the foregoing; (b) all patents issuing therefrom (including utility models and design patents and certificates of invention), together with all reissues, renewals, extensions or additions thereof and thereto; and (c) all foreign counterparts with or to any of the foregoing.</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1.4</w:t>
      </w:r>
      <w:bookmarkStart w:id="504" w:name="TAB26"/>
      <w:bookmarkEnd w:id="504"/>
      <w:r>
        <w:rPr>
          <w:color w:val="000000"/>
          <w:spacing w:val="180"/>
        </w:rPr>
        <w:t> </w:t>
      </w:r>
      <w:r>
        <w:rPr/>
        <w:t>“</w:t>
      </w:r>
      <w:r>
        <w:rPr>
          <w:rFonts w:ascii="Times New Roman" w:hAnsi="Times New Roman"/>
          <w:sz w:val="20"/>
        </w:rPr>
        <w:t>Contract” or “Contracts” shall mean any mortgage, indenture, lease, contract, covenant, arrangement, agreement, instrument, commitment, purchase order or license.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1.5</w:t>
      </w:r>
      <w:bookmarkStart w:id="505" w:name="TAB27"/>
      <w:bookmarkEnd w:id="505"/>
      <w:r>
        <w:rPr>
          <w:color w:val="000000"/>
          <w:spacing w:val="180"/>
        </w:rPr>
        <w:t> </w:t>
      </w:r>
      <w:r>
        <w:rPr/>
        <w:t>“</w:t>
      </w:r>
      <w:r>
        <w:rPr>
          <w:rFonts w:ascii="Times New Roman" w:hAnsi="Times New Roman"/>
          <w:sz w:val="20"/>
        </w:rPr>
        <w:t>Development Recovery Amount” shall mean, with respect to any Product, the fully-burdened costs (determined in accordance with GAAP, consistently applied) to Imprimis or its Affiliates incurred or accrued in connection with the research, development, production and regulatory approval of such Product.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1.6</w:t>
      </w:r>
      <w:bookmarkStart w:id="506" w:name="TAB28"/>
      <w:bookmarkEnd w:id="506"/>
      <w:r>
        <w:rPr>
          <w:color w:val="000000"/>
          <w:spacing w:val="180"/>
        </w:rPr>
        <w:t> </w:t>
      </w:r>
      <w:r>
        <w:rPr/>
        <w:t>“</w:t>
      </w:r>
      <w:r>
        <w:rPr>
          <w:rFonts w:ascii="Times New Roman" w:hAnsi="Times New Roman"/>
          <w:sz w:val="20"/>
        </w:rPr>
        <w:t>Encumbrance” or “Encumbrances” shall mean any encumbrance, lien, charge, hypothecation, pledge, mortgage, adverse claim, option, preemptive right, or other security interest of any nature, or any Contract to create any of the foregoing entered into by Buderer on or before the Effective Date.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1.7</w:t>
      </w:r>
      <w:bookmarkStart w:id="507" w:name="TAB29"/>
      <w:bookmarkEnd w:id="507"/>
      <w:r>
        <w:rPr>
          <w:color w:val="000000"/>
          <w:spacing w:val="180"/>
        </w:rPr>
        <w:t> </w:t>
      </w:r>
      <w:r>
        <w:rPr/>
        <w:t>“</w:t>
      </w:r>
      <w:r>
        <w:rPr>
          <w:rFonts w:ascii="Times New Roman" w:hAnsi="Times New Roman"/>
          <w:sz w:val="20"/>
        </w:rPr>
        <w:t>First Commercial Sale” shall mean, with respect to any Product, the first sale of such Product after all applicable marketing and pricing approvals (if any) have been granted by the applicable governing health authority of such country.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1.8</w:t>
      </w:r>
      <w:bookmarkStart w:id="508" w:name="TAB210"/>
      <w:bookmarkEnd w:id="508"/>
      <w:r>
        <w:rPr>
          <w:color w:val="000000"/>
          <w:spacing w:val="180"/>
        </w:rPr>
        <w:t> </w:t>
      </w:r>
      <w:r>
        <w:rPr/>
        <w:t>“</w:t>
      </w:r>
      <w:r>
        <w:rPr>
          <w:rFonts w:ascii="Times New Roman" w:hAnsi="Times New Roman"/>
          <w:sz w:val="20"/>
        </w:rPr>
        <w:t>GAAP” shall mean United States generally accepted accounting principles.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1.9</w:t>
      </w:r>
      <w:bookmarkStart w:id="509" w:name="TAB211"/>
      <w:bookmarkEnd w:id="509"/>
      <w:r>
        <w:rPr>
          <w:color w:val="000000"/>
          <w:spacing w:val="180"/>
        </w:rPr>
        <w:t> </w:t>
      </w:r>
      <w:r>
        <w:rPr/>
        <w:t>“</w:t>
      </w:r>
      <w:r>
        <w:rPr>
          <w:rFonts w:ascii="Times New Roman" w:hAnsi="Times New Roman"/>
          <w:sz w:val="20"/>
        </w:rPr>
        <w:t>Knowledge of Buderer” or “Buderer’s Knowledge” shall mean the actual knowledge of any director, officer, or employee of Buderer and the Knowledge such individuals would reasonably be expected to obtain in the course of diligently performing his or her duties for Buderer and/or making a reasonable inquiry into the matters contemplated by this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1.10</w:t>
      </w:r>
      <w:bookmarkStart w:id="510" w:name="TAB212"/>
      <w:bookmarkEnd w:id="510"/>
      <w:r>
        <w:rPr>
          <w:color w:val="000000"/>
          <w:spacing w:val="180"/>
        </w:rPr>
        <w:t> </w:t>
      </w:r>
      <w:r>
        <w:rPr/>
        <w:t>“</w:t>
      </w:r>
      <w:r>
        <w:rPr>
          <w:rFonts w:ascii="Times New Roman" w:hAnsi="Times New Roman"/>
          <w:sz w:val="20"/>
        </w:rPr>
        <w:t>Licensee” shall mean a Third Party to whom Imprimis or its Affiliate has granted a license, immunity or other right under the Assigned Patent Rights to offer to sell, sell or otherwise commercialize one or more Products, provided such license has not expired or been terminated.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1" w:name="PGBRK47"/>
      <w:bookmarkStart w:id="512" w:name="PGBRK47"/>
      <w:bookmarkEnd w:id="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3" w:name="FTR47"/>
      <w:bookmarkStart w:id="514" w:name="FTR47"/>
      <w:bookmarkEnd w:id="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5" w:name="GLFTR47"/>
      <w:bookmarkEnd w:id="5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6" w:name="PN47"/>
      <w:bookmarkEnd w:id="516"/>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7" w:name="HDR43"/>
      <w:bookmarkStart w:id="518" w:name="HDR43"/>
      <w:bookmarkEnd w:id="5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16"/>
        </w:rPr>
      </w:pPr>
      <w:bookmarkStart w:id="519" w:name="GLHDR47"/>
      <w:bookmarkEnd w:id="519"/>
      <w:r>
        <w:rPr>
          <w:rFonts w:ascii="Times New Roman" w:hAnsi="Times New Roman"/>
          <w:sz w:val="16"/>
        </w:rPr>
        <w:t xml:space="preserve">CONFIDENTIAL TREATMENT REQUESTED.  OMITTED PORTIONS ARE MARKED WITH [***] </w:t>
        <w:br/>
        <w:t>AND HAVE BEEN FILED SEPARATELY WITH THE SEC.</w:t>
      </w: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rPr/>
      </w:pPr>
      <w:r>
        <w:rPr/>
        <w:t> </w:t>
      </w:r>
    </w:p>
    <w:p>
      <w:pPr>
        <w:pStyle w:val="TextBody"/>
        <w:spacing w:before="0" w:after="0"/>
        <w:ind w:left="0" w:right="0" w:firstLine="1440"/>
        <w:rPr/>
      </w:pPr>
      <w:r>
        <w:rPr>
          <w:rFonts w:ascii="Times New Roman" w:hAnsi="Times New Roman"/>
          <w:sz w:val="20"/>
        </w:rPr>
        <w:t>1.11</w:t>
      </w:r>
      <w:bookmarkStart w:id="520" w:name="TAB213"/>
      <w:bookmarkEnd w:id="520"/>
      <w:r>
        <w:rPr>
          <w:color w:val="000000"/>
          <w:spacing w:val="180"/>
        </w:rPr>
        <w:t> </w:t>
      </w:r>
      <w:r>
        <w:rPr/>
        <w:t>“</w:t>
      </w:r>
      <w:r>
        <w:rPr>
          <w:rFonts w:ascii="Times New Roman" w:hAnsi="Times New Roman"/>
          <w:sz w:val="20"/>
        </w:rPr>
        <w:t>Net Licensing Revenues” shall mean, with respect to any Product, the aggregate cash consideration received by Imprimis or its Affiliates in consideration for the grant by Imprimis or its Affiliates to a Licensee of a license, immunity or other right under the Assigned Patent Rights to offer to sell, sell or otherwise commercialize such Product (excluding amounts received to reimburse Imprimis or its Affiliates for research, development or similar services conducted for such Product, in reimbursement of patent or other out-of-pocket expenses relating to such Product, or in consideration for the purchase of any debt or securities of Imprimis or its Affiliates).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1.12</w:t>
      </w:r>
      <w:bookmarkStart w:id="521" w:name="TAB214"/>
      <w:bookmarkEnd w:id="521"/>
      <w:r>
        <w:rPr>
          <w:color w:val="000000"/>
          <w:spacing w:val="180"/>
        </w:rPr>
        <w:t> </w:t>
      </w:r>
      <w:r>
        <w:rPr/>
        <w:t>“</w:t>
      </w:r>
      <w:r>
        <w:rPr>
          <w:rFonts w:ascii="Times New Roman" w:hAnsi="Times New Roman"/>
          <w:sz w:val="20"/>
        </w:rPr>
        <w:t>Net Receipts” shall mean, with respect to any Product, the aggregate of the Net Sales thereof and Net Licensing Revenues therefrom in excess of the Development Recovery Amount therefor.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1.13</w:t>
      </w:r>
      <w:bookmarkStart w:id="522" w:name="TAB215"/>
      <w:bookmarkEnd w:id="522"/>
      <w:r>
        <w:rPr>
          <w:color w:val="000000"/>
          <w:spacing w:val="180"/>
        </w:rPr>
        <w:t> </w:t>
      </w:r>
      <w:r>
        <w:rPr/>
        <w:t>“</w:t>
      </w:r>
      <w:r>
        <w:rPr>
          <w:rFonts w:ascii="Times New Roman" w:hAnsi="Times New Roman"/>
          <w:sz w:val="20"/>
        </w:rPr>
        <w:t>Net Sales” shall mean, with respect to any Product, the gross sales price of such Product invoiced by Imprimis and its Affiliates to customers who are not Affiliates (or are Affiliates but are the end users of such Product), less (a) credits, allowances, discounts and rebates to, and chargebacks from the account of, such customers; (b) freight and insurance costs in transporting such Product; (c) cash, quantity and trade discounts, rebates and other price reductions for such Product; (d) sales, use, value-added and other direct taxes; (e) customs duties, tariffs, surcharges and other governmental charges incurred in exporting or importing such Product; (f) an allowance for uncollectible or bad debts determined in accordance with generally accepted accounting principles; and (g) the fully-burdened cost of goods sold determined in accordance with generally accepted accounting principles.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1.14</w:t>
      </w:r>
      <w:bookmarkStart w:id="523" w:name="TAB216"/>
      <w:bookmarkEnd w:id="523"/>
      <w:r>
        <w:rPr>
          <w:color w:val="000000"/>
          <w:spacing w:val="180"/>
        </w:rPr>
        <w:t> </w:t>
      </w:r>
      <w:r>
        <w:rPr/>
        <w:t>“</w:t>
      </w:r>
      <w:r>
        <w:rPr>
          <w:rFonts w:ascii="Times New Roman" w:hAnsi="Times New Roman"/>
          <w:sz w:val="20"/>
        </w:rPr>
        <w:t>Payment Period” shall mean, on a Product-by-Product and country-by-country basis, the period of time beginning on the date of the First Commercial Sale of such Product in such country and continuing during the term for which a valid claim of an issued patent within the Assigned Patent Rights in such country remains in effect and would be infringed but for rights under the Assigned Patent Rights by the use, offer for sale, sale or import of such Product in such country.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1.15</w:t>
      </w:r>
      <w:bookmarkStart w:id="524" w:name="TAB217"/>
      <w:bookmarkEnd w:id="524"/>
      <w:r>
        <w:rPr>
          <w:color w:val="000000"/>
          <w:spacing w:val="180"/>
        </w:rPr>
        <w:t> </w:t>
      </w:r>
      <w:r>
        <w:rPr/>
        <w:t>“</w:t>
      </w:r>
      <w:r>
        <w:rPr>
          <w:rFonts w:ascii="Times New Roman" w:hAnsi="Times New Roman"/>
          <w:sz w:val="20"/>
        </w:rPr>
        <w:t>Person” shall mean any individual, partnership, firm, corporation, association, trust, unincorporated organization or other entity, as well as any syndicate or group of any of the foregoing.</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1.16</w:t>
      </w:r>
      <w:bookmarkStart w:id="525" w:name="TAB218"/>
      <w:bookmarkEnd w:id="525"/>
      <w:r>
        <w:rPr>
          <w:color w:val="000000"/>
          <w:spacing w:val="180"/>
        </w:rPr>
        <w:t> </w:t>
      </w:r>
      <w:r>
        <w:rPr/>
        <w:t>“</w:t>
      </w:r>
      <w:r>
        <w:rPr>
          <w:rFonts w:ascii="Times New Roman" w:hAnsi="Times New Roman"/>
          <w:sz w:val="20"/>
        </w:rPr>
        <w:t>Product” will mean any product, in any form or formulation, comprising any one or more of (a) injectable pentoxifylline, (b) lyophilized polyphenols, or (c) tranexamic acid and any antibiotic, in each case for use in the prevention or treatment of any disease, state or condition in humans, which if made, used, offered for sale, sold or imported absent rights under the Assigned Patent Rights would infringe a valid claim of an issued patent within the Assigned Patent Rights.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1.17</w:t>
      </w:r>
      <w:bookmarkStart w:id="526" w:name="TAB219"/>
      <w:bookmarkEnd w:id="526"/>
      <w:r>
        <w:rPr>
          <w:color w:val="000000"/>
          <w:spacing w:val="180"/>
        </w:rPr>
        <w:t> </w:t>
      </w:r>
      <w:r>
        <w:rPr/>
        <w:t>“</w:t>
      </w:r>
      <w:r>
        <w:rPr>
          <w:rFonts w:ascii="Times New Roman" w:hAnsi="Times New Roman"/>
          <w:sz w:val="20"/>
        </w:rPr>
        <w:t>Tax” or “Taxes” shall mean any and all federal, state, local and foreign taxes, assessments and other governmental charges, duties, impositions and liabilities, including taxes based upon or measured by gross receipts, income, profits, sales, use and occupation, and value added, ad valorem, transfer, franchise, withholding, payroll, recapture, employment, excise and property taxes as well as public imposts, fees and social security charges (including but not limited to health, unemployment and pension insurance), together with all interest, penalties and additions imposed with respect to such amounts and any obligation under any agreement or arrangement with any other Person with respect to such amounts and including any liability for taxes of a predecessor entity.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1.18</w:t>
      </w:r>
      <w:bookmarkStart w:id="527" w:name="TAB220"/>
      <w:bookmarkEnd w:id="527"/>
      <w:r>
        <w:rPr>
          <w:color w:val="000000"/>
          <w:spacing w:val="180"/>
        </w:rPr>
        <w:t> </w:t>
      </w:r>
      <w:r>
        <w:rPr/>
        <w:t>“</w:t>
      </w:r>
      <w:r>
        <w:rPr>
          <w:rFonts w:ascii="Times New Roman" w:hAnsi="Times New Roman"/>
          <w:sz w:val="20"/>
        </w:rPr>
        <w:t>Technology” shall mean, collectively, (a) any product in any form or formulation comprising any one or more of (i) injectable pentoxifylline, (ii) lyophilized polyphenols, or (iii) tranexamic acid and any antibiotic; and (b) all methods of manufacture and use of the foregoing.</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1.19</w:t>
      </w:r>
      <w:bookmarkStart w:id="528" w:name="TAB221"/>
      <w:bookmarkEnd w:id="528"/>
      <w:r>
        <w:rPr>
          <w:color w:val="000000"/>
          <w:spacing w:val="180"/>
        </w:rPr>
        <w:t> </w:t>
      </w:r>
      <w:r>
        <w:rPr/>
        <w:t>“</w:t>
      </w:r>
      <w:r>
        <w:rPr>
          <w:rFonts w:ascii="Times New Roman" w:hAnsi="Times New Roman"/>
          <w:sz w:val="20"/>
        </w:rPr>
        <w:t>Third Party” shall mean any Person other than Imprimis, Buderer or their respective Affiliates.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2.</w:t>
      </w:r>
      <w:bookmarkStart w:id="529" w:name="TAB222"/>
      <w:bookmarkEnd w:id="529"/>
      <w:r>
        <w:rPr>
          <w:color w:val="000000"/>
          <w:spacing w:val="180"/>
        </w:rPr>
        <w:t> </w:t>
      </w:r>
      <w:r>
        <w:rPr>
          <w:rFonts w:ascii="Times New Roman" w:hAnsi="Times New Roman"/>
          <w:sz w:val="20"/>
          <w:u w:val="single"/>
        </w:rPr>
        <w:t>Purchase and Sale of the Assets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2.1</w:t>
      </w:r>
      <w:bookmarkStart w:id="530" w:name="TAB223"/>
      <w:bookmarkEnd w:id="530"/>
      <w:r>
        <w:rPr>
          <w:color w:val="000000"/>
          <w:spacing w:val="180"/>
        </w:rPr>
        <w:t> </w:t>
      </w:r>
      <w:r>
        <w:rPr>
          <w:rFonts w:ascii="Times New Roman" w:hAnsi="Times New Roman"/>
          <w:sz w:val="20"/>
          <w:u w:val="single"/>
        </w:rPr>
        <w:t>Assets</w:t>
      </w:r>
      <w:r>
        <w:rPr>
          <w:rFonts w:ascii="Times New Roman" w:hAnsi="Times New Roman"/>
          <w:sz w:val="20"/>
        </w:rPr>
        <w:t>.  Subject to the terms and conditions of this Agreement, Imprimis hereby agrees to purchase from Buderer, and Buderer hereby agrees to sell, convey, transfer and assign to Imprimis, on the Effective Date, all of Buderer’s right, title and interest in and to the Assets.  Concurrently with the execution of this Agreement, Buderer shall deliver all required consents to Material Contracts (as defined below) as set forth on Schedule 3.7 hereof.  To the extent necessary to comply with applicable privacy laws, Buderer shall have the right to redact patient identifying information from any data or information transferred to Imprimis.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1" w:name="PGBRK48"/>
      <w:bookmarkStart w:id="532" w:name="PGBRK48"/>
      <w:bookmarkEnd w:id="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3" w:name="FTR48"/>
      <w:bookmarkStart w:id="534" w:name="FTR48"/>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5" w:name="GLFTR48"/>
      <w:bookmarkEnd w:id="5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6" w:name="PN48"/>
      <w:bookmarkEnd w:id="536"/>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7" w:name="HDR44"/>
      <w:bookmarkStart w:id="538" w:name="HDR44"/>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16"/>
        </w:rPr>
      </w:pPr>
      <w:bookmarkStart w:id="539" w:name="GLHDR48"/>
      <w:bookmarkEnd w:id="539"/>
      <w:r>
        <w:rPr>
          <w:rFonts w:ascii="Times New Roman" w:hAnsi="Times New Roman"/>
          <w:sz w:val="16"/>
        </w:rPr>
        <w:t xml:space="preserve">CONFIDENTIAL TREATMENT REQUESTED.  OMITTED PORTIONS ARE MARKED WITH [***] </w:t>
        <w:br/>
        <w:t>AND HAVE BEEN FILED SEPARATELY WITH THE SEC.</w:t>
      </w: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rPr/>
      </w:pPr>
      <w:r>
        <w:rPr/>
        <w:t> </w:t>
      </w:r>
    </w:p>
    <w:p>
      <w:pPr>
        <w:pStyle w:val="TextBody"/>
        <w:spacing w:before="0" w:after="0"/>
        <w:ind w:left="0" w:right="0" w:firstLine="1440"/>
        <w:rPr/>
      </w:pPr>
      <w:r>
        <w:rPr>
          <w:rFonts w:ascii="Times New Roman" w:hAnsi="Times New Roman"/>
          <w:sz w:val="20"/>
        </w:rPr>
        <w:t>2.2</w:t>
      </w:r>
      <w:bookmarkStart w:id="540" w:name="TAB224"/>
      <w:bookmarkEnd w:id="540"/>
      <w:r>
        <w:rPr>
          <w:color w:val="000000"/>
          <w:spacing w:val="180"/>
        </w:rPr>
        <w:t> </w:t>
      </w:r>
      <w:r>
        <w:rPr>
          <w:rFonts w:ascii="Times New Roman" w:hAnsi="Times New Roman"/>
          <w:sz w:val="20"/>
          <w:u w:val="single"/>
        </w:rPr>
        <w:t>No Assumption of Liabilities</w:t>
      </w:r>
      <w:r>
        <w:rPr>
          <w:rFonts w:ascii="Times New Roman" w:hAnsi="Times New Roman"/>
          <w:sz w:val="20"/>
        </w:rPr>
        <w:t>.  Imprimis shall not be obligated to assume or perform and is not assuming or performing any liabilities or obligations of Buderer which relate to Buderer’s ownership of the Assets prior to the Effective Date or otherwise, whether known or unknown, fixed or contingent, certain or uncertain, and regardless of when they are or were asserted, and Buderer shall remain responsible for and shall promptly pay such liabilities.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2.3</w:t>
      </w:r>
      <w:bookmarkStart w:id="541" w:name="TAB225"/>
      <w:bookmarkEnd w:id="541"/>
      <w:r>
        <w:rPr>
          <w:color w:val="000000"/>
          <w:spacing w:val="180"/>
        </w:rPr>
        <w:t> </w:t>
      </w:r>
      <w:r>
        <w:rPr>
          <w:rFonts w:ascii="Times New Roman" w:hAnsi="Times New Roman"/>
          <w:sz w:val="20"/>
          <w:u w:val="single"/>
        </w:rPr>
        <w:t>Transfer Documents</w:t>
      </w:r>
      <w:r>
        <w:rPr>
          <w:rFonts w:ascii="Times New Roman" w:hAnsi="Times New Roman"/>
          <w:sz w:val="20"/>
        </w:rPr>
        <w:t>.  On the Effective Date, the sale, conveyance, transfer and assignment of the Assets from Buderer to Imprimis in accordance with this Agreement will be further evidenced by execution by the parties of such bills of sale, assignments or other title transfer documents and instruments as reasonably requested by Imprimis.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2.4</w:t>
      </w:r>
      <w:bookmarkStart w:id="542" w:name="TAB226"/>
      <w:bookmarkEnd w:id="542"/>
      <w:r>
        <w:rPr>
          <w:color w:val="000000"/>
          <w:spacing w:val="180"/>
        </w:rPr>
        <w:t> </w:t>
      </w:r>
      <w:r>
        <w:rPr>
          <w:rFonts w:ascii="Times New Roman" w:hAnsi="Times New Roman"/>
          <w:sz w:val="20"/>
          <w:u w:val="single"/>
        </w:rPr>
        <w:t>Consideration</w:t>
      </w:r>
      <w:r>
        <w:rPr>
          <w:rFonts w:ascii="Times New Roman" w:hAnsi="Times New Roman"/>
          <w:sz w:val="20"/>
        </w:rPr>
        <w:t>.  The consideration for the sale to Imprimis of the Assets under this Agreement shall consist of the following (collectively, the “Purchase Price”):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2.4.1</w:t>
      </w:r>
      <w:bookmarkStart w:id="543" w:name="TAB227"/>
      <w:bookmarkEnd w:id="543"/>
      <w:r>
        <w:rPr>
          <w:color w:val="000000"/>
          <w:spacing w:val="180"/>
        </w:rPr>
        <w:t> </w:t>
      </w:r>
      <w:r>
        <w:rPr>
          <w:rFonts w:ascii="Times New Roman" w:hAnsi="Times New Roman"/>
          <w:sz w:val="20"/>
        </w:rPr>
        <w:t>[***], payable within thirty (30) days after Imprimis, its Affiliate or Licensee files the first Investigational New Drug application with the United States Food and Drug Administration for the first Product;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2.4.2</w:t>
      </w:r>
      <w:bookmarkStart w:id="544" w:name="TAB228"/>
      <w:bookmarkEnd w:id="544"/>
      <w:r>
        <w:rPr>
          <w:color w:val="000000"/>
          <w:spacing w:val="180"/>
        </w:rPr>
        <w:t> </w:t>
      </w:r>
      <w:r>
        <w:rPr>
          <w:rFonts w:ascii="Times New Roman" w:hAnsi="Times New Roman"/>
          <w:sz w:val="20"/>
        </w:rPr>
        <w:t>[***], payable within thirty (30) days after the date of the issuance of the first patent in the United States within the Assigned Patent Rights; and</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2.4.3</w:t>
      </w:r>
      <w:bookmarkStart w:id="545" w:name="TAB229"/>
      <w:bookmarkEnd w:id="545"/>
      <w:r>
        <w:rPr>
          <w:color w:val="000000"/>
          <w:spacing w:val="180"/>
        </w:rPr>
        <w:t> </w:t>
      </w:r>
      <w:r>
        <w:rPr>
          <w:rFonts w:ascii="Times New Roman" w:hAnsi="Times New Roman"/>
          <w:sz w:val="20"/>
        </w:rPr>
        <w:t>the Net Sales Payment Consideration (as defined below).</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2.5</w:t>
      </w:r>
      <w:bookmarkStart w:id="546" w:name="TAB230"/>
      <w:bookmarkEnd w:id="546"/>
      <w:r>
        <w:rPr>
          <w:color w:val="000000"/>
          <w:spacing w:val="180"/>
        </w:rPr>
        <w:t> </w:t>
      </w:r>
      <w:r>
        <w:rPr>
          <w:rFonts w:ascii="Times New Roman" w:hAnsi="Times New Roman"/>
          <w:sz w:val="20"/>
          <w:u w:val="single"/>
        </w:rPr>
        <w:t>Allocation of Purchase Price</w:t>
      </w:r>
      <w:r>
        <w:rPr>
          <w:rFonts w:ascii="Times New Roman" w:hAnsi="Times New Roman"/>
          <w:sz w:val="20"/>
        </w:rPr>
        <w:t>.  The Purchase Price shall be allocated, if an allocation is required, by Imprimis within sixty (60) days following a determination that such allocation is required.  After the Effective Date, Imprimis and Buderer shall make consistent use of any allocation required under Section 1060 of the Internal Revenue Code for all Tax purposes and in all filings, declarations and reports with the Internal Revenue Service or any other applicable taxing authority in respect thereof.  In any and all actions, suits, proceedings, arbitration, or governmental or regulatory investigations or audits related to the determination of any Tax, neither Imprimis nor Buderer shall contend or represent that such allocation is not a correct allocation.</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3.</w:t>
      </w:r>
      <w:bookmarkStart w:id="547" w:name="TAB231"/>
      <w:bookmarkEnd w:id="547"/>
      <w:r>
        <w:rPr>
          <w:color w:val="000000"/>
          <w:spacing w:val="180"/>
        </w:rPr>
        <w:t> </w:t>
      </w:r>
      <w:r>
        <w:rPr>
          <w:rFonts w:ascii="Times New Roman" w:hAnsi="Times New Roman"/>
          <w:sz w:val="20"/>
          <w:u w:val="single"/>
        </w:rPr>
        <w:t>Representations and Warranties of Buderer</w:t>
      </w:r>
      <w:r>
        <w:rPr>
          <w:rFonts w:ascii="Times New Roman" w:hAnsi="Times New Roman"/>
          <w:sz w:val="20"/>
        </w:rPr>
        <w:t>.  Buderer hereby represents and warrants to Imprimis, except as indicated on the disclosure schedules attached to this Agreement, as follows: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3.1</w:t>
      </w:r>
      <w:bookmarkStart w:id="548" w:name="TAB232"/>
      <w:bookmarkEnd w:id="548"/>
      <w:r>
        <w:rPr>
          <w:color w:val="000000"/>
          <w:spacing w:val="180"/>
        </w:rPr>
        <w:t> </w:t>
      </w:r>
      <w:r>
        <w:rPr>
          <w:rFonts w:ascii="Times New Roman" w:hAnsi="Times New Roman"/>
          <w:sz w:val="20"/>
          <w:u w:val="single"/>
        </w:rPr>
        <w:t>Authority and Binding Effect</w:t>
      </w:r>
      <w:r>
        <w:rPr>
          <w:rFonts w:ascii="Times New Roman" w:hAnsi="Times New Roman"/>
          <w:sz w:val="20"/>
        </w:rPr>
        <w:t>.  Buderer has the full power and authority to execute and deliver this Agreement and the other documents and instruments contemplated hereby.  This Agreement and the other documents and instruments contemplated hereby, and the consummation by Buderer of its obligations contained herein and therein, have been duly authorized by all necessary actions of Buderer, and this Agreement and the other documents and instruments contemplated hereby have been duly executed and delivered by Buderer.  This Agreement and the other documents and instruments contemplated hereby are valid and binding agreements of Buderer, enforceable against Buderer in accordance with their respective terms.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3.2</w:t>
      </w:r>
      <w:bookmarkStart w:id="549" w:name="TAB233"/>
      <w:bookmarkEnd w:id="549"/>
      <w:r>
        <w:rPr>
          <w:color w:val="000000"/>
          <w:spacing w:val="180"/>
        </w:rPr>
        <w:t> </w:t>
      </w:r>
      <w:r>
        <w:rPr>
          <w:rFonts w:ascii="Times New Roman" w:hAnsi="Times New Roman"/>
          <w:sz w:val="20"/>
          <w:u w:val="single"/>
        </w:rPr>
        <w:t>Organization and Standing</w:t>
      </w:r>
      <w:r>
        <w:rPr>
          <w:rFonts w:ascii="Times New Roman" w:hAnsi="Times New Roman"/>
          <w:sz w:val="20"/>
        </w:rPr>
        <w:t>.  Buderer is a corporation duly organized, validly existing and in good standing under the laws of the State of Ohio.  Buderer is qualified to do business in each jurisdiction where such qualification is necessary.  Buderer has the requisite corporate power and authority to conduct its business as now conducted, to own the Assets and to use such Assets in the conduct of its business.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3.3</w:t>
      </w:r>
      <w:bookmarkStart w:id="550" w:name="TAB234"/>
      <w:bookmarkEnd w:id="550"/>
      <w:r>
        <w:rPr>
          <w:color w:val="000000"/>
          <w:spacing w:val="180"/>
        </w:rPr>
        <w:t> </w:t>
      </w:r>
      <w:r>
        <w:rPr>
          <w:rFonts w:ascii="Times New Roman" w:hAnsi="Times New Roman"/>
          <w:sz w:val="20"/>
          <w:u w:val="single"/>
        </w:rPr>
        <w:t>Intellectual Property</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3.3.1</w:t>
      </w:r>
      <w:bookmarkStart w:id="551" w:name="TAB235"/>
      <w:bookmarkEnd w:id="551"/>
      <w:r>
        <w:rPr>
          <w:color w:val="000000"/>
          <w:spacing w:val="180"/>
        </w:rPr>
        <w:t> </w:t>
      </w:r>
      <w:r>
        <w:rPr>
          <w:rFonts w:ascii="Times New Roman" w:hAnsi="Times New Roman"/>
          <w:sz w:val="20"/>
        </w:rPr>
        <w:t>There exist no Assigned Patent Rights as of the Effective Date.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3.3.2</w:t>
      </w:r>
      <w:bookmarkStart w:id="552" w:name="TAB236"/>
      <w:bookmarkEnd w:id="552"/>
      <w:r>
        <w:rPr>
          <w:color w:val="000000"/>
          <w:spacing w:val="180"/>
        </w:rPr>
        <w:t> </w:t>
      </w:r>
      <w:r>
        <w:rPr>
          <w:rFonts w:ascii="Times New Roman" w:hAnsi="Times New Roman"/>
          <w:sz w:val="20"/>
        </w:rPr>
        <w:t>Buderer has good and marketable title to each of the Assets, and each of the Assets is held or controlled by Buderer free and clear of any Encumbrances (including without limitation any distribution rights and royalty rights).  All Assets and Assigned Patent Rights and will be fully transferable, alienable or licensable by Imprimis without restriction and without payment of any kind to any Third Party.</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3.3.3</w:t>
      </w:r>
      <w:bookmarkStart w:id="553" w:name="TAB237"/>
      <w:bookmarkEnd w:id="553"/>
      <w:r>
        <w:rPr>
          <w:color w:val="000000"/>
          <w:spacing w:val="180"/>
        </w:rPr>
        <w:t> </w:t>
      </w:r>
      <w:r>
        <w:rPr>
          <w:rFonts w:ascii="Times New Roman" w:hAnsi="Times New Roman"/>
          <w:sz w:val="20"/>
        </w:rPr>
        <w:t>All Assets are currently in compliance with applicable legal requirements (including payment of filing, examination and maintenance fees and proofs of use), and are not subject to any unpaid maintenance fees or taxes or actions falling due within ten (10) days after the Effective 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4" w:name="PGBRK49"/>
      <w:bookmarkStart w:id="555" w:name="PGBRK49"/>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6" w:name="FTR49"/>
      <w:bookmarkStart w:id="557" w:name="FTR49"/>
      <w:bookmarkEnd w:id="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8" w:name="GLFTR49"/>
      <w:bookmarkEnd w:id="5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9" w:name="PN49"/>
      <w:bookmarkEnd w:id="559"/>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0" w:name="HDR45"/>
      <w:bookmarkStart w:id="561" w:name="HDR45"/>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16"/>
        </w:rPr>
      </w:pPr>
      <w:bookmarkStart w:id="562" w:name="GLHDR49"/>
      <w:bookmarkEnd w:id="562"/>
      <w:r>
        <w:rPr>
          <w:rFonts w:ascii="Times New Roman" w:hAnsi="Times New Roman"/>
          <w:sz w:val="16"/>
        </w:rPr>
        <w:t xml:space="preserve">CONFIDENTIAL TREATMENT REQUESTED.  OMITTED PORTIONS ARE MARKED WITH [***] </w:t>
        <w:br/>
        <w:t>AND HAVE BEEN FILED SEPARATELY WITH THE SEC.</w:t>
      </w: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2160"/>
        <w:rPr/>
      </w:pPr>
      <w:r>
        <w:rPr/>
        <w:t> </w:t>
      </w:r>
    </w:p>
    <w:p>
      <w:pPr>
        <w:pStyle w:val="TextBody"/>
        <w:spacing w:before="0" w:after="0"/>
        <w:ind w:left="0" w:right="0" w:firstLine="2160"/>
        <w:rPr/>
      </w:pPr>
      <w:r>
        <w:rPr>
          <w:rFonts w:ascii="Times New Roman" w:hAnsi="Times New Roman"/>
          <w:sz w:val="20"/>
        </w:rPr>
        <w:t>3.3.4</w:t>
      </w:r>
      <w:bookmarkStart w:id="563" w:name="TAB238"/>
      <w:bookmarkEnd w:id="563"/>
      <w:r>
        <w:rPr>
          <w:color w:val="000000"/>
          <w:spacing w:val="180"/>
        </w:rPr>
        <w:t> </w:t>
      </w:r>
      <w:r>
        <w:rPr>
          <w:rFonts w:ascii="Times New Roman" w:hAnsi="Times New Roman"/>
          <w:sz w:val="20"/>
        </w:rPr>
        <w:t>To the extent that any Assets or Assigned Patent Rights were originally owned or created by or for any Person other than Buderer, (a) Buderer has obtained or will procure the complete, unencumbered and unrestricted right to effect the transfer of the Assets or Assigned Patent Rights from Buderer to Imprimis and confirms that such transfer does not violate any such right to transfer; (b) no Third Parties have retained or otherwise have any rights or licenses with respect to the Assets and Assigned Patent Rights; and (iv) to the Knowledge of Buderer, no valid basis exists for any such Person to challenge or object to this Agreement or the transactions contemplated herein.</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3.3.5</w:t>
      </w:r>
      <w:bookmarkStart w:id="564" w:name="TAB239"/>
      <w:bookmarkEnd w:id="564"/>
      <w:r>
        <w:rPr>
          <w:color w:val="000000"/>
          <w:spacing w:val="180"/>
        </w:rPr>
        <w:t> </w:t>
      </w:r>
      <w:r>
        <w:rPr>
          <w:rFonts w:ascii="Times New Roman" w:hAnsi="Times New Roman"/>
          <w:sz w:val="20"/>
        </w:rPr>
        <w:t>To Buderer’s Knowledge, Buderer has not transferred ownership of, or granted any license of or right to use, or authorized the retention of any rights to use, to any Person any Assets or Assigned Patent Rights.</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3.3.6</w:t>
      </w:r>
      <w:bookmarkStart w:id="565" w:name="TAB240"/>
      <w:bookmarkEnd w:id="565"/>
      <w:r>
        <w:rPr>
          <w:color w:val="000000"/>
          <w:spacing w:val="180"/>
        </w:rPr>
        <w:t> </w:t>
      </w:r>
      <w:r>
        <w:rPr>
          <w:rFonts w:ascii="Times New Roman" w:hAnsi="Times New Roman"/>
          <w:sz w:val="20"/>
        </w:rPr>
        <w:t>To Buderer’s Knowledge, Buderer is not required to make or accrue any royalty, milestone or other similar payment to any Third Party in connection with any of the Assets.</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3.3.7</w:t>
      </w:r>
      <w:bookmarkStart w:id="566" w:name="TAB241"/>
      <w:bookmarkEnd w:id="566"/>
      <w:r>
        <w:rPr>
          <w:color w:val="000000"/>
          <w:spacing w:val="180"/>
        </w:rPr>
        <w:t> </w:t>
      </w:r>
      <w:r>
        <w:rPr>
          <w:rFonts w:ascii="Times New Roman" w:hAnsi="Times New Roman"/>
          <w:sz w:val="20"/>
        </w:rPr>
        <w:t>To Buderer’s Knowledge, none of the Assets transferred hereunder infringe upon or misappropriate the intellectual property of any Third Party.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3.4</w:t>
      </w:r>
      <w:bookmarkStart w:id="567" w:name="TAB242"/>
      <w:bookmarkEnd w:id="567"/>
      <w:r>
        <w:rPr>
          <w:color w:val="000000"/>
          <w:spacing w:val="180"/>
        </w:rPr>
        <w:t> </w:t>
      </w:r>
      <w:r>
        <w:rPr>
          <w:rFonts w:ascii="Times New Roman" w:hAnsi="Times New Roman"/>
          <w:sz w:val="20"/>
          <w:u w:val="single"/>
        </w:rPr>
        <w:t>Conflicts; Consents</w:t>
      </w:r>
      <w:r>
        <w:rPr>
          <w:rFonts w:ascii="Times New Roman" w:hAnsi="Times New Roman"/>
          <w:sz w:val="20"/>
        </w:rPr>
        <w:t>.  The execution and delivery by Buderer of this Agreement, and the consummation of the transactions contemplated hereby, will not conflict with (i) any provision of the certificate of incorporation or bylaws of Buderer, each as amended to date; (ii) Contracts to which Buderer or any of its properties or assets (including intangible assets) is subject; or (iii) any judgment, order, decree, statute, law, ordinance, rule or regulation applicable to Buderer or any of its properties or assets (tangible and intangible).  It is not necessary for Buderer to take any action or to obtain any approval, consent or release by or from any Third Party, governmental or other, to enable Buderer to enter into or perform its obligations under this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3.5</w:t>
      </w:r>
      <w:bookmarkStart w:id="568" w:name="TAB243"/>
      <w:bookmarkEnd w:id="568"/>
      <w:r>
        <w:rPr>
          <w:color w:val="000000"/>
          <w:spacing w:val="180"/>
        </w:rPr>
        <w:t> </w:t>
      </w:r>
      <w:r>
        <w:rPr>
          <w:rFonts w:ascii="Times New Roman" w:hAnsi="Times New Roman"/>
          <w:sz w:val="20"/>
          <w:u w:val="single"/>
        </w:rPr>
        <w:t>Litigation and Proceedings</w:t>
      </w:r>
      <w:r>
        <w:rPr>
          <w:rFonts w:ascii="Times New Roman" w:hAnsi="Times New Roman"/>
          <w:sz w:val="20"/>
        </w:rPr>
        <w:t>.  There is no claim, action, suit, proceeding or investigation (or any counter or cross-claim in an action brought by or on behalf of Buderer), whether at law or in equity, or before or by any governmental department, commission, board, bureau, agency or instrumentality, domestic or foreign, or before any arbitrator of any kind, that is pending or, to Imprimis’ Knowledge, threatened, against Imprimis, which (i) could reasonably be expected to adversely affect Buderer’s ability to perform its obligations under this Agreement or complete any of the transactions contemplated hereby; or (ii) involves the possibility of any judgment or liability, or which may become a claim, against the Assets, Imprimis or its business.  Buderer is not subject to any judgment, order, writ, injunction, decree or award of any court, arbitrator or governmental department, commission, board, bureau, agency or instrumentality having jurisdiction over Imprimis or any of the Assets that affects, involves or relates to the Assets.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3.6</w:t>
      </w:r>
      <w:bookmarkStart w:id="569" w:name="TAB244"/>
      <w:bookmarkEnd w:id="569"/>
      <w:r>
        <w:rPr>
          <w:color w:val="000000"/>
          <w:spacing w:val="180"/>
        </w:rPr>
        <w:t> </w:t>
      </w:r>
      <w:r>
        <w:rPr>
          <w:rFonts w:ascii="Times New Roman" w:hAnsi="Times New Roman"/>
          <w:sz w:val="20"/>
          <w:u w:val="single"/>
        </w:rPr>
        <w:t>Compliance with Law/Permits</w:t>
      </w:r>
      <w:r>
        <w:rPr>
          <w:rFonts w:ascii="Times New Roman" w:hAnsi="Times New Roman"/>
          <w:sz w:val="20"/>
        </w:rPr>
        <w:t>. Buderer is in compliance with all, and is not in violation of any, law, ordinance, order, decree, rule or regulation of any governmental agency or authority, the violation of or noncompliance with which could have a material adverse effect on Buderer.  No unresolved (i) charges of violations of laws or regulations relating to Buderer’s business have been made or threatened; (ii) proceedings or investigations relating to Buderer’s business are pending or have been threatened; and (iii) citations or notices of deficiency have been issued or have been threatened, against Buderer relating to or arising out of its business by any governmental authorities.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3.7</w:t>
      </w:r>
      <w:bookmarkStart w:id="570" w:name="TAB245"/>
      <w:bookmarkEnd w:id="570"/>
      <w:r>
        <w:rPr>
          <w:color w:val="000000"/>
          <w:spacing w:val="180"/>
        </w:rPr>
        <w:t> </w:t>
      </w:r>
      <w:r>
        <w:rPr>
          <w:rFonts w:ascii="Times New Roman" w:hAnsi="Times New Roman"/>
          <w:sz w:val="20"/>
          <w:u w:val="single"/>
        </w:rPr>
        <w:t>Contracts</w:t>
      </w:r>
      <w:r>
        <w:rPr>
          <w:rFonts w:ascii="Times New Roman" w:hAnsi="Times New Roman"/>
          <w:sz w:val="20"/>
        </w:rPr>
        <w:t>.  Schedule 3.7 lists the Contracts to which Buderer is a party as of the date hereof which arise out of or relate to the Assets by which any of the Assets are currently bound (the “Material Contracts”).  Buderer is not in violation of or in default under (nor is there existing conditions which with the passage of time either giving of notice or both would cause such a violation or default under) any such Material Contract.  Each such Material Contract is in full force and effect, and has a legal, valid and binding obligation Buderer, and to Knowledge of Buderer, each of the other parties thereto, enforcefull in accordance with its terms.  Buderer has not received notice that it is in violation or breach of or in default under any such Material Contract.  Except as set forth on Schedule 3.7, no such Material Contract has a provision that would require consent, notice or the payment of money or transfer of property as a result of the transactions contemplated herein.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3.8</w:t>
      </w:r>
      <w:bookmarkStart w:id="571" w:name="TAB246"/>
      <w:bookmarkEnd w:id="571"/>
      <w:r>
        <w:rPr>
          <w:color w:val="000000"/>
          <w:spacing w:val="180"/>
        </w:rPr>
        <w:t> </w:t>
      </w:r>
      <w:r>
        <w:rPr>
          <w:rFonts w:ascii="Times New Roman" w:hAnsi="Times New Roman"/>
          <w:sz w:val="20"/>
          <w:u w:val="single"/>
        </w:rPr>
        <w:t>Full Disclosure</w:t>
      </w:r>
      <w:r>
        <w:rPr>
          <w:rFonts w:ascii="Times New Roman" w:hAnsi="Times New Roman"/>
          <w:sz w:val="20"/>
        </w:rPr>
        <w:t>.  The representations and warranties made by Buderer in this Agreement and the schedules to be delivered pursuant to this Agreement do not contain any untrue statement of material fact or admit to state a material fact necessary to make any of them in the light of the circumstances in which they were made, not misleading.</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3.9</w:t>
      </w:r>
      <w:bookmarkStart w:id="572" w:name="TAB247"/>
      <w:bookmarkEnd w:id="572"/>
      <w:r>
        <w:rPr>
          <w:color w:val="000000"/>
          <w:spacing w:val="180"/>
        </w:rPr>
        <w:t> </w:t>
      </w:r>
      <w:r>
        <w:rPr>
          <w:rFonts w:ascii="Times New Roman" w:hAnsi="Times New Roman"/>
          <w:sz w:val="20"/>
          <w:u w:val="single"/>
        </w:rPr>
        <w:t>No Broker</w:t>
      </w:r>
      <w:r>
        <w:rPr>
          <w:rFonts w:ascii="Times New Roman" w:hAnsi="Times New Roman"/>
          <w:sz w:val="20"/>
        </w:rPr>
        <w:t>.  Buderer has not retained or used the services of an agent, finder, or broker in connection with the transactions contemplated by this Agreement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4.</w:t>
      </w:r>
      <w:bookmarkStart w:id="573" w:name="TAB248"/>
      <w:bookmarkEnd w:id="573"/>
      <w:r>
        <w:rPr>
          <w:color w:val="000000"/>
          <w:spacing w:val="180"/>
        </w:rPr>
        <w:t> </w:t>
      </w:r>
      <w:r>
        <w:rPr>
          <w:rFonts w:ascii="Times New Roman" w:hAnsi="Times New Roman"/>
          <w:sz w:val="20"/>
          <w:u w:val="single"/>
        </w:rPr>
        <w:t>Representations and Warranties of Imprimis</w:t>
      </w:r>
      <w:r>
        <w:rPr>
          <w:rFonts w:ascii="Times New Roman" w:hAnsi="Times New Roman"/>
          <w:sz w:val="20"/>
        </w:rPr>
        <w:t>.  Imprimis represents and warrants to Buderer as follows: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4.1</w:t>
      </w:r>
      <w:bookmarkStart w:id="574" w:name="TAB249"/>
      <w:bookmarkEnd w:id="574"/>
      <w:r>
        <w:rPr>
          <w:color w:val="000000"/>
          <w:spacing w:val="180"/>
        </w:rPr>
        <w:t> </w:t>
      </w:r>
      <w:r>
        <w:rPr>
          <w:rFonts w:ascii="Times New Roman" w:hAnsi="Times New Roman"/>
          <w:sz w:val="20"/>
          <w:u w:val="single"/>
        </w:rPr>
        <w:t>Authority and Binding Effect</w:t>
      </w:r>
      <w:r>
        <w:rPr>
          <w:rFonts w:ascii="Times New Roman" w:hAnsi="Times New Roman"/>
          <w:sz w:val="20"/>
        </w:rPr>
        <w:t>.  Imprimis has the full corporate power and authority to execute and deliver this Agreement and the other documents and instruments contemplated hereby.  This Agreement and the other documents and instruments contemplated hereby, and the consummation by Imprimis of its obligations contained herein and therein, have been duly authorized by all necessary corporate actions of Imprimis, and this Agreement and the other documents and instruments contemplated hereby have been duly executed and delivered by Imprimis.  This Agreement and the other documents and instruments contemplated hereby t are valid and binding agreements of Imprimis, enforceable against Imprimis in accordance with their respective terms.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5" w:name="PGBRK50"/>
      <w:bookmarkStart w:id="576" w:name="PGBRK50"/>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7" w:name="FTR50"/>
      <w:bookmarkStart w:id="578" w:name="FTR50"/>
      <w:bookmarkEnd w:id="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9" w:name="GLFTR50"/>
      <w:bookmarkEnd w:id="5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0" w:name="PN50"/>
      <w:bookmarkEnd w:id="580"/>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1" w:name="HDR46"/>
      <w:bookmarkStart w:id="582" w:name="HDR46"/>
      <w:bookmarkEnd w:id="5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16"/>
        </w:rPr>
      </w:pPr>
      <w:bookmarkStart w:id="583" w:name="GLHDR50"/>
      <w:bookmarkEnd w:id="583"/>
      <w:r>
        <w:rPr>
          <w:rFonts w:ascii="Times New Roman" w:hAnsi="Times New Roman"/>
          <w:sz w:val="16"/>
        </w:rPr>
        <w:t xml:space="preserve">CONFIDENTIAL TREATMENT REQUESTED.  OMITTED PORTIONS ARE MARKED WITH [***] </w:t>
        <w:br/>
        <w:t>AND HAVE BEEN FILED SEPARATELY WITH THE SEC.</w:t>
      </w: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rPr/>
      </w:pPr>
      <w:r>
        <w:rPr/>
        <w:t> </w:t>
      </w:r>
    </w:p>
    <w:p>
      <w:pPr>
        <w:pStyle w:val="TextBody"/>
        <w:spacing w:before="0" w:after="0"/>
        <w:ind w:left="0" w:right="0" w:firstLine="1440"/>
        <w:rPr/>
      </w:pPr>
      <w:r>
        <w:rPr>
          <w:rFonts w:ascii="Times New Roman" w:hAnsi="Times New Roman"/>
          <w:sz w:val="20"/>
        </w:rPr>
        <w:t>4.2</w:t>
      </w:r>
      <w:bookmarkStart w:id="584" w:name="TAB250"/>
      <w:bookmarkEnd w:id="584"/>
      <w:r>
        <w:rPr>
          <w:color w:val="000000"/>
          <w:spacing w:val="180"/>
        </w:rPr>
        <w:t> </w:t>
      </w:r>
      <w:r>
        <w:rPr>
          <w:rFonts w:ascii="Times New Roman" w:hAnsi="Times New Roman"/>
          <w:sz w:val="20"/>
          <w:u w:val="single"/>
        </w:rPr>
        <w:t>Organization and Standing</w:t>
      </w:r>
      <w:r>
        <w:rPr>
          <w:rFonts w:ascii="Times New Roman" w:hAnsi="Times New Roman"/>
          <w:sz w:val="20"/>
        </w:rPr>
        <w:t>.  Imprimis is a corporation duly organized, validly existing and in good standing under the laws of the State of Delaware, and Imprimis is qualified to do business in each jurisdiction where such qualification is necessary and where the failure to be so qualified would have a material adverse effect on Imprimis.  Imprimis has the requisite corporate power and authority to conduct its business as now conducted.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4.3</w:t>
      </w:r>
      <w:bookmarkStart w:id="585" w:name="TAB251"/>
      <w:bookmarkEnd w:id="585"/>
      <w:r>
        <w:rPr>
          <w:color w:val="000000"/>
          <w:spacing w:val="180"/>
        </w:rPr>
        <w:t> </w:t>
      </w:r>
      <w:r>
        <w:rPr>
          <w:rFonts w:ascii="Times New Roman" w:hAnsi="Times New Roman"/>
          <w:sz w:val="20"/>
          <w:u w:val="single"/>
        </w:rPr>
        <w:t>Conflicts; Consents</w:t>
      </w:r>
      <w:r>
        <w:rPr>
          <w:rFonts w:ascii="Times New Roman" w:hAnsi="Times New Roman"/>
          <w:sz w:val="20"/>
        </w:rPr>
        <w:t>.  The execution and delivery by Imprimis of this Agreement, and the consummation of the transactions contemplated hereby, will not give rise to a Conflict with respect to (i) any provision of the certificate of incorporation or bylaws of Imprimis, each as amended to date; (ii) Contracts to which Imprimis or any of its properties or assets (including intangible assets) is subject; or (iii) any judgment, order, decree, statute, law, ordinance, rule or regulation applicable to Imprimis or any of its properties or assets (tangible and intangible), except in any such case where it would not have a material adverse effect on Buderer’s rights under the Assets.  It is not necessary for Imprimis to take any action or to obtain any approval, consent, or release by or from any Third Party, governmental or other, to enable Imprimis to enter into or perform its obligations under this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4.4</w:t>
      </w:r>
      <w:bookmarkStart w:id="586" w:name="TAB252"/>
      <w:bookmarkEnd w:id="586"/>
      <w:r>
        <w:rPr>
          <w:color w:val="000000"/>
          <w:spacing w:val="180"/>
        </w:rPr>
        <w:t> </w:t>
      </w:r>
      <w:r>
        <w:rPr>
          <w:rFonts w:ascii="Times New Roman" w:hAnsi="Times New Roman"/>
          <w:sz w:val="20"/>
          <w:u w:val="single"/>
        </w:rPr>
        <w:t>Compliance with Law/Permits</w:t>
      </w:r>
      <w:r>
        <w:rPr>
          <w:rFonts w:ascii="Times New Roman" w:hAnsi="Times New Roman"/>
          <w:sz w:val="20"/>
        </w:rPr>
        <w:t>.  Imprimis is in compliance with all, and is not in violation of any, law, ordinance, order, decree, rule or regulation of any governmental agency or authority, the violation of or noncompliance with which could have a material adverse effect on Imprimis.  No unresolved (i) charges of violations of laws or regulations relating to Imprimis’ business have been made or threatened; (ii) proceedings or investigations relating to Imprimis’ business are pending or have been threatened; and (iii) citations or notices of deficiency have been issued or have been threatened, against Imprimis relating to or arising out of its business by any governmental authorities, which have had or could reasonably be expected to have, individually or in the aggregate, a material adverse effect on Imprimis.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4.5</w:t>
      </w:r>
      <w:bookmarkStart w:id="587" w:name="TAB253"/>
      <w:bookmarkEnd w:id="587"/>
      <w:r>
        <w:rPr>
          <w:color w:val="000000"/>
          <w:spacing w:val="180"/>
        </w:rPr>
        <w:t> </w:t>
      </w:r>
      <w:r>
        <w:rPr>
          <w:rFonts w:ascii="Times New Roman" w:hAnsi="Times New Roman"/>
          <w:sz w:val="20"/>
          <w:u w:val="single"/>
        </w:rPr>
        <w:t>No Broker</w:t>
      </w:r>
      <w:r>
        <w:rPr>
          <w:rFonts w:ascii="Times New Roman" w:hAnsi="Times New Roman"/>
          <w:sz w:val="20"/>
        </w:rPr>
        <w:t>.  Imprimis has not retained or used the services of an agent, finder, or broker in connection with the transactions contemplated by this Agreement.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5.</w:t>
      </w:r>
      <w:bookmarkStart w:id="588" w:name="TAB254"/>
      <w:bookmarkEnd w:id="588"/>
      <w:r>
        <w:rPr>
          <w:color w:val="000000"/>
          <w:spacing w:val="180"/>
        </w:rPr>
        <w:t> </w:t>
      </w:r>
      <w:r>
        <w:rPr>
          <w:rFonts w:ascii="Times New Roman" w:hAnsi="Times New Roman"/>
          <w:sz w:val="20"/>
          <w:u w:val="single"/>
        </w:rPr>
        <w:t>Net Sales Payments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5.1</w:t>
      </w:r>
      <w:bookmarkStart w:id="589" w:name="TAB255"/>
      <w:bookmarkEnd w:id="589"/>
      <w:r>
        <w:rPr>
          <w:color w:val="000000"/>
          <w:spacing w:val="180"/>
        </w:rPr>
        <w:t> </w:t>
      </w:r>
      <w:r>
        <w:rPr>
          <w:rFonts w:ascii="Times New Roman" w:hAnsi="Times New Roman"/>
          <w:sz w:val="20"/>
          <w:u w:val="single"/>
        </w:rPr>
        <w:t>Net Sales Payment Amounts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5.1.1</w:t>
      </w:r>
      <w:bookmarkStart w:id="590" w:name="TAB256"/>
      <w:bookmarkEnd w:id="590"/>
      <w:r>
        <w:rPr>
          <w:color w:val="000000"/>
          <w:spacing w:val="180"/>
        </w:rPr>
        <w:t> </w:t>
      </w:r>
      <w:r>
        <w:rPr>
          <w:rFonts w:ascii="Times New Roman" w:hAnsi="Times New Roman"/>
          <w:sz w:val="20"/>
          <w:u w:val="single"/>
        </w:rPr>
        <w:t>Net Sales Payment Consideration</w:t>
      </w:r>
      <w:r>
        <w:rPr>
          <w:rFonts w:ascii="Times New Roman" w:hAnsi="Times New Roman"/>
          <w:sz w:val="20"/>
        </w:rPr>
        <w:t>.  Subject to the provisions in this Section 5.1 and Section 5.2, on a Product-by-Product and country-by-country basis, Imprimis shall pay to Buderer, on a quarterly basis, [***] of Net Receipts of any Product during the applicable Payment Period (the “Net Sales Payment Consideration”).</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5.1.2</w:t>
      </w:r>
      <w:bookmarkStart w:id="591" w:name="TAB257"/>
      <w:bookmarkEnd w:id="591"/>
      <w:r>
        <w:rPr>
          <w:color w:val="000000"/>
          <w:spacing w:val="180"/>
        </w:rPr>
        <w:t> </w:t>
      </w:r>
      <w:r>
        <w:rPr>
          <w:rFonts w:ascii="Times New Roman" w:hAnsi="Times New Roman"/>
          <w:sz w:val="20"/>
          <w:u w:val="single"/>
        </w:rPr>
        <w:t>Third Party Royalties</w:t>
      </w:r>
      <w:r>
        <w:rPr>
          <w:rFonts w:ascii="Times New Roman" w:hAnsi="Times New Roman"/>
          <w:sz w:val="20"/>
        </w:rPr>
        <w:t>.  If Imprimis, its Licensees or their respective Affiliates is required to pay royalties to any Third Party in order to make, have made, use, sell, offer to sale or import any Product, then Imprimis shall have the right to credit [***] of such Third Party royalty payments against the Net Sales Payment Consideration owing to Buderer under Section 5.1.1 with respect to sales of such Product; provided, however, that Imprimis shall not reduce the amount of the royalties paid to Buderer under Section 5.1.1 by reason of this Section 5.1.2, with respect to sales of such Product for any period, to less than [***] of Net Receipts of such Product for such period.</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5.1.3</w:t>
      </w:r>
      <w:bookmarkStart w:id="592" w:name="TAB258"/>
      <w:bookmarkEnd w:id="592"/>
      <w:r>
        <w:rPr>
          <w:color w:val="000000"/>
          <w:spacing w:val="180"/>
        </w:rPr>
        <w:t> </w:t>
      </w:r>
      <w:r>
        <w:rPr>
          <w:rFonts w:ascii="Times New Roman" w:hAnsi="Times New Roman"/>
          <w:sz w:val="20"/>
          <w:u w:val="single"/>
        </w:rPr>
        <w:t>Combination/Bundled Products</w:t>
      </w:r>
      <w:r>
        <w:rPr>
          <w:rFonts w:ascii="Times New Roman" w:hAnsi="Times New Roman"/>
          <w:sz w:val="20"/>
        </w:rPr>
        <w:t>.  In the event that a Product is sold by Imprimis, its Licensees or their respective Affiliates in combination with one or more products which is itself not a Product, then Net Sales shall be calculated by multiplying the sales price of such combination sale by the fraction A/(A+B) where A is the fair market value of the Product(s) and B is the fair market value of the other product(s) in the combination sale, each as reasonably determined by Imprimis.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5.2</w:t>
      </w:r>
      <w:bookmarkStart w:id="593" w:name="TAB259"/>
      <w:bookmarkEnd w:id="593"/>
      <w:r>
        <w:rPr>
          <w:color w:val="000000"/>
          <w:spacing w:val="180"/>
        </w:rPr>
        <w:t> </w:t>
      </w:r>
      <w:r>
        <w:rPr>
          <w:rFonts w:ascii="Times New Roman" w:hAnsi="Times New Roman"/>
          <w:sz w:val="20"/>
          <w:u w:val="single"/>
        </w:rPr>
        <w:t>Reports and Net Sales Payments</w:t>
      </w:r>
      <w:r>
        <w:rPr>
          <w:rFonts w:ascii="Times New Roman" w:hAnsi="Times New Roman"/>
          <w:sz w:val="20"/>
        </w:rPr>
        <w:t xml:space="preserve">.  Within sixty (60) days after the end of each calendar quarter during the applicable Payment Period, Imprimis will deliver to Buderer a report setting forth for such calendar quarter (a) the calculation of the applicable Net Sales Payment Consideration; (b) the payments due under this Agreement for the sale of each Product; and (c) the applicable exchange rate as determined below.  Imprimis will remit the total payments due for the sale of Products during such calendar quarter at the time such report is made.  No such reports or payments will be due for any Product before the First Commercial Sale of such Product.  With respect to Net Receipts received in United States dollars, all amounts shall be expressed in United States dollars.  With respect to Net Receipts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Times New Roman" w:hAnsi="Times New Roman"/>
          <w:sz w:val="20"/>
          <w:u w:val="single"/>
        </w:rPr>
        <w:t>The Wall Street Journal</w:t>
      </w:r>
      <w:r>
        <w:rPr>
          <w:rFonts w:ascii="Times New Roman" w:hAnsi="Times New Roman"/>
          <w:sz w:val="20"/>
        </w:rPr>
        <w:t>, Western Edition, under the heading “Currency Trading” on the last business day of each month during the applicable calendar quarter.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5.3</w:t>
      </w:r>
      <w:bookmarkStart w:id="594" w:name="TAB260"/>
      <w:bookmarkEnd w:id="594"/>
      <w:r>
        <w:rPr>
          <w:color w:val="000000"/>
          <w:spacing w:val="180"/>
        </w:rPr>
        <w:t> </w:t>
      </w:r>
      <w:r>
        <w:rPr>
          <w:rFonts w:ascii="Times New Roman" w:hAnsi="Times New Roman"/>
          <w:sz w:val="20"/>
          <w:u w:val="single"/>
        </w:rPr>
        <w:t>Payment Provisions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5.3.1</w:t>
      </w:r>
      <w:bookmarkStart w:id="595" w:name="TAB261"/>
      <w:bookmarkEnd w:id="595"/>
      <w:r>
        <w:rPr>
          <w:color w:val="000000"/>
          <w:spacing w:val="180"/>
        </w:rPr>
        <w:t> </w:t>
      </w:r>
      <w:r>
        <w:rPr>
          <w:rFonts w:ascii="Times New Roman" w:hAnsi="Times New Roman"/>
          <w:sz w:val="20"/>
          <w:u w:val="single"/>
        </w:rPr>
        <w:t>Payment Terms</w:t>
      </w:r>
      <w:r>
        <w:rPr>
          <w:rFonts w:ascii="Times New Roman" w:hAnsi="Times New Roman"/>
          <w:sz w:val="20"/>
        </w:rPr>
        <w:t>.  The Net Sales Payment Consideration shown to have accrued by each report provided for under Section 5.2 shall be due on the date such report is due.  Payment of Net Sales Payment Consideration in whole or in part may be made in advance of such due 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6" w:name="PGBRK51"/>
      <w:bookmarkStart w:id="597" w:name="PGBRK51"/>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8" w:name="FTR51"/>
      <w:bookmarkStart w:id="599" w:name="FTR51"/>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0" w:name="GLFTR51"/>
      <w:bookmarkEnd w:id="6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1" w:name="PN51"/>
      <w:bookmarkEnd w:id="601"/>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2" w:name="HDR47"/>
      <w:bookmarkStart w:id="603" w:name="HDR47"/>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16"/>
        </w:rPr>
      </w:pPr>
      <w:bookmarkStart w:id="604" w:name="GLHDR51"/>
      <w:bookmarkEnd w:id="604"/>
      <w:r>
        <w:rPr>
          <w:rFonts w:ascii="Times New Roman" w:hAnsi="Times New Roman"/>
          <w:sz w:val="16"/>
        </w:rPr>
        <w:t xml:space="preserve">CONFIDENTIAL TREATMENT REQUESTED.  OMITTED PORTIONS ARE MARKED WITH [***] </w:t>
        <w:br/>
        <w:t>AND HAVE BEEN FILED SEPARATELY WITH THE SEC.</w:t>
      </w: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2160"/>
        <w:rPr/>
      </w:pPr>
      <w:r>
        <w:rPr/>
        <w:t> </w:t>
      </w:r>
    </w:p>
    <w:p>
      <w:pPr>
        <w:pStyle w:val="TextBody"/>
        <w:spacing w:before="0" w:after="0"/>
        <w:ind w:left="0" w:right="0" w:firstLine="2160"/>
        <w:rPr/>
      </w:pPr>
      <w:r>
        <w:rPr>
          <w:rFonts w:ascii="Times New Roman" w:hAnsi="Times New Roman"/>
          <w:sz w:val="20"/>
        </w:rPr>
        <w:t>5.3.2</w:t>
      </w:r>
      <w:bookmarkStart w:id="605" w:name="TAB262"/>
      <w:bookmarkEnd w:id="605"/>
      <w:r>
        <w:rPr>
          <w:color w:val="000000"/>
          <w:spacing w:val="180"/>
        </w:rPr>
        <w:t> </w:t>
      </w:r>
      <w:r>
        <w:rPr>
          <w:rFonts w:ascii="Times New Roman" w:hAnsi="Times New Roman"/>
          <w:sz w:val="20"/>
          <w:u w:val="single"/>
        </w:rPr>
        <w:t>Exchange Control</w:t>
      </w:r>
      <w:r>
        <w:rPr>
          <w:rFonts w:ascii="Times New Roman" w:hAnsi="Times New Roman"/>
          <w:sz w:val="20"/>
        </w:rPr>
        <w:t>.  If at any time legal restrictions prevent the prompt remittance of part or all Net Sales Payment Consideration with respect to any country in where a Product is sold, Imprimis shall have the right, in its sole discretion, to make such payments by depositing the amount thereof in local currency to Buderer’s account in a bank or other depository institution in such country.  If the payment rate specified in this Agreement should exceed the permissible rate established in any country, the payment rate for sales in such country shall be adjusted to the highest legally permissible or government-approved rate.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5.3.3</w:t>
      </w:r>
      <w:bookmarkStart w:id="606" w:name="TAB263"/>
      <w:bookmarkEnd w:id="606"/>
      <w:r>
        <w:rPr>
          <w:color w:val="000000"/>
          <w:spacing w:val="180"/>
        </w:rPr>
        <w:t> </w:t>
      </w:r>
      <w:r>
        <w:rPr>
          <w:rFonts w:ascii="Times New Roman" w:hAnsi="Times New Roman"/>
          <w:sz w:val="20"/>
          <w:u w:val="single"/>
        </w:rPr>
        <w:t>Withholding Taxes</w:t>
      </w:r>
      <w:r>
        <w:rPr>
          <w:rFonts w:ascii="Times New Roman" w:hAnsi="Times New Roman"/>
          <w:sz w:val="20"/>
        </w:rPr>
        <w:t>.  Imprimis shall be entitled to deduct the amount of any withholding taxes, value-added taxes or other taxes, levies or charges with respect to such amounts, other than United States taxes, payable by Imprimis, its Licensees or their respective Affiliates, or any taxes required to be withheld by Imprimis, its Licensees or their respective Affiliates, to the extent Imprimis, its Licensees or their respective Affiliates pay to the appropriate governmental authority on behalf of Buderer such taxes, levies or charges.  Imprimis shall use reasonable efforts to minimize any such taxes, levies or charges required to be withheld on behalf of Buderer by Imprimis, its Licensees or their respective Affiliates.  Imprimis promptly shall deliver to Buderer proof of payment of all such taxes, levies and other charges, together with copies of all communications from or with such governmental authority with respect thereto.</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5.4</w:t>
      </w:r>
      <w:bookmarkStart w:id="607" w:name="TAB264"/>
      <w:bookmarkEnd w:id="607"/>
      <w:r>
        <w:rPr>
          <w:color w:val="000000"/>
          <w:spacing w:val="180"/>
        </w:rPr>
        <w:t> </w:t>
      </w:r>
      <w:r>
        <w:rPr>
          <w:rFonts w:ascii="Times New Roman" w:hAnsi="Times New Roman"/>
          <w:sz w:val="20"/>
          <w:u w:val="single"/>
        </w:rPr>
        <w:t>Audits</w:t>
      </w:r>
      <w:r>
        <w:rPr>
          <w:rFonts w:ascii="Times New Roman" w:hAnsi="Times New Roman"/>
          <w:sz w:val="20"/>
        </w:rPr>
        <w:t>.  Upon the written request of Buderer and not more than once in each calendar year, Imprimis shall permit an independent certified public accounting firm of nationally recognized standing selected by Buderer and reasonably acceptable to Imprimis, at Buderer’s expense, to have access during normal business hours to such of the financial records of Imprimis as may be reasonably necessary to verify the accuracy of the Net Sales Payment Consideration reports hereunder for the eight (8) calendar quarters immediately prior to the date of such request (other than records for which Buderer has already conducted an audit under this Section.  If such accounting firm concludes that additional amounts were owed during the audited period, Imprimis shall pay such additional amounts within thirty (30) days after the date Buderer delivers to Imprimis such accounting firm’s written report so concluding.  The fees charged by such accounting firm shall be paid by Buderer; provided, however, if the audit discloses that the Net Sales Payment Consideration payable by Imprimis for such period are more than one hundred ten percent (110%) of the Net Sales Payment Consideration actually paid for such period, then Imprimis shall pay the reasonable fees and expenses charged by such accounting firm.  Buderer shall cause its accounting firm to retain all financial information subject to review under this Section 5.4 in strict confidence; provided, however, that Imprimis shall have the right to require that such accounting firm, prior to conducting such audit, enter into an appropriate non-disclosure agreement with Imprimis regarding such financial information.  The accounting firm shall disclose to Buderer only whether the reports are correct or not and the amount of any discrepancy.  No other information shall be shared.  Buderer shall treat all such financial information as Imprimis’ confidential information, and shall not disclose such financial information to any Third Party or use it for any purpose other than as specified in this Section 5.4.</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6.</w:t>
      </w:r>
      <w:bookmarkStart w:id="608" w:name="TAB265"/>
      <w:bookmarkEnd w:id="608"/>
      <w:r>
        <w:rPr>
          <w:color w:val="000000"/>
          <w:spacing w:val="180"/>
        </w:rPr>
        <w:t> </w:t>
      </w:r>
      <w:r>
        <w:rPr>
          <w:rFonts w:ascii="Times New Roman" w:hAnsi="Times New Roman"/>
          <w:sz w:val="20"/>
          <w:u w:val="single"/>
        </w:rPr>
        <w:t>Post-Effective Date Covenants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6.1</w:t>
      </w:r>
      <w:bookmarkStart w:id="609" w:name="TAB266"/>
      <w:bookmarkEnd w:id="609"/>
      <w:r>
        <w:rPr>
          <w:color w:val="000000"/>
          <w:spacing w:val="180"/>
        </w:rPr>
        <w:t> </w:t>
      </w:r>
      <w:r>
        <w:rPr>
          <w:rFonts w:ascii="Times New Roman" w:hAnsi="Times New Roman"/>
          <w:sz w:val="20"/>
          <w:u w:val="single"/>
        </w:rPr>
        <w:t>Imprimis Diligence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6.1.1</w:t>
      </w:r>
      <w:bookmarkStart w:id="610" w:name="TAB267"/>
      <w:bookmarkEnd w:id="610"/>
      <w:r>
        <w:rPr>
          <w:color w:val="000000"/>
          <w:spacing w:val="180"/>
        </w:rPr>
        <w:t> </w:t>
      </w:r>
      <w:r>
        <w:rPr>
          <w:rFonts w:ascii="Times New Roman" w:hAnsi="Times New Roman"/>
          <w:sz w:val="20"/>
        </w:rPr>
        <w:t>Imprimis shall use commercially reasonable efforts (whether alone or with or through its Licensees and its or their respective Affiliates) to research, develop and commercialize a Product in major markets.</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6.1.2</w:t>
      </w:r>
      <w:bookmarkStart w:id="611" w:name="TAB268"/>
      <w:bookmarkEnd w:id="611"/>
      <w:r>
        <w:rPr>
          <w:color w:val="000000"/>
          <w:spacing w:val="180"/>
        </w:rPr>
        <w:t> </w:t>
      </w:r>
      <w:r>
        <w:rPr>
          <w:rFonts w:ascii="Times New Roman" w:hAnsi="Times New Roman"/>
          <w:sz w:val="20"/>
        </w:rPr>
        <w:t>Imprimis shall control, at its sole expense, the preparation, filing, prosecution, maintenance and enforcement of the Assigned Patent Rights consistent with prudent business practices, and shall consider in good faith the interests of Buderer.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6.2</w:t>
      </w:r>
      <w:bookmarkStart w:id="612" w:name="TAB269"/>
      <w:bookmarkEnd w:id="612"/>
      <w:r>
        <w:rPr>
          <w:color w:val="000000"/>
          <w:spacing w:val="180"/>
        </w:rPr>
        <w:t> </w:t>
      </w:r>
      <w:r>
        <w:rPr>
          <w:rFonts w:ascii="Times New Roman" w:hAnsi="Times New Roman"/>
          <w:sz w:val="20"/>
          <w:u w:val="single"/>
        </w:rPr>
        <w:t>Buderer Covenants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6.2.1</w:t>
      </w:r>
      <w:bookmarkStart w:id="613" w:name="TAB270"/>
      <w:bookmarkEnd w:id="613"/>
      <w:r>
        <w:rPr>
          <w:color w:val="000000"/>
          <w:spacing w:val="180"/>
        </w:rPr>
        <w:t> </w:t>
      </w:r>
      <w:r>
        <w:rPr>
          <w:rFonts w:ascii="Times New Roman" w:hAnsi="Times New Roman"/>
          <w:sz w:val="20"/>
        </w:rPr>
        <w:t>Buderer shall transfer to Imprimis all documents and information comprising the Assets within thirty (30) days after the Effective Date.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6.2.2</w:t>
      </w:r>
      <w:bookmarkStart w:id="614" w:name="TAB271"/>
      <w:bookmarkEnd w:id="614"/>
      <w:r>
        <w:rPr>
          <w:color w:val="000000"/>
          <w:spacing w:val="180"/>
        </w:rPr>
        <w:t> </w:t>
      </w:r>
      <w:r>
        <w:rPr>
          <w:rFonts w:ascii="Times New Roman" w:hAnsi="Times New Roman"/>
          <w:sz w:val="20"/>
        </w:rPr>
        <w:t>During the term of the Agreement, Imprimis shall have the first right (at its sole option in its sole discretion) to acquire each new product and technology opportunity of Buderer or its Affiliates pursuant to a transaction with substantially the same structure as this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6.3</w:t>
      </w:r>
      <w:bookmarkStart w:id="615" w:name="TAB272"/>
      <w:bookmarkEnd w:id="615"/>
      <w:r>
        <w:rPr>
          <w:color w:val="000000"/>
          <w:spacing w:val="180"/>
        </w:rPr>
        <w:t> </w:t>
      </w:r>
      <w:r>
        <w:rPr>
          <w:rFonts w:ascii="Times New Roman" w:hAnsi="Times New Roman"/>
          <w:sz w:val="20"/>
          <w:u w:val="single"/>
        </w:rPr>
        <w:t>Further Assurances</w:t>
      </w:r>
      <w:r>
        <w:rPr>
          <w:rFonts w:ascii="Times New Roman" w:hAnsi="Times New Roman"/>
          <w:sz w:val="20"/>
        </w:rPr>
        <w:t>.  Buderer shall provide all cooperation reasonably requested by Imprimis in connection with any effort by Imprimis to establish, perfect, defend, or enforce its rights in or to the Assets (including the Assigned Patent Rights).  Such cooperation shall include, without limitation, (i) executing further consistent assignments, transfers, licenses, and releases, and (ii) providing data and information, consulting with Imprimis and executing and delivering any documents and instruments regarding the preparation and prosecution of the Assigned Patent Rights.  In addition, to the extent Buderer cannot transfer and assign any of the Assigned Patent Rights, or any portion thereof, as of the Effective Date, then Buderer will assign and transfer the same at the first opportunity to do so.  To the extent further transfer or assignment of any patents rights is required and Buderer has not, within fifteen (15) days after the delivery of such assignment to Buderer, (a) executed and returned to Imprimis the form of assignment reasonably requested by Imprimis, or (b) delivered to Imprimis a written objection to Imprimis’ request, then Buderer hereby irrevocably appoints Imprimis as its attorney-in-fact with the right, authority, and ability to execute and enter into such assignment on behalf of Buderer.  Buderer stipulates and agrees that such appointment is a right coupled with an interest and will survive the incapacity or unavailability of Buderer at any future time.  To the extent that any of the Assigned Patent Rights cannot be assigned and transferred by Buderer, then Buderer hereby grants Imprimis an irrevocable, worldwide, fully-paid up, royalty-free, exclusive license, with the right to sublicense through multiple tiers, under the Assigned Patent Rights for all purposes.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6" w:name="PGBRK52"/>
      <w:bookmarkStart w:id="617" w:name="PGBRK52"/>
      <w:bookmarkEnd w:id="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8" w:name="FTR52"/>
      <w:bookmarkStart w:id="619" w:name="FTR52"/>
      <w:bookmarkEnd w:id="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0" w:name="GLFTR52"/>
      <w:bookmarkEnd w:id="6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1" w:name="PN52"/>
      <w:bookmarkEnd w:id="621"/>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2" w:name="HDR48"/>
      <w:bookmarkStart w:id="623" w:name="HDR48"/>
      <w:bookmarkEnd w:id="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16"/>
        </w:rPr>
      </w:pPr>
      <w:bookmarkStart w:id="624" w:name="GLHDR52"/>
      <w:bookmarkEnd w:id="624"/>
      <w:r>
        <w:rPr>
          <w:rFonts w:ascii="Times New Roman" w:hAnsi="Times New Roman"/>
          <w:sz w:val="16"/>
        </w:rPr>
        <w:t xml:space="preserve">CONFIDENTIAL TREATMENT REQUESTED.  OMITTED PORTIONS ARE MARKED WITH [***] </w:t>
        <w:br/>
        <w:t>AND HAVE BEEN FILED SEPARATELY WITH THE SEC.</w:t>
      </w: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t> </w:t>
      </w:r>
    </w:p>
    <w:p>
      <w:pPr>
        <w:pStyle w:val="TextBody"/>
        <w:spacing w:before="0" w:after="0"/>
        <w:ind w:left="0" w:right="0" w:firstLine="720"/>
        <w:rPr/>
      </w:pPr>
      <w:r>
        <w:rPr>
          <w:rFonts w:ascii="Times New Roman" w:hAnsi="Times New Roman"/>
          <w:sz w:val="20"/>
        </w:rPr>
        <w:t>7.</w:t>
      </w:r>
      <w:bookmarkStart w:id="625" w:name="TAB273"/>
      <w:bookmarkEnd w:id="625"/>
      <w:r>
        <w:rPr>
          <w:color w:val="000000"/>
          <w:spacing w:val="180"/>
        </w:rPr>
        <w:t> </w:t>
      </w:r>
      <w:r>
        <w:rPr>
          <w:rFonts w:ascii="Times New Roman" w:hAnsi="Times New Roman"/>
          <w:sz w:val="20"/>
          <w:u w:val="single"/>
        </w:rPr>
        <w:t>Indemnification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7.1</w:t>
      </w:r>
      <w:bookmarkStart w:id="626" w:name="TAB274"/>
      <w:bookmarkEnd w:id="626"/>
      <w:r>
        <w:rPr>
          <w:color w:val="000000"/>
          <w:spacing w:val="180"/>
        </w:rPr>
        <w:t> </w:t>
      </w:r>
      <w:r>
        <w:rPr>
          <w:rFonts w:ascii="Times New Roman" w:hAnsi="Times New Roman"/>
          <w:sz w:val="20"/>
          <w:u w:val="single"/>
        </w:rPr>
        <w:t>Indemnification of Imprimis</w:t>
      </w:r>
      <w:r>
        <w:rPr>
          <w:rFonts w:ascii="Times New Roman" w:hAnsi="Times New Roman"/>
          <w:sz w:val="20"/>
        </w:rPr>
        <w:t>.  Subject to the provisions of this Section 7, Buderer shall indemnify, defend and hold harmless Imprimis, its officers, directors, affiliates, agents, stockholders and representatives (collectively, the “Imprimis Indemnitees”), from and against any and all damage, loss, liability and expense (including without limitation reasonable expenses of investigation and reasonable attorneys’ and consultants’ fees and expenses in connection with any action, suit or proceeding or settlement of any of the foregoing) (collectively, “Losses”) incurred or suffered by a Imprimis Indemnitee arising out of:</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7.1.1</w:t>
      </w:r>
      <w:bookmarkStart w:id="627" w:name="TAB275"/>
      <w:bookmarkEnd w:id="627"/>
      <w:r>
        <w:rPr>
          <w:color w:val="000000"/>
          <w:spacing w:val="180"/>
        </w:rPr>
        <w:t> </w:t>
      </w:r>
      <w:r>
        <w:rPr>
          <w:rFonts w:ascii="Times New Roman" w:hAnsi="Times New Roman"/>
          <w:sz w:val="20"/>
        </w:rPr>
        <w:t>any breach of the representations and warranties of Buderer set forth in this Agreement;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7.1.2</w:t>
      </w:r>
      <w:bookmarkStart w:id="628" w:name="TAB276"/>
      <w:bookmarkEnd w:id="628"/>
      <w:r>
        <w:rPr>
          <w:color w:val="000000"/>
          <w:spacing w:val="180"/>
        </w:rPr>
        <w:t> </w:t>
      </w:r>
      <w:r>
        <w:rPr>
          <w:rFonts w:ascii="Times New Roman" w:hAnsi="Times New Roman"/>
          <w:sz w:val="20"/>
        </w:rPr>
        <w:t>any breach of any covenant or agreement of Buderer set forth in this Agreement or in any certificate, instrument, or other document delivered pursuant to this Agreement; and</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7.1.3</w:t>
      </w:r>
      <w:bookmarkStart w:id="629" w:name="TAB277"/>
      <w:bookmarkEnd w:id="629"/>
      <w:r>
        <w:rPr>
          <w:color w:val="000000"/>
          <w:spacing w:val="180"/>
        </w:rPr>
        <w:t> </w:t>
      </w:r>
      <w:r>
        <w:rPr>
          <w:rFonts w:ascii="Times New Roman" w:hAnsi="Times New Roman"/>
          <w:sz w:val="20"/>
        </w:rPr>
        <w:t>the ownership or operation of the Assets prior to the Effective Date or any liability or obligation whatsoever of Buderer.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7.2</w:t>
      </w:r>
      <w:bookmarkStart w:id="630" w:name="TAB278"/>
      <w:bookmarkEnd w:id="630"/>
      <w:r>
        <w:rPr>
          <w:color w:val="000000"/>
          <w:spacing w:val="180"/>
        </w:rPr>
        <w:t> </w:t>
      </w:r>
      <w:r>
        <w:rPr>
          <w:rFonts w:ascii="Times New Roman" w:hAnsi="Times New Roman"/>
          <w:sz w:val="20"/>
          <w:u w:val="single"/>
        </w:rPr>
        <w:t>Indemnification of Buderer</w:t>
      </w:r>
      <w:r>
        <w:rPr>
          <w:rFonts w:ascii="Times New Roman" w:hAnsi="Times New Roman"/>
          <w:sz w:val="20"/>
        </w:rPr>
        <w:t>.  Subject to the provisions of this Section 7, Imprimis shall indemnify and hold harmless Buderer, its officers, directors, affiliates, agents, stockholders and representatives (collectively, the “Buderer Indemnitees”), from and against any and all Losses incurred or suffered by a Buderer Indemnitee arising out of:</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7.2.1</w:t>
      </w:r>
      <w:bookmarkStart w:id="631" w:name="TAB279"/>
      <w:bookmarkEnd w:id="631"/>
      <w:r>
        <w:rPr>
          <w:color w:val="000000"/>
          <w:spacing w:val="180"/>
        </w:rPr>
        <w:t> </w:t>
      </w:r>
      <w:r>
        <w:rPr>
          <w:rFonts w:ascii="Times New Roman" w:hAnsi="Times New Roman"/>
          <w:sz w:val="20"/>
        </w:rPr>
        <w:t>any breach of the representations and warranties of Imprimis set forth in this Agreement;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7.2.2</w:t>
      </w:r>
      <w:bookmarkStart w:id="632" w:name="TAB280"/>
      <w:bookmarkEnd w:id="632"/>
      <w:r>
        <w:rPr>
          <w:color w:val="000000"/>
          <w:spacing w:val="180"/>
        </w:rPr>
        <w:t> </w:t>
      </w:r>
      <w:r>
        <w:rPr>
          <w:rFonts w:ascii="Times New Roman" w:hAnsi="Times New Roman"/>
          <w:sz w:val="20"/>
        </w:rPr>
        <w:t>any breach of any covenant or agreement of Imprimis set forth in this Agreement or in any certificate, instrument, or other document delivered pursuant to this Agreement;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7.2.3</w:t>
      </w:r>
      <w:bookmarkStart w:id="633" w:name="TAB281"/>
      <w:bookmarkEnd w:id="633"/>
      <w:r>
        <w:rPr>
          <w:color w:val="000000"/>
          <w:spacing w:val="180"/>
        </w:rPr>
        <w:t> </w:t>
      </w:r>
      <w:r>
        <w:rPr>
          <w:rFonts w:ascii="Times New Roman" w:hAnsi="Times New Roman"/>
          <w:sz w:val="20"/>
        </w:rPr>
        <w:t>the ownership or operation of the Assets after the Effective Date or the manufacture, use, or sale of Product solely by Imprimis, its Licensees or their respective Affiliates or use of Product by their customers.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7.3</w:t>
      </w:r>
      <w:bookmarkStart w:id="634" w:name="TAB282"/>
      <w:bookmarkEnd w:id="634"/>
      <w:r>
        <w:rPr>
          <w:color w:val="000000"/>
          <w:spacing w:val="180"/>
        </w:rPr>
        <w:t> </w:t>
      </w:r>
      <w:r>
        <w:rPr>
          <w:rFonts w:ascii="Times New Roman" w:hAnsi="Times New Roman"/>
          <w:sz w:val="20"/>
          <w:u w:val="single"/>
        </w:rPr>
        <w:t>Offset</w:t>
      </w:r>
      <w:r>
        <w:rPr>
          <w:rFonts w:ascii="Times New Roman" w:hAnsi="Times New Roman"/>
          <w:sz w:val="20"/>
        </w:rPr>
        <w:t>.  Imprimis may offset against the Net Sales Payment Consideration or any other amounts due Buderer from Imprimis, any amounts owed to Imprimis for indemnification under Section 7.1.  The exercise of such offset by Imprimis in good faith, whether or not ultimately determined to be justified, will not constitute an event of default hereunder.  Neither the exercise nor the failure to exercise, any such right of offset will constitute an election of remedies or limit Imprimis in any manner in the enforcement of any other remedies that may be available to it.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7.4</w:t>
      </w:r>
      <w:bookmarkStart w:id="635" w:name="TAB283"/>
      <w:bookmarkEnd w:id="635"/>
      <w:r>
        <w:rPr>
          <w:color w:val="000000"/>
          <w:spacing w:val="180"/>
        </w:rPr>
        <w:t> </w:t>
      </w:r>
      <w:r>
        <w:rPr>
          <w:rFonts w:ascii="Times New Roman" w:hAnsi="Times New Roman"/>
          <w:sz w:val="20"/>
          <w:u w:val="single"/>
        </w:rPr>
        <w:t>Procedure</w:t>
      </w:r>
      <w:r>
        <w:rPr>
          <w:rFonts w:ascii="Times New Roman" w:hAnsi="Times New Roman"/>
          <w:sz w:val="20"/>
        </w:rPr>
        <w:t>.  A party seeking indemnification (the “Indemnitee”) will promptly notify the other party (the “Indemnifying Party”) in writing of a claim or suit; provided that an Indemnitee’s failure to give such notice or delay in giving such notice will not affect such Indemnitee’s right to indemnification under this Section 7 except to the extent that the Indemnifying Party has been prejudiced by such failure or delay.  Imprimis shall have the right to control the defense of all indemnification claims hereunder.  Buderer shall have the right to participate at its own expense in the claim or suit with counsel of its own choosing.  Imprimis will consult with the Indemnitee in good faith with respect to all non-privileged aspects of the defense strategy.  Buderer will cooperate with the Imprimis as reasonably requested, at the Buderer’s sole cost and expense.  Imprimis will not settle any claim or suit with respect to which Buderer is the Indemnifying Party without Buderer’s prior written consent, which consent shall not be unreasonably withheld.</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8.</w:t>
      </w:r>
      <w:bookmarkStart w:id="636" w:name="TAB284"/>
      <w:bookmarkEnd w:id="636"/>
      <w:r>
        <w:rPr>
          <w:color w:val="000000"/>
          <w:spacing w:val="180"/>
        </w:rPr>
        <w:t> </w:t>
      </w:r>
      <w:r>
        <w:rPr>
          <w:rFonts w:ascii="Times New Roman" w:hAnsi="Times New Roman"/>
          <w:sz w:val="20"/>
          <w:u w:val="single"/>
        </w:rPr>
        <w:t>Term and Termination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8.1</w:t>
      </w:r>
      <w:bookmarkStart w:id="637" w:name="TAB285"/>
      <w:bookmarkEnd w:id="637"/>
      <w:r>
        <w:rPr>
          <w:color w:val="000000"/>
          <w:spacing w:val="180"/>
        </w:rPr>
        <w:t> </w:t>
      </w:r>
      <w:r>
        <w:rPr>
          <w:rFonts w:ascii="Times New Roman" w:hAnsi="Times New Roman"/>
          <w:sz w:val="20"/>
          <w:u w:val="single"/>
        </w:rPr>
        <w:t>Term</w:t>
      </w:r>
      <w:r>
        <w:rPr>
          <w:rFonts w:ascii="Times New Roman" w:hAnsi="Times New Roman"/>
          <w:sz w:val="20"/>
        </w:rPr>
        <w:t>.  The term of this Agreement shall continue until expiration of all payment obligations hereunder.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8.2</w:t>
      </w:r>
      <w:bookmarkStart w:id="638" w:name="TAB286"/>
      <w:bookmarkEnd w:id="638"/>
      <w:r>
        <w:rPr>
          <w:color w:val="000000"/>
          <w:spacing w:val="180"/>
        </w:rPr>
        <w:t> </w:t>
      </w:r>
      <w:r>
        <w:rPr>
          <w:rFonts w:ascii="Times New Roman" w:hAnsi="Times New Roman"/>
          <w:sz w:val="20"/>
          <w:u w:val="single"/>
        </w:rPr>
        <w:t>Termination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8.2.1</w:t>
      </w:r>
      <w:bookmarkStart w:id="639" w:name="TAB287"/>
      <w:bookmarkEnd w:id="639"/>
      <w:r>
        <w:rPr>
          <w:color w:val="000000"/>
          <w:spacing w:val="180"/>
        </w:rPr>
        <w:t> </w:t>
      </w:r>
      <w:r>
        <w:rPr>
          <w:rFonts w:ascii="Times New Roman" w:hAnsi="Times New Roman"/>
          <w:sz w:val="20"/>
        </w:rPr>
        <w:t>Imprimis shall have the right to terminate this Agreement at its option in its sole discretion upon written notice to Buderer.</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8.2.2</w:t>
      </w:r>
      <w:bookmarkStart w:id="640" w:name="TAB288"/>
      <w:bookmarkEnd w:id="640"/>
      <w:r>
        <w:rPr>
          <w:color w:val="000000"/>
          <w:spacing w:val="180"/>
        </w:rPr>
        <w:t> </w:t>
      </w:r>
      <w:r>
        <w:rPr>
          <w:rFonts w:ascii="Times New Roman" w:hAnsi="Times New Roman"/>
          <w:sz w:val="20"/>
        </w:rPr>
        <w:t>If Imprimis, its Licensee or their respective Affiliates fails to file an Investigational New Drug Application in the United States for a Product before the fifth anniversary of the Effective Date, then (unless the parties otherwise mutually agree in writing) Buderer shall have the right, at its option and as its sole remedy, to terminate the Agreement.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8.2.3</w:t>
      </w:r>
      <w:bookmarkStart w:id="641" w:name="TAB289"/>
      <w:bookmarkEnd w:id="641"/>
      <w:r>
        <w:rPr>
          <w:color w:val="000000"/>
          <w:spacing w:val="180"/>
        </w:rPr>
        <w:t> </w:t>
      </w:r>
      <w:r>
        <w:rPr>
          <w:rFonts w:ascii="Times New Roman" w:hAnsi="Times New Roman"/>
          <w:sz w:val="20"/>
        </w:rPr>
        <w:t>In the event of the termination of this Agreement in accordance with this Section 8.2, Imprimis shall re-assign to Buderer the Technology and the other Assets.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2" w:name="PGBRK53"/>
      <w:bookmarkStart w:id="643" w:name="PGBRK53"/>
      <w:bookmarkEnd w:id="6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4" w:name="FTR53"/>
      <w:bookmarkStart w:id="645" w:name="FTR53"/>
      <w:bookmarkEnd w:id="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6" w:name="GLFTR53"/>
      <w:bookmarkEnd w:id="6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7" w:name="PN53"/>
      <w:bookmarkEnd w:id="647"/>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8" w:name="HDR49"/>
      <w:bookmarkStart w:id="649" w:name="HDR49"/>
      <w:bookmarkEnd w:id="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16"/>
        </w:rPr>
      </w:pPr>
      <w:bookmarkStart w:id="650" w:name="GLHDR53"/>
      <w:bookmarkEnd w:id="650"/>
      <w:r>
        <w:rPr>
          <w:rFonts w:ascii="Times New Roman" w:hAnsi="Times New Roman"/>
          <w:sz w:val="16"/>
        </w:rPr>
        <w:t xml:space="preserve">CONFIDENTIAL TREATMENT REQUESTED.  OMITTED PORTIONS ARE MARKED WITH [***] </w:t>
        <w:br/>
        <w:t>AND HAVE BEEN FILED SEPARATELY WITH THE SEC.</w:t>
      </w: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t> </w:t>
      </w:r>
    </w:p>
    <w:p>
      <w:pPr>
        <w:pStyle w:val="TextBody"/>
        <w:spacing w:before="0" w:after="0"/>
        <w:ind w:left="0" w:right="0" w:firstLine="720"/>
        <w:rPr/>
      </w:pPr>
      <w:r>
        <w:rPr>
          <w:rFonts w:ascii="Times New Roman" w:hAnsi="Times New Roman"/>
          <w:sz w:val="20"/>
        </w:rPr>
        <w:t>9.</w:t>
      </w:r>
      <w:bookmarkStart w:id="651" w:name="TAB290"/>
      <w:bookmarkEnd w:id="651"/>
      <w:r>
        <w:rPr>
          <w:color w:val="000000"/>
          <w:spacing w:val="180"/>
        </w:rPr>
        <w:t> </w:t>
      </w:r>
      <w:r>
        <w:rPr>
          <w:rFonts w:ascii="Times New Roman" w:hAnsi="Times New Roman"/>
          <w:sz w:val="20"/>
          <w:u w:val="single"/>
        </w:rPr>
        <w:t>Miscellaneous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9.1</w:t>
      </w:r>
      <w:bookmarkStart w:id="652" w:name="TAB291"/>
      <w:bookmarkEnd w:id="652"/>
      <w:r>
        <w:rPr>
          <w:color w:val="000000"/>
          <w:spacing w:val="180"/>
        </w:rPr>
        <w:t> </w:t>
      </w:r>
      <w:r>
        <w:rPr>
          <w:rFonts w:ascii="Times New Roman" w:hAnsi="Times New Roman"/>
          <w:sz w:val="20"/>
          <w:u w:val="single"/>
        </w:rPr>
        <w:t>Public Announcements</w:t>
      </w:r>
      <w:r>
        <w:rPr>
          <w:rFonts w:ascii="Times New Roman" w:hAnsi="Times New Roman"/>
          <w:sz w:val="20"/>
        </w:rPr>
        <w:t>.  Neither party shall make any public announcements concerning matters concerning this Agreement or the negotiation thereof without the prior written consent of the other party unless such disclosure is required by law, in which case the announcing party shall provide the other party with reasonable notice of such disclosure.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9.2</w:t>
      </w:r>
      <w:bookmarkStart w:id="653" w:name="TAB292"/>
      <w:bookmarkEnd w:id="653"/>
      <w:r>
        <w:rPr>
          <w:color w:val="000000"/>
          <w:spacing w:val="180"/>
        </w:rPr>
        <w:t> </w:t>
      </w:r>
      <w:r>
        <w:rPr>
          <w:rFonts w:ascii="Times New Roman" w:hAnsi="Times New Roman"/>
          <w:sz w:val="20"/>
          <w:u w:val="single"/>
        </w:rPr>
        <w:t>Assignment</w:t>
      </w:r>
      <w:r>
        <w:rPr>
          <w:rFonts w:ascii="Times New Roman" w:hAnsi="Times New Roman"/>
          <w:sz w:val="20"/>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9.2 shall be void.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9.3</w:t>
      </w:r>
      <w:bookmarkStart w:id="654" w:name="TAB293"/>
      <w:bookmarkEnd w:id="654"/>
      <w:r>
        <w:rPr>
          <w:color w:val="000000"/>
          <w:spacing w:val="180"/>
        </w:rPr>
        <w:t> </w:t>
      </w:r>
      <w:r>
        <w:rPr>
          <w:rFonts w:ascii="Times New Roman" w:hAnsi="Times New Roman"/>
          <w:sz w:val="20"/>
          <w:u w:val="single"/>
        </w:rPr>
        <w:t>Confidentiality</w:t>
      </w:r>
      <w:r>
        <w:rPr>
          <w:rFonts w:ascii="Times New Roman" w:hAnsi="Times New Roman"/>
          <w:sz w:val="20"/>
        </w:rPr>
        <w:t xml:space="preserve">.  Each party hereby agrees, and agrees to cause its stockholders, members, and representatives, to keep the terms of this Agreement confidential and, without limiting its other obligations hereunder, will treat and safeguard such terms with the same degree of care with which it treats its own confidential information (but in no less a reasonable degree of care) and to limit access to such terms to such employees, consultants, representatives and professional advisors of such party who reasonably require such access in connection with the activities contemplated by this Agreement or otherwise to administer the terms of this Agreement.  To the extent practicable, in the event that a party is required to disclose such terms pursuant to any law, regulation, or judicial or administrative directive, such party will promptly notify the other party in order to allow the other party a reasonable period of time to obtain protective or confidential treatment of such terms before they are disclosed.  Either party may disclose the terms of this Agreement (i) to the extent required, in the reasonable opinion of such party’s legal counsel, to comply with applicable laws, including, without limitation, the rules and regulations promulgated by the United States Securities and Exchange Commission; and (ii) in connection with a prospective acquisition, merger, financing, or license for such party, to prospective acquirers or merger candidates or to existing or potential investors or licensees; </w:t>
      </w:r>
      <w:r>
        <w:rPr>
          <w:rFonts w:ascii="Times New Roman" w:hAnsi="Times New Roman"/>
          <w:i/>
          <w:sz w:val="20"/>
        </w:rPr>
        <w:t>provided that</w:t>
      </w:r>
      <w:r>
        <w:rPr>
          <w:rFonts w:ascii="Times New Roman" w:hAnsi="Times New Roman"/>
          <w:sz w:val="20"/>
        </w:rPr>
        <w:t xml:space="preserve"> prior to such disclosure each such candidate or investor will agree to be bound by obligations of confidentiality and non-use at least equivalent in scope to those set forth in this Section 9.3.  Each party acknowledges that it will be impossible to measure in money the damage to the other party if such party fails to comply with the obligations imposed by this Section 9.3, and that, in the event of any such failure, the non-disclosing party may not have an adequate remedy at law or in damages.  Accordingly, each party agrees that injunctive relief or other equitable remedy, in addition to remedies at law or damages, is an appropriate remedy for any such failure and will not oppose the granting of such relief on the basis that the disclosing party has an adequate remedy at law.  Each party agrees that it will not seek, and agrees to waive any requirement for, the securing or posting of a bond in connection with the non-disclosing party seeking or obtaining such equitable relief.</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9.4</w:t>
      </w:r>
      <w:bookmarkStart w:id="655" w:name="TAB294"/>
      <w:bookmarkEnd w:id="655"/>
      <w:r>
        <w:rPr>
          <w:color w:val="000000"/>
          <w:spacing w:val="180"/>
        </w:rPr>
        <w:t> </w:t>
      </w:r>
      <w:r>
        <w:rPr>
          <w:rFonts w:ascii="Times New Roman" w:hAnsi="Times New Roman"/>
          <w:sz w:val="20"/>
          <w:u w:val="single"/>
        </w:rPr>
        <w:t>Severability</w:t>
      </w:r>
      <w:r>
        <w:rPr>
          <w:rFonts w:ascii="Times New Roman" w:hAnsi="Times New Roman"/>
          <w:sz w:val="20"/>
        </w:rPr>
        <w:t>.  Any provision of this Agreement which is illegal, invalid or unenforceable shall be ineffective to the extent of such illegality, invalidity or unenforceability, without affecting in any way the remaining provisions hereof.</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9.5</w:t>
      </w:r>
      <w:bookmarkStart w:id="656" w:name="TAB295"/>
      <w:bookmarkEnd w:id="656"/>
      <w:r>
        <w:rPr>
          <w:color w:val="000000"/>
          <w:spacing w:val="180"/>
        </w:rPr>
        <w:t> </w:t>
      </w:r>
      <w:r>
        <w:rPr>
          <w:rFonts w:ascii="Times New Roman" w:hAnsi="Times New Roman"/>
          <w:sz w:val="20"/>
          <w:u w:val="single"/>
        </w:rPr>
        <w:t>Governing Law; Exclusive Jurisdiction</w:t>
      </w:r>
      <w:r>
        <w:rPr>
          <w:rFonts w:ascii="Times New Roman" w:hAnsi="Times New Roman"/>
          <w:sz w:val="20"/>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9.6</w:t>
      </w:r>
      <w:bookmarkStart w:id="657" w:name="TAB296"/>
      <w:bookmarkEnd w:id="657"/>
      <w:r>
        <w:rPr>
          <w:color w:val="000000"/>
          <w:spacing w:val="180"/>
        </w:rPr>
        <w:t> </w:t>
      </w:r>
      <w:r>
        <w:rPr>
          <w:rFonts w:ascii="Times New Roman" w:hAnsi="Times New Roman"/>
          <w:sz w:val="20"/>
          <w:u w:val="single"/>
        </w:rPr>
        <w:t>Entire Agreement; Amendment</w:t>
      </w:r>
      <w:r>
        <w:rPr>
          <w:rFonts w:ascii="Times New Roman" w:hAnsi="Times New Roman"/>
          <w:sz w:val="20"/>
        </w:rPr>
        <w:t>.  This Agreement, and each additional agreement and document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9.7</w:t>
      </w:r>
      <w:bookmarkStart w:id="658" w:name="TAB297"/>
      <w:bookmarkEnd w:id="658"/>
      <w:r>
        <w:rPr>
          <w:color w:val="000000"/>
          <w:spacing w:val="180"/>
        </w:rPr>
        <w:t> </w:t>
      </w:r>
      <w:r>
        <w:rPr>
          <w:rFonts w:ascii="Times New Roman" w:hAnsi="Times New Roman"/>
          <w:sz w:val="20"/>
          <w:u w:val="single"/>
        </w:rPr>
        <w:t>Waiver</w:t>
      </w:r>
      <w:r>
        <w:rPr>
          <w:rFonts w:ascii="Times New Roman" w:hAnsi="Times New Roman"/>
          <w:sz w:val="20"/>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9.8</w:t>
      </w:r>
      <w:bookmarkStart w:id="659" w:name="TAB298"/>
      <w:bookmarkEnd w:id="659"/>
      <w:r>
        <w:rPr>
          <w:color w:val="000000"/>
          <w:spacing w:val="180"/>
        </w:rPr>
        <w:t> </w:t>
      </w:r>
      <w:r>
        <w:rPr>
          <w:rFonts w:ascii="Times New Roman" w:hAnsi="Times New Roman"/>
          <w:sz w:val="20"/>
          <w:u w:val="single"/>
        </w:rPr>
        <w:t>Notices</w:t>
      </w:r>
      <w:r>
        <w:rPr>
          <w:rFonts w:ascii="Times New Roman" w:hAnsi="Times New Roman"/>
          <w:sz w:val="20"/>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If to Buderer:                        Buderer Drug Company, Inc.</w:t>
      </w:r>
    </w:p>
    <w:p>
      <w:pPr>
        <w:pStyle w:val="TextBody"/>
        <w:spacing w:before="0" w:after="0"/>
        <w:ind w:left="2160" w:right="0" w:firstLine="720"/>
        <w:jc w:val="left"/>
        <w:rPr>
          <w:rFonts w:ascii="Times New Roman" w:hAnsi="Times New Roman"/>
          <w:sz w:val="20"/>
        </w:rPr>
      </w:pPr>
      <w:r>
        <w:rPr>
          <w:rFonts w:ascii="Times New Roman" w:hAnsi="Times New Roman"/>
          <w:sz w:val="20"/>
        </w:rPr>
        <w:t>633 Hancock Street</w:t>
      </w:r>
    </w:p>
    <w:p>
      <w:pPr>
        <w:pStyle w:val="TextBody"/>
        <w:spacing w:before="0" w:after="0"/>
        <w:ind w:left="2160" w:right="0" w:firstLine="720"/>
        <w:jc w:val="left"/>
        <w:rPr>
          <w:rFonts w:ascii="Times New Roman" w:hAnsi="Times New Roman"/>
          <w:sz w:val="20"/>
        </w:rPr>
      </w:pPr>
      <w:r>
        <w:rPr>
          <w:rFonts w:ascii="Times New Roman" w:hAnsi="Times New Roman"/>
          <w:sz w:val="20"/>
        </w:rPr>
        <w:t>Sandusky, Ohio 44870</w:t>
      </w:r>
    </w:p>
    <w:p>
      <w:pPr>
        <w:pStyle w:val="TextBody"/>
        <w:spacing w:before="0" w:after="0"/>
        <w:ind w:left="2160" w:right="0" w:firstLine="720"/>
        <w:jc w:val="left"/>
        <w:rPr>
          <w:rFonts w:ascii="Times New Roman" w:hAnsi="Times New Roman"/>
          <w:sz w:val="20"/>
        </w:rPr>
      </w:pPr>
      <w:r>
        <w:rPr>
          <w:rFonts w:ascii="Times New Roman" w:hAnsi="Times New Roman"/>
          <w:sz w:val="20"/>
        </w:rPr>
        <w:t>Attention:  Matthew Buderer</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If to Imprimis:                        Imprimis Pharmaceuticals, Inc.</w:t>
      </w:r>
    </w:p>
    <w:p>
      <w:pPr>
        <w:pStyle w:val="TextBody"/>
        <w:spacing w:before="0" w:after="0"/>
        <w:ind w:left="2880" w:right="0" w:hanging="0"/>
        <w:jc w:val="left"/>
        <w:rPr>
          <w:rFonts w:ascii="Times New Roman" w:hAnsi="Times New Roman"/>
          <w:sz w:val="20"/>
        </w:rPr>
      </w:pPr>
      <w:r>
        <w:rPr>
          <w:rFonts w:ascii="Times New Roman" w:hAnsi="Times New Roman"/>
          <w:sz w:val="20"/>
        </w:rPr>
        <w:t>12626 High Bluff Drive, Suite 150</w:t>
      </w:r>
    </w:p>
    <w:p>
      <w:pPr>
        <w:pStyle w:val="TextBody"/>
        <w:spacing w:before="0" w:after="0"/>
        <w:ind w:left="2880" w:right="0" w:hanging="0"/>
        <w:jc w:val="left"/>
        <w:rPr>
          <w:rFonts w:ascii="Times New Roman" w:hAnsi="Times New Roman"/>
          <w:sz w:val="20"/>
        </w:rPr>
      </w:pPr>
      <w:r>
        <w:rPr>
          <w:rFonts w:ascii="Times New Roman" w:hAnsi="Times New Roman"/>
          <w:sz w:val="20"/>
        </w:rPr>
        <w:t>San Diego, California 92130</w:t>
      </w:r>
    </w:p>
    <w:p>
      <w:pPr>
        <w:pStyle w:val="TextBody"/>
        <w:spacing w:before="0" w:after="0"/>
        <w:ind w:left="2880" w:right="0" w:hanging="0"/>
        <w:jc w:val="left"/>
        <w:rPr>
          <w:rFonts w:ascii="Times New Roman" w:hAnsi="Times New Roman"/>
          <w:sz w:val="20"/>
        </w:rPr>
      </w:pPr>
      <w:r>
        <w:rPr>
          <w:rFonts w:ascii="Times New Roman" w:hAnsi="Times New Roman"/>
          <w:sz w:val="20"/>
        </w:rPr>
        <w:t>Attention:  Chief Executive Officer</w:t>
      </w:r>
    </w:p>
    <w:p>
      <w:pPr>
        <w:pStyle w:val="TextBody"/>
        <w:spacing w:before="0" w:after="0"/>
        <w:ind w:left="0" w:right="0" w:hanging="0"/>
        <w:rPr/>
      </w:pPr>
      <w:r>
        <w:rPr/>
      </w:r>
    </w:p>
    <w:p>
      <w:pPr>
        <w:pStyle w:val="TextBody"/>
        <w:spacing w:before="0" w:after="0"/>
        <w:ind w:left="0" w:right="0" w:firstLine="1440"/>
        <w:rPr/>
      </w:pPr>
      <w:r>
        <w:rPr>
          <w:rFonts w:ascii="Times New Roman" w:hAnsi="Times New Roman"/>
          <w:sz w:val="20"/>
        </w:rPr>
        <w:t>9.9</w:t>
      </w:r>
      <w:bookmarkStart w:id="660" w:name="TAB299"/>
      <w:bookmarkEnd w:id="660"/>
      <w:r>
        <w:rPr>
          <w:color w:val="000000"/>
          <w:spacing w:val="180"/>
        </w:rPr>
        <w:t> </w:t>
      </w:r>
      <w:r>
        <w:rPr>
          <w:rFonts w:ascii="Times New Roman" w:hAnsi="Times New Roman"/>
          <w:sz w:val="20"/>
          <w:u w:val="single"/>
        </w:rPr>
        <w:t>Counterparts</w:t>
      </w:r>
      <w:r>
        <w:rPr>
          <w:rFonts w:ascii="Times New Roman" w:hAnsi="Times New Roman"/>
          <w:sz w:val="20"/>
        </w:rPr>
        <w:t>.  This Agreement may be executed in separate counterparts, each of which shall be deemed an original, but all of which together shall constitute one and the same instrument.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[Remainder of Page Intentionally Left Blank]</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1" w:name="PGBRK54"/>
      <w:bookmarkStart w:id="662" w:name="PGBRK54"/>
      <w:bookmarkEnd w:id="6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3" w:name="FTR54"/>
      <w:bookmarkStart w:id="664" w:name="FTR54"/>
      <w:bookmarkEnd w:id="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5" w:name="GLFTR54"/>
      <w:bookmarkEnd w:id="6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6" w:name="PN54"/>
      <w:bookmarkEnd w:id="666"/>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7" w:name="HDR50"/>
      <w:bookmarkStart w:id="668" w:name="HDR50"/>
      <w:bookmarkEnd w:id="6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16"/>
        </w:rPr>
      </w:pPr>
      <w:bookmarkStart w:id="669" w:name="GLHDR54"/>
      <w:bookmarkEnd w:id="669"/>
      <w:r>
        <w:rPr>
          <w:rFonts w:ascii="Times New Roman" w:hAnsi="Times New Roman"/>
          <w:sz w:val="16"/>
        </w:rPr>
        <w:t xml:space="preserve">CONFIDENTIAL TREATMENT REQUESTED.  OMITTED PORTIONS ARE MARKED WITH [***] </w:t>
        <w:br/>
        <w:t>AND HAVE BEEN FILED SEPARATELY WITH THE SEC.</w:t>
      </w: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each of Imprimis and Buderer has caused a duly authorized representative to execute this Asset Purchase Agreement on the date first written above.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BUDERER DRUG COMPANY, INC.</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rPr/>
            </w:pPr>
            <w:r>
              <w:rPr/>
              <w:t> </w:t>
            </w:r>
          </w:p>
        </w:tc>
      </w:tr>
      <w:tr>
        <w:trPr/>
        <w:tc>
          <w:tcPr>
            <w:tcW w:w="510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By:        /s/ Matthew J. Buderer</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Name:   Matthew J. Buderer</w:t>
            </w:r>
          </w:p>
        </w:tc>
        <w:tc>
          <w:tcPr>
            <w:tcW w:w="5103"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Title:     Vice President</w:t>
            </w:r>
          </w:p>
        </w:tc>
        <w:tc>
          <w:tcPr>
            <w:tcW w:w="5103"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IMPRIMIS PHARMACEUTICALS, INC.</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rPr/>
            </w:pPr>
            <w:r>
              <w:rPr/>
              <w:t> </w:t>
            </w:r>
          </w:p>
        </w:tc>
      </w:tr>
      <w:tr>
        <w:trPr/>
        <w:tc>
          <w:tcPr>
            <w:tcW w:w="510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By:        /s/ Mark L. Baum</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Name:    Mark L. Baum</w:t>
            </w:r>
          </w:p>
        </w:tc>
        <w:tc>
          <w:tcPr>
            <w:tcW w:w="5103"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c>
          <w:tcPr>
            <w:tcW w:w="5103" w:type="dxa"/>
            <w:tcBorders/>
            <w:shd w:fill="auto" w:val="clear"/>
          </w:tcPr>
          <w:p>
            <w:pPr>
              <w:pStyle w:val="TableContents"/>
              <w:spacing w:before="0" w:after="283"/>
              <w:rPr/>
            </w:pPr>
            <w:r>
              <w:rPr/>
              <w:t> </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
    </w:p>
    <w:p>
      <w:pPr>
        <w:pStyle w:val="TextBody"/>
        <w:ind w:left="0" w:right="0" w:hanging="0"/>
        <w:jc w:val="center"/>
        <w:rPr>
          <w:rFonts w:ascii="Times New Roman" w:hAnsi="Times New Roman"/>
          <w:sz w:val="20"/>
        </w:rPr>
      </w:pPr>
      <w:r>
        <w:rPr>
          <w:rFonts w:ascii="Times New Roman" w:hAnsi="Times New Roman"/>
          <w:sz w:val="20"/>
        </w:rPr>
        <w:t>[Signature Page to Asset Purchase Agreement]</w:t>
      </w:r>
      <w:r>
        <w:br w:type="page"/>
      </w:r>
    </w:p>
    <w:p>
      <w:pPr>
        <w:pStyle w:val="TextBody"/>
        <w:spacing w:before="0" w:after="0"/>
        <w:ind w:left="0" w:right="0" w:hanging="0"/>
        <w:rPr/>
      </w:pPr>
      <w:r>
        <w:rPr/>
      </w:r>
      <w:bookmarkStart w:id="670" w:name="immy_ex311.htm"/>
      <w:bookmarkStart w:id="671" w:name="ksimmy_ex311"/>
      <w:bookmarkStart w:id="672" w:name="immy_ex311.htm"/>
      <w:bookmarkStart w:id="673" w:name="ksimmy_ex311"/>
      <w:bookmarkEnd w:id="672"/>
      <w:bookmarkEnd w:id="673"/>
    </w:p>
    <w:p>
      <w:pPr>
        <w:pStyle w:val="TextBody"/>
        <w:spacing w:before="0" w:after="0"/>
        <w:ind w:left="0" w:right="0" w:hanging="0"/>
        <w:jc w:val="right"/>
        <w:rPr>
          <w:rFonts w:ascii="Times New Roman" w:hAnsi="Times New Roman"/>
          <w:sz w:val="20"/>
        </w:rPr>
      </w:pPr>
      <w:r>
        <w:rPr>
          <w:rFonts w:ascii="Times New Roman" w:hAnsi="Times New Roman"/>
          <w:b/>
          <w:sz w:val="20"/>
        </w:rPr>
        <w:t>EXHIBIT 31.</w:t>
      </w:r>
      <w:bookmarkStart w:id="674" w:name="fis_certification"/>
      <w:bookmarkEnd w:id="674"/>
      <w:r>
        <w:rPr>
          <w:rFonts w:ascii="Times New Roman" w:hAnsi="Times New Roman"/>
          <w:b/>
          <w:sz w:val="20"/>
        </w:rPr>
        <w:t>1</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CERTIFICATION OF THE PRINCIPAL EXECUTIVE OFFICER UNDER</w:t>
      </w:r>
    </w:p>
    <w:p>
      <w:pPr>
        <w:pStyle w:val="TextBody"/>
        <w:spacing w:before="0" w:after="0"/>
        <w:ind w:left="0" w:right="0" w:hanging="0"/>
        <w:jc w:val="center"/>
        <w:rPr>
          <w:rFonts w:ascii="Times New Roman" w:hAnsi="Times New Roman"/>
          <w:sz w:val="20"/>
        </w:rPr>
      </w:pPr>
      <w:r>
        <w:rPr>
          <w:rFonts w:ascii="Times New Roman" w:hAnsi="Times New Roman"/>
          <w:sz w:val="20"/>
        </w:rPr>
        <w:t>SECTION 302 OF THE SARBANES-OXLEY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Mark L. Baum,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Imprimis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6"/>
        <w:gridCol w:w="457"/>
        <w:gridCol w:w="9292"/>
      </w:tblGrid>
      <w:tr>
        <w:trPr/>
        <w:tc>
          <w:tcPr>
            <w:tcW w:w="456"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283"/>
              <w:jc w:val="left"/>
              <w:rPr/>
            </w:pPr>
            <w:r>
              <w:rPr/>
              <w:t xml:space="preserve">  </w:t>
            </w:r>
          </w:p>
        </w:tc>
        <w:tc>
          <w:tcPr>
            <w:tcW w:w="8960" w:type="dxa"/>
            <w:tcBorders/>
            <w:shd w:fill="auto" w:val="clear"/>
          </w:tcPr>
          <w:p>
            <w:pPr>
              <w:pStyle w:val="TableContents"/>
              <w:spacing w:before="0" w:after="283"/>
              <w:rPr/>
            </w:pPr>
            <w:r>
              <w:rPr/>
              <w:t xml:space="preserve">  </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xml:space="preserve">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618"/>
        <w:gridCol w:w="4587"/>
      </w:tblGrid>
      <w:tr>
        <w:trPr/>
        <w:tc>
          <w:tcPr>
            <w:tcW w:w="56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 August 14, 2013</w:t>
            </w:r>
          </w:p>
        </w:tc>
        <w:tc>
          <w:tcPr>
            <w:tcW w:w="458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Mark L. Baum</w:t>
            </w:r>
          </w:p>
        </w:tc>
      </w:tr>
      <w:tr>
        <w:trPr/>
        <w:tc>
          <w:tcPr>
            <w:tcW w:w="5618" w:type="dxa"/>
            <w:tcBorders/>
            <w:shd w:fill="auto" w:val="clear"/>
          </w:tcPr>
          <w:p>
            <w:pPr>
              <w:pStyle w:val="TableContents"/>
              <w:spacing w:before="0" w:after="283"/>
              <w:jc w:val="left"/>
              <w:rPr/>
            </w:pPr>
            <w:r>
              <w:rPr/>
              <w:t xml:space="preserve">  </w:t>
            </w:r>
          </w:p>
        </w:tc>
        <w:tc>
          <w:tcPr>
            <w:tcW w:w="45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Mark L. Baum</w:t>
            </w:r>
          </w:p>
        </w:tc>
      </w:tr>
      <w:tr>
        <w:trPr/>
        <w:tc>
          <w:tcPr>
            <w:tcW w:w="5618" w:type="dxa"/>
            <w:tcBorders/>
            <w:shd w:fill="auto" w:val="clear"/>
          </w:tcPr>
          <w:p>
            <w:pPr>
              <w:pStyle w:val="TableContents"/>
              <w:spacing w:before="0" w:after="283"/>
              <w:jc w:val="left"/>
              <w:rPr/>
            </w:pPr>
            <w:r>
              <w:rPr/>
              <w:t> </w:t>
            </w:r>
          </w:p>
        </w:tc>
        <w:tc>
          <w:tcPr>
            <w:tcW w:w="45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Chief Executive Officer</w:t>
            </w:r>
          </w:p>
        </w:tc>
      </w:tr>
      <w:tr>
        <w:trPr/>
        <w:tc>
          <w:tcPr>
            <w:tcW w:w="5618" w:type="dxa"/>
            <w:tcBorders/>
            <w:shd w:fill="auto" w:val="clear"/>
          </w:tcPr>
          <w:p>
            <w:pPr>
              <w:pStyle w:val="TableContents"/>
              <w:spacing w:before="0" w:after="283"/>
              <w:jc w:val="left"/>
              <w:rPr/>
            </w:pPr>
            <w:r>
              <w:rPr/>
              <w:t> </w:t>
            </w:r>
          </w:p>
        </w:tc>
        <w:tc>
          <w:tcPr>
            <w:tcW w:w="45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(Principal Executive Officer)</w:t>
            </w:r>
          </w:p>
        </w:tc>
      </w:tr>
    </w:tbl>
    <w:p>
      <w:pPr>
        <w:pStyle w:val="TextBody"/>
        <w:spacing w:before="0" w:after="0"/>
        <w:ind w:left="0" w:right="0" w:hanging="0"/>
        <w:rPr/>
      </w:pPr>
      <w:r>
        <w:rPr/>
      </w:r>
    </w:p>
    <w:p>
      <w:pPr>
        <w:pStyle w:val="TextBody"/>
        <w:ind w:left="0" w:right="0" w:hanging="0"/>
        <w:jc w:val="right"/>
        <w:rPr/>
      </w:pPr>
      <w:r>
        <w:rPr/>
      </w:r>
      <w:bookmarkStart w:id="675" w:name="doc_1_4"/>
      <w:bookmarkStart w:id="676" w:name="doc_1_4"/>
      <w:bookmarkEnd w:id="676"/>
      <w:r>
        <w:br w:type="page"/>
      </w:r>
    </w:p>
    <w:p>
      <w:pPr>
        <w:pStyle w:val="TextBody"/>
        <w:spacing w:before="0" w:after="0"/>
        <w:ind w:left="0" w:right="0" w:hanging="0"/>
        <w:jc w:val="both"/>
        <w:rPr/>
      </w:pPr>
      <w:bookmarkStart w:id="677" w:name="immy_ex321.htm"/>
      <w:bookmarkStart w:id="678" w:name="ksimmy_ex321"/>
      <w:bookmarkEnd w:id="677"/>
      <w:bookmarkEnd w:id="678"/>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32.1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REQUIRED BY</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1350 OF TITLE 18 OF THE UNITED STATES CODE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June 30, 2013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782"/>
        <w:gridCol w:w="2371"/>
        <w:gridCol w:w="5052"/>
      </w:tblGrid>
      <w:tr>
        <w:trPr/>
        <w:tc>
          <w:tcPr>
            <w:tcW w:w="2782" w:type="dxa"/>
            <w:tcBorders/>
            <w:shd w:fill="auto" w:val="clear"/>
            <w:vAlign w:val="center"/>
          </w:tcPr>
          <w:p>
            <w:pPr>
              <w:pStyle w:val="TableContents"/>
              <w:spacing w:before="0" w:after="283"/>
              <w:rPr/>
            </w:pPr>
            <w:r>
              <w:rPr/>
              <w:t xml:space="preserve">  </w:t>
            </w:r>
          </w:p>
        </w:tc>
        <w:tc>
          <w:tcPr>
            <w:tcW w:w="2371" w:type="dxa"/>
            <w:tcBorders/>
            <w:shd w:fill="auto" w:val="clear"/>
            <w:vAlign w:val="center"/>
          </w:tcPr>
          <w:p>
            <w:pPr>
              <w:pStyle w:val="TableContents"/>
              <w:spacing w:before="0" w:after="283"/>
              <w:rPr/>
            </w:pPr>
            <w:r>
              <w:rPr/>
              <w:t xml:space="preserve">  </w:t>
            </w:r>
          </w:p>
        </w:tc>
        <w:tc>
          <w:tcPr>
            <w:tcW w:w="5052" w:type="dxa"/>
            <w:tcBorders/>
            <w:shd w:fill="auto" w:val="clear"/>
            <w:vAlign w:val="center"/>
          </w:tcPr>
          <w:p>
            <w:pPr>
              <w:pStyle w:val="TableContents"/>
              <w:spacing w:before="0" w:after="283"/>
              <w:rPr/>
            </w:pPr>
            <w:r>
              <w:rPr/>
              <w:t xml:space="preserve">  </w:t>
            </w:r>
          </w:p>
        </w:tc>
      </w:tr>
      <w:tr>
        <w:trPr/>
        <w:tc>
          <w:tcPr>
            <w:tcW w:w="27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August 14, 2013</w:t>
            </w:r>
          </w:p>
        </w:tc>
        <w:tc>
          <w:tcPr>
            <w:tcW w:w="2371" w:type="dxa"/>
            <w:tcBorders/>
            <w:shd w:fill="auto" w:val="clear"/>
          </w:tcPr>
          <w:p>
            <w:pPr>
              <w:pStyle w:val="TableContents"/>
              <w:spacing w:before="0" w:after="283"/>
              <w:jc w:val="left"/>
              <w:rPr/>
            </w:pPr>
            <w:r>
              <w:rPr/>
              <w:t xml:space="preserve">  </w:t>
            </w:r>
          </w:p>
        </w:tc>
        <w:tc>
          <w:tcPr>
            <w:tcW w:w="5052" w:type="dxa"/>
            <w:tcBorders/>
            <w:shd w:fill="auto" w:val="clear"/>
          </w:tcPr>
          <w:p>
            <w:pPr>
              <w:pStyle w:val="TableContents"/>
              <w:spacing w:before="0" w:after="283"/>
              <w:jc w:val="left"/>
              <w:rPr/>
            </w:pPr>
            <w:r>
              <w:rPr/>
              <w:t xml:space="preserve">  </w:t>
            </w:r>
          </w:p>
        </w:tc>
      </w:tr>
      <w:tr>
        <w:trPr/>
        <w:tc>
          <w:tcPr>
            <w:tcW w:w="2782" w:type="dxa"/>
            <w:tcBorders/>
            <w:shd w:fill="auto" w:val="clear"/>
          </w:tcPr>
          <w:p>
            <w:pPr>
              <w:pStyle w:val="TableContents"/>
              <w:spacing w:before="0" w:after="283"/>
              <w:jc w:val="left"/>
              <w:rPr/>
            </w:pPr>
            <w:r>
              <w:rPr/>
              <w:t> </w:t>
            </w:r>
          </w:p>
        </w:tc>
        <w:tc>
          <w:tcPr>
            <w:tcW w:w="2371" w:type="dxa"/>
            <w:tcBorders/>
            <w:shd w:fill="auto" w:val="clear"/>
          </w:tcPr>
          <w:p>
            <w:pPr>
              <w:pStyle w:val="TableContents"/>
              <w:spacing w:before="0" w:after="283"/>
              <w:jc w:val="left"/>
              <w:rPr/>
            </w:pPr>
            <w:r>
              <w:rPr/>
              <w:t> </w:t>
            </w:r>
          </w:p>
        </w:tc>
        <w:tc>
          <w:tcPr>
            <w:tcW w:w="5052" w:type="dxa"/>
            <w:tcBorders/>
            <w:shd w:fill="auto" w:val="clear"/>
          </w:tcPr>
          <w:p>
            <w:pPr>
              <w:pStyle w:val="TableContents"/>
              <w:spacing w:before="0" w:after="283"/>
              <w:jc w:val="left"/>
              <w:rPr/>
            </w:pPr>
            <w:r>
              <w:rPr/>
              <w:t> </w:t>
            </w:r>
          </w:p>
        </w:tc>
      </w:tr>
      <w:tr>
        <w:trPr/>
        <w:tc>
          <w:tcPr>
            <w:tcW w:w="278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MARK L. BAUM</w:t>
            </w:r>
          </w:p>
        </w:tc>
        <w:tc>
          <w:tcPr>
            <w:tcW w:w="2371" w:type="dxa"/>
            <w:tcBorders/>
            <w:shd w:fill="auto" w:val="clear"/>
          </w:tcPr>
          <w:p>
            <w:pPr>
              <w:pStyle w:val="TableContents"/>
              <w:spacing w:before="0" w:after="283"/>
              <w:jc w:val="left"/>
              <w:rPr/>
            </w:pPr>
            <w:r>
              <w:rPr/>
              <w:t xml:space="preserve">  </w:t>
            </w:r>
          </w:p>
        </w:tc>
        <w:tc>
          <w:tcPr>
            <w:tcW w:w="5052" w:type="dxa"/>
            <w:tcBorders/>
            <w:shd w:fill="auto" w:val="clear"/>
          </w:tcPr>
          <w:p>
            <w:pPr>
              <w:pStyle w:val="TableContents"/>
              <w:spacing w:before="0" w:after="283"/>
              <w:jc w:val="left"/>
              <w:rPr/>
            </w:pPr>
            <w:r>
              <w:rPr/>
              <w:t xml:space="preserve">  </w:t>
            </w:r>
          </w:p>
        </w:tc>
      </w:tr>
      <w:tr>
        <w:trPr/>
        <w:tc>
          <w:tcPr>
            <w:tcW w:w="27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Mark L. Baum</w:t>
            </w:r>
          </w:p>
        </w:tc>
        <w:tc>
          <w:tcPr>
            <w:tcW w:w="2371" w:type="dxa"/>
            <w:tcBorders/>
            <w:shd w:fill="auto" w:val="clear"/>
          </w:tcPr>
          <w:p>
            <w:pPr>
              <w:pStyle w:val="TableContents"/>
              <w:spacing w:before="0" w:after="283"/>
              <w:jc w:val="left"/>
              <w:rPr/>
            </w:pPr>
            <w:r>
              <w:rPr/>
              <w:t> </w:t>
            </w:r>
          </w:p>
        </w:tc>
        <w:tc>
          <w:tcPr>
            <w:tcW w:w="5052" w:type="dxa"/>
            <w:tcBorders/>
            <w:shd w:fill="auto" w:val="clear"/>
          </w:tcPr>
          <w:p>
            <w:pPr>
              <w:pStyle w:val="TableContents"/>
              <w:spacing w:before="0" w:after="283"/>
              <w:jc w:val="left"/>
              <w:rPr/>
            </w:pPr>
            <w:r>
              <w:rPr/>
              <w:t> </w:t>
            </w:r>
          </w:p>
        </w:tc>
      </w:tr>
      <w:tr>
        <w:trPr/>
        <w:tc>
          <w:tcPr>
            <w:tcW w:w="278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Chief Executive Officer</w:t>
            </w:r>
            <w:r>
              <w:rPr>
                <w:rFonts w:ascii="times new roman" w:hAnsi="times new roman"/>
                <w:sz w:val="20"/>
              </w:rPr>
              <w:t xml:space="preserve"> </w:t>
            </w:r>
          </w:p>
          <w:p>
            <w:pPr>
              <w:pStyle w:val="TableContents"/>
              <w:spacing w:before="0" w:after="0"/>
              <w:ind w:left="0" w:right="0" w:hanging="0"/>
              <w:jc w:val="left"/>
              <w:rPr>
                <w:rFonts w:ascii="times new roman" w:hAnsi="times new roman"/>
                <w:i/>
                <w:sz w:val="20"/>
              </w:rPr>
            </w:pPr>
            <w:r>
              <w:rPr>
                <w:rFonts w:ascii="times new roman" w:hAnsi="times new roman"/>
                <w:i/>
                <w:sz w:val="20"/>
              </w:rPr>
              <w:t>(Principal Executive Officer)</w:t>
            </w:r>
          </w:p>
        </w:tc>
        <w:tc>
          <w:tcPr>
            <w:tcW w:w="2371" w:type="dxa"/>
            <w:tcBorders/>
            <w:shd w:fill="auto" w:val="clear"/>
          </w:tcPr>
          <w:p>
            <w:pPr>
              <w:pStyle w:val="TableContents"/>
              <w:spacing w:before="0" w:after="283"/>
              <w:jc w:val="left"/>
              <w:rPr/>
            </w:pPr>
            <w:r>
              <w:rPr/>
              <w:t> </w:t>
            </w:r>
          </w:p>
        </w:tc>
        <w:tc>
          <w:tcPr>
            <w:tcW w:w="5052"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783"/>
        <w:gridCol w:w="2370"/>
        <w:gridCol w:w="5052"/>
      </w:tblGrid>
      <w:tr>
        <w:trPr/>
        <w:tc>
          <w:tcPr>
            <w:tcW w:w="2783" w:type="dxa"/>
            <w:tcBorders/>
            <w:shd w:fill="auto" w:val="clear"/>
            <w:vAlign w:val="center"/>
          </w:tcPr>
          <w:p>
            <w:pPr>
              <w:pStyle w:val="TableContents"/>
              <w:spacing w:before="0" w:after="283"/>
              <w:rPr/>
            </w:pPr>
            <w:r>
              <w:rPr/>
              <w:t xml:space="preserve">  </w:t>
            </w:r>
          </w:p>
        </w:tc>
        <w:tc>
          <w:tcPr>
            <w:tcW w:w="2370" w:type="dxa"/>
            <w:tcBorders/>
            <w:shd w:fill="auto" w:val="clear"/>
            <w:vAlign w:val="center"/>
          </w:tcPr>
          <w:p>
            <w:pPr>
              <w:pStyle w:val="TableContents"/>
              <w:spacing w:before="0" w:after="283"/>
              <w:rPr/>
            </w:pPr>
            <w:r>
              <w:rPr/>
              <w:t xml:space="preserve">  </w:t>
            </w:r>
          </w:p>
        </w:tc>
        <w:tc>
          <w:tcPr>
            <w:tcW w:w="5052" w:type="dxa"/>
            <w:tcBorders/>
            <w:shd w:fill="auto" w:val="clear"/>
            <w:vAlign w:val="center"/>
          </w:tcPr>
          <w:p>
            <w:pPr>
              <w:pStyle w:val="TableContents"/>
              <w:spacing w:before="0" w:after="283"/>
              <w:rPr/>
            </w:pPr>
            <w:r>
              <w:rPr/>
              <w:t xml:space="preserve">  </w:t>
            </w:r>
          </w:p>
        </w:tc>
      </w:tr>
      <w:tr>
        <w:trPr/>
        <w:tc>
          <w:tcPr>
            <w:tcW w:w="278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August 14, 2013</w:t>
            </w:r>
          </w:p>
        </w:tc>
        <w:tc>
          <w:tcPr>
            <w:tcW w:w="2370" w:type="dxa"/>
            <w:tcBorders/>
            <w:shd w:fill="auto" w:val="clear"/>
          </w:tcPr>
          <w:p>
            <w:pPr>
              <w:pStyle w:val="TableContents"/>
              <w:spacing w:before="0" w:after="283"/>
              <w:jc w:val="left"/>
              <w:rPr/>
            </w:pPr>
            <w:r>
              <w:rPr/>
              <w:t xml:space="preserve">  </w:t>
            </w:r>
          </w:p>
        </w:tc>
        <w:tc>
          <w:tcPr>
            <w:tcW w:w="5052" w:type="dxa"/>
            <w:tcBorders/>
            <w:shd w:fill="auto" w:val="clear"/>
          </w:tcPr>
          <w:p>
            <w:pPr>
              <w:pStyle w:val="TableContents"/>
              <w:spacing w:before="0" w:after="283"/>
              <w:jc w:val="left"/>
              <w:rPr/>
            </w:pPr>
            <w:r>
              <w:rPr/>
              <w:t xml:space="preserve">  </w:t>
            </w:r>
          </w:p>
        </w:tc>
      </w:tr>
      <w:tr>
        <w:trPr/>
        <w:tc>
          <w:tcPr>
            <w:tcW w:w="2783" w:type="dxa"/>
            <w:tcBorders/>
            <w:shd w:fill="auto" w:val="clear"/>
          </w:tcPr>
          <w:p>
            <w:pPr>
              <w:pStyle w:val="TableContents"/>
              <w:spacing w:before="0" w:after="283"/>
              <w:jc w:val="left"/>
              <w:rPr/>
            </w:pPr>
            <w:r>
              <w:rPr/>
              <w:t> </w:t>
            </w:r>
          </w:p>
        </w:tc>
        <w:tc>
          <w:tcPr>
            <w:tcW w:w="2370" w:type="dxa"/>
            <w:tcBorders/>
            <w:shd w:fill="auto" w:val="clear"/>
          </w:tcPr>
          <w:p>
            <w:pPr>
              <w:pStyle w:val="TableContents"/>
              <w:spacing w:before="0" w:after="283"/>
              <w:jc w:val="left"/>
              <w:rPr/>
            </w:pPr>
            <w:r>
              <w:rPr/>
              <w:t> </w:t>
            </w:r>
          </w:p>
        </w:tc>
        <w:tc>
          <w:tcPr>
            <w:tcW w:w="5052" w:type="dxa"/>
            <w:tcBorders/>
            <w:shd w:fill="auto" w:val="clear"/>
          </w:tcPr>
          <w:p>
            <w:pPr>
              <w:pStyle w:val="TableContents"/>
              <w:spacing w:before="0" w:after="283"/>
              <w:jc w:val="left"/>
              <w:rPr/>
            </w:pPr>
            <w:r>
              <w:rPr/>
              <w:t> </w:t>
            </w:r>
          </w:p>
        </w:tc>
      </w:tr>
      <w:tr>
        <w:trPr/>
        <w:tc>
          <w:tcPr>
            <w:tcW w:w="278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ANDREW R. BOLL</w:t>
            </w:r>
          </w:p>
        </w:tc>
        <w:tc>
          <w:tcPr>
            <w:tcW w:w="2370" w:type="dxa"/>
            <w:tcBorders/>
            <w:shd w:fill="auto" w:val="clear"/>
          </w:tcPr>
          <w:p>
            <w:pPr>
              <w:pStyle w:val="TableContents"/>
              <w:spacing w:before="0" w:after="283"/>
              <w:jc w:val="left"/>
              <w:rPr/>
            </w:pPr>
            <w:r>
              <w:rPr/>
              <w:t xml:space="preserve">  </w:t>
            </w:r>
          </w:p>
        </w:tc>
        <w:tc>
          <w:tcPr>
            <w:tcW w:w="5052" w:type="dxa"/>
            <w:tcBorders/>
            <w:shd w:fill="auto" w:val="clear"/>
          </w:tcPr>
          <w:p>
            <w:pPr>
              <w:pStyle w:val="TableContents"/>
              <w:spacing w:before="0" w:after="283"/>
              <w:jc w:val="left"/>
              <w:rPr/>
            </w:pPr>
            <w:r>
              <w:rPr/>
              <w:t xml:space="preserve">  </w:t>
            </w:r>
          </w:p>
        </w:tc>
      </w:tr>
      <w:tr>
        <w:trPr/>
        <w:tc>
          <w:tcPr>
            <w:tcW w:w="27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2370" w:type="dxa"/>
            <w:tcBorders/>
            <w:shd w:fill="auto" w:val="clear"/>
          </w:tcPr>
          <w:p>
            <w:pPr>
              <w:pStyle w:val="TableContents"/>
              <w:spacing w:before="0" w:after="283"/>
              <w:jc w:val="left"/>
              <w:rPr/>
            </w:pPr>
            <w:r>
              <w:rPr/>
              <w:t> </w:t>
            </w:r>
          </w:p>
        </w:tc>
        <w:tc>
          <w:tcPr>
            <w:tcW w:w="5052" w:type="dxa"/>
            <w:tcBorders/>
            <w:shd w:fill="auto" w:val="clear"/>
          </w:tcPr>
          <w:p>
            <w:pPr>
              <w:pStyle w:val="TableContents"/>
              <w:spacing w:before="0" w:after="283"/>
              <w:jc w:val="left"/>
              <w:rPr/>
            </w:pPr>
            <w:r>
              <w:rPr/>
              <w:t> </w:t>
            </w:r>
          </w:p>
        </w:tc>
      </w:tr>
      <w:tr>
        <w:trPr/>
        <w:tc>
          <w:tcPr>
            <w:tcW w:w="2783"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Vice-President of Accounting and Public Reporting</w:t>
            </w:r>
          </w:p>
          <w:p>
            <w:pPr>
              <w:pStyle w:val="TableContents"/>
              <w:spacing w:before="0" w:after="0"/>
              <w:ind w:left="0" w:right="0" w:hanging="0"/>
              <w:jc w:val="left"/>
              <w:rPr>
                <w:rFonts w:ascii="times new roman" w:hAnsi="times new roman"/>
                <w:i/>
                <w:sz w:val="20"/>
              </w:rPr>
            </w:pPr>
            <w:r>
              <w:rPr>
                <w:rFonts w:ascii="times new roman" w:hAnsi="times new roman"/>
                <w:i/>
                <w:sz w:val="20"/>
              </w:rPr>
              <w:t>(Principal Financial and Accounting Officer)</w:t>
            </w:r>
          </w:p>
        </w:tc>
        <w:tc>
          <w:tcPr>
            <w:tcW w:w="2370" w:type="dxa"/>
            <w:tcBorders/>
            <w:shd w:fill="auto" w:val="clear"/>
          </w:tcPr>
          <w:p>
            <w:pPr>
              <w:pStyle w:val="TableContents"/>
              <w:spacing w:before="0" w:after="283"/>
              <w:jc w:val="left"/>
              <w:rPr/>
            </w:pPr>
            <w:r>
              <w:rPr/>
              <w:t> </w:t>
            </w:r>
          </w:p>
        </w:tc>
        <w:tc>
          <w:tcPr>
            <w:tcW w:w="5052" w:type="dxa"/>
            <w:tcBorders/>
            <w:shd w:fill="auto" w:val="clear"/>
          </w:tcPr>
          <w:p>
            <w:pPr>
              <w:pStyle w:val="TableContents"/>
              <w:spacing w:before="0" w:after="283"/>
              <w:jc w:val="left"/>
              <w:rPr/>
            </w:pPr>
            <w:r>
              <w:rPr/>
              <w:t> </w:t>
            </w:r>
          </w:p>
        </w:tc>
      </w:tr>
      <w:tr>
        <w:trPr/>
        <w:tc>
          <w:tcPr>
            <w:tcW w:w="2783" w:type="dxa"/>
            <w:tcBorders/>
            <w:shd w:fill="auto" w:val="clear"/>
          </w:tcPr>
          <w:p>
            <w:pPr>
              <w:pStyle w:val="TableContents"/>
              <w:spacing w:before="0" w:after="283"/>
              <w:jc w:val="left"/>
              <w:rPr/>
            </w:pPr>
            <w:r>
              <w:rPr/>
              <w:t> </w:t>
            </w:r>
          </w:p>
        </w:tc>
        <w:tc>
          <w:tcPr>
            <w:tcW w:w="2370" w:type="dxa"/>
            <w:tcBorders/>
            <w:shd w:fill="auto" w:val="clear"/>
          </w:tcPr>
          <w:p>
            <w:pPr>
              <w:pStyle w:val="TableContents"/>
              <w:spacing w:before="0" w:after="283"/>
              <w:jc w:val="left"/>
              <w:rPr/>
            </w:pPr>
            <w:r>
              <w:rPr/>
              <w:t> </w:t>
            </w:r>
          </w:p>
        </w:tc>
        <w:tc>
          <w:tcPr>
            <w:tcW w:w="5052"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spacing w:before="0" w:after="0"/>
        <w:ind w:left="0" w:right="0" w:hanging="0"/>
        <w:jc w:val="both"/>
        <w:rPr/>
      </w:pPr>
      <w:r>
        <w:rPr/>
        <w:t> </w:t>
      </w:r>
    </w:p>
    <w:p>
      <w:pPr>
        <w:pStyle w:val="TextBody"/>
        <w:ind w:left="0" w:right="0" w:hanging="0"/>
        <w:rPr/>
      </w:pPr>
      <w:r>
        <w:rPr/>
      </w:r>
      <w:r>
        <w:br w:type="page"/>
      </w:r>
    </w:p>
    <w:p>
      <w:pPr>
        <w:pStyle w:val="TextBody"/>
        <w:spacing w:before="0" w:after="0"/>
        <w:ind w:left="0" w:right="0" w:hanging="0"/>
        <w:rPr/>
      </w:pPr>
      <w:r>
        <w:rPr/>
      </w:r>
      <w:bookmarkStart w:id="679" w:name="immy_ex312.htm"/>
      <w:bookmarkStart w:id="680" w:name="ksimmy_ex312"/>
      <w:bookmarkStart w:id="681" w:name="immy_ex312.htm"/>
      <w:bookmarkStart w:id="682" w:name="ksimmy_ex312"/>
      <w:bookmarkEnd w:id="681"/>
      <w:bookmarkEnd w:id="682"/>
    </w:p>
    <w:p>
      <w:pPr>
        <w:pStyle w:val="TextBody"/>
        <w:spacing w:before="0" w:after="0"/>
        <w:ind w:left="0" w:right="0" w:hanging="0"/>
        <w:jc w:val="right"/>
        <w:rPr/>
      </w:pPr>
      <w:r>
        <w:rPr/>
        <w:t> </w:t>
      </w:r>
      <w:r>
        <w:rPr>
          <w:rFonts w:ascii="Times New Roman" w:hAnsi="Times New Roman"/>
          <w:b/>
          <w:sz w:val="20"/>
        </w:rPr>
        <w:t>EXHIBIT 31.2</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THE PRINCIPAL FINANCIAL OFFICER UNDER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Andrew R. Boll,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Imprimis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6"/>
        <w:gridCol w:w="457"/>
        <w:gridCol w:w="9292"/>
      </w:tblGrid>
      <w:tr>
        <w:trPr/>
        <w:tc>
          <w:tcPr>
            <w:tcW w:w="456"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283"/>
              <w:jc w:val="left"/>
              <w:rPr/>
            </w:pPr>
            <w:r>
              <w:rPr/>
              <w:t xml:space="preserve">  </w:t>
            </w:r>
          </w:p>
        </w:tc>
        <w:tc>
          <w:tcPr>
            <w:tcW w:w="8960" w:type="dxa"/>
            <w:tcBorders/>
            <w:shd w:fill="auto" w:val="clear"/>
          </w:tcPr>
          <w:p>
            <w:pPr>
              <w:pStyle w:val="TableContents"/>
              <w:spacing w:before="0" w:after="283"/>
              <w:rPr/>
            </w:pPr>
            <w:r>
              <w:rPr/>
              <w:t xml:space="preserve">  </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xml:space="preserve">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617"/>
        <w:gridCol w:w="4588"/>
      </w:tblGrid>
      <w:tr>
        <w:trPr/>
        <w:tc>
          <w:tcPr>
            <w:tcW w:w="56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 August 14, 2013</w:t>
            </w:r>
          </w:p>
        </w:tc>
        <w:tc>
          <w:tcPr>
            <w:tcW w:w="4588"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Andrew R. Boll</w:t>
            </w:r>
          </w:p>
        </w:tc>
      </w:tr>
      <w:tr>
        <w:trPr/>
        <w:tc>
          <w:tcPr>
            <w:tcW w:w="5617" w:type="dxa"/>
            <w:tcBorders/>
            <w:shd w:fill="auto" w:val="clear"/>
          </w:tcPr>
          <w:p>
            <w:pPr>
              <w:pStyle w:val="TableContents"/>
              <w:spacing w:before="0" w:after="283"/>
              <w:jc w:val="left"/>
              <w:rPr/>
            </w:pPr>
            <w:r>
              <w:rPr/>
              <w:t xml:space="preserve">  </w:t>
            </w:r>
          </w:p>
        </w:tc>
        <w:tc>
          <w:tcPr>
            <w:tcW w:w="458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Andrew R. Boll</w:t>
            </w:r>
          </w:p>
        </w:tc>
      </w:tr>
      <w:tr>
        <w:trPr/>
        <w:tc>
          <w:tcPr>
            <w:tcW w:w="5617" w:type="dxa"/>
            <w:tcBorders/>
            <w:shd w:fill="auto" w:val="clear"/>
          </w:tcPr>
          <w:p>
            <w:pPr>
              <w:pStyle w:val="TableContents"/>
              <w:spacing w:before="0" w:after="283"/>
              <w:jc w:val="left"/>
              <w:rPr/>
            </w:pPr>
            <w:r>
              <w:rPr/>
              <w:t> </w:t>
            </w:r>
          </w:p>
        </w:tc>
        <w:tc>
          <w:tcPr>
            <w:tcW w:w="45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Vice-President of Accounting and Public Reporting</w:t>
            </w:r>
          </w:p>
        </w:tc>
      </w:tr>
      <w:tr>
        <w:trPr/>
        <w:tc>
          <w:tcPr>
            <w:tcW w:w="5617" w:type="dxa"/>
            <w:tcBorders/>
            <w:shd w:fill="auto" w:val="clear"/>
          </w:tcPr>
          <w:p>
            <w:pPr>
              <w:pStyle w:val="TableContents"/>
              <w:spacing w:before="0" w:after="283"/>
              <w:jc w:val="left"/>
              <w:rPr/>
            </w:pPr>
            <w:r>
              <w:rPr/>
              <w:t> </w:t>
            </w:r>
          </w:p>
        </w:tc>
        <w:tc>
          <w:tcPr>
            <w:tcW w:w="45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(Principal Financial and Accounting Officer)</w:t>
            </w:r>
          </w:p>
        </w:tc>
      </w:tr>
    </w:tbl>
    <w:p>
      <w:pPr>
        <w:pStyle w:val="TextBody"/>
        <w:spacing w:before="0" w:after="0"/>
        <w:ind w:left="0" w:right="0" w:hanging="0"/>
        <w:rPr/>
      </w:pPr>
      <w:r>
        <w:rPr/>
      </w:r>
    </w:p>
    <w:p>
      <w:pPr>
        <w:pStyle w:val="TextBody"/>
        <w:spacing w:before="0" w:after="283"/>
        <w:ind w:left="0" w:right="0" w:hanging="0"/>
        <w:jc w:val="right"/>
        <w:rPr/>
      </w:pPr>
      <w:r>
        <w:rPr/>
      </w:r>
      <w:bookmarkStart w:id="683" w:name="doc_1_41"/>
      <w:bookmarkStart w:id="684" w:name="doc_1_41"/>
      <w:bookmarkEnd w:id="684"/>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 w:name="effontselectio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39511</Words>
  <CharactersWithSpaces>256665</CharactersWithSpaces>
  <Paragraphs>4960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