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2)*</w:t>
      </w:r>
    </w:p>
    <w:p>
      <w:pPr>
        <w:spacing w:after="0" w:line="200" w:lineRule="exact"/>
        <w:rPr>
          <w:sz w:val="24"/>
          <w:szCs w:val="24"/>
          <w:color w:val="auto"/>
        </w:rPr>
      </w:pP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45323A201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62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80" w:firstLine="8"/>
        <w:spacing w:after="0" w:line="261" w:lineRule="auto"/>
        <w:tabs>
          <w:tab w:leader="none" w:pos="36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796" w:right="39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45323A201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60" w:right="43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Manchester Management Company, LLC</w:t>
      </w:r>
    </w:p>
    <w:p>
      <w:pPr>
        <w:spacing w:after="0" w:line="1" w:lineRule="exact"/>
        <w:rPr>
          <w:rFonts w:ascii="Arial" w:cs="Arial" w:eastAsia="Arial" w:hAnsi="Arial"/>
          <w:sz w:val="18"/>
          <w:szCs w:val="18"/>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60" w:hanging="95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60" w:right="6220" w:hanging="952"/>
        <w:spacing w:after="0" w:line="52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60" w:right="802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ind w:left="960" w:right="77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0</w:t>
      </w:r>
    </w:p>
    <w:p>
      <w:pPr>
        <w:ind w:left="960" w:right="762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60" w:right="73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60" w:right="334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960" w:hanging="95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960"/>
        <w:spacing w:after="0"/>
        <w:tabs>
          <w:tab w:leader="none" w:pos="10280" w:val="left"/>
        </w:tabs>
        <w:rPr>
          <w:sz w:val="20"/>
          <w:szCs w:val="20"/>
          <w:color w:val="auto"/>
        </w:rPr>
      </w:pPr>
      <w:r>
        <w:rPr>
          <w:rFonts w:ascii="Arial" w:cs="Arial" w:eastAsia="Arial" w:hAnsi="Arial"/>
          <w:sz w:val="18"/>
          <w:szCs w:val="18"/>
          <w:color w:val="auto"/>
        </w:rPr>
        <w:t>EXCLUDES CERTAIN SHARES (SEE INSTRUCTIONS)</w:t>
      </w:r>
      <w:r>
        <w:rPr>
          <w:sz w:val="20"/>
          <w:szCs w:val="20"/>
          <w:color w:val="auto"/>
        </w:rPr>
        <w:tab/>
      </w:r>
      <w:r>
        <w:rPr>
          <w:rFonts w:ascii="Arial" w:cs="Arial" w:eastAsia="Arial" w:hAnsi="Arial"/>
          <w:sz w:val="17"/>
          <w:szCs w:val="17"/>
          <w:color w:val="auto"/>
        </w:rPr>
        <w:t>[_]</w:t>
      </w:r>
    </w:p>
    <w:p>
      <w:pPr>
        <w:spacing w:after="0" w:line="200" w:lineRule="exact"/>
        <w:rPr>
          <w:sz w:val="20"/>
          <w:szCs w:val="20"/>
          <w:color w:val="auto"/>
        </w:rPr>
      </w:pPr>
    </w:p>
    <w:p>
      <w:pPr>
        <w:spacing w:after="0" w:line="227" w:lineRule="exact"/>
        <w:rPr>
          <w:sz w:val="20"/>
          <w:szCs w:val="20"/>
          <w:color w:val="auto"/>
        </w:rPr>
      </w:pPr>
    </w:p>
    <w:p>
      <w:pPr>
        <w:ind w:left="960" w:right="4820" w:hanging="952"/>
        <w:spacing w:after="0" w:line="50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960" w:right="5560" w:hanging="952"/>
        <w:spacing w:after="0" w:line="528"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368"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00" w:type="dxa"/>
            <w:vAlign w:val="bottom"/>
          </w:tcPr>
          <w:p>
            <w:pPr>
              <w:spacing w:after="0"/>
              <w:rPr>
                <w:sz w:val="20"/>
                <w:szCs w:val="20"/>
                <w:color w:val="auto"/>
              </w:rPr>
            </w:pPr>
            <w:r>
              <w:rPr>
                <w:rFonts w:ascii="Arial" w:cs="Arial" w:eastAsia="Arial" w:hAnsi="Arial"/>
                <w:sz w:val="18"/>
                <w:szCs w:val="18"/>
                <w:color w:val="auto"/>
              </w:rPr>
              <w:t>CUSIP No.</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45323A201</w:t>
            </w:r>
          </w:p>
        </w:tc>
      </w:tr>
    </w:tbl>
    <w:p>
      <w:pPr>
        <w:spacing w:after="0" w:line="200" w:lineRule="exact"/>
        <w:rPr>
          <w:sz w:val="20"/>
          <w:szCs w:val="20"/>
          <w:color w:val="auto"/>
        </w:rPr>
      </w:pPr>
    </w:p>
    <w:p>
      <w:pPr>
        <w:spacing w:after="0" w:line="245" w:lineRule="exact"/>
        <w:rPr>
          <w:sz w:val="20"/>
          <w:szCs w:val="20"/>
          <w:color w:val="auto"/>
        </w:rPr>
      </w:pP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60" w:right="43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James E. Besser</w:t>
      </w:r>
    </w:p>
    <w:p>
      <w:pPr>
        <w:spacing w:after="0" w:line="1" w:lineRule="exact"/>
        <w:rPr>
          <w:rFonts w:ascii="Arial" w:cs="Arial" w:eastAsia="Arial" w:hAnsi="Arial"/>
          <w:sz w:val="18"/>
          <w:szCs w:val="18"/>
          <w:color w:val="auto"/>
        </w:rPr>
      </w:pP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60" w:hanging="95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60" w:right="6220" w:hanging="952"/>
        <w:spacing w:after="0" w:line="528"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60" w:right="802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ind w:left="960" w:right="776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0</w:t>
      </w:r>
    </w:p>
    <w:p>
      <w:pPr>
        <w:ind w:left="960" w:right="762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60" w:right="736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60" w:right="334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960" w:hanging="95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960"/>
        <w:spacing w:after="0"/>
        <w:tabs>
          <w:tab w:leader="none" w:pos="10280" w:val="left"/>
        </w:tabs>
        <w:rPr>
          <w:sz w:val="20"/>
          <w:szCs w:val="20"/>
          <w:color w:val="auto"/>
        </w:rPr>
      </w:pPr>
      <w:r>
        <w:rPr>
          <w:rFonts w:ascii="Arial" w:cs="Arial" w:eastAsia="Arial" w:hAnsi="Arial"/>
          <w:sz w:val="18"/>
          <w:szCs w:val="18"/>
          <w:color w:val="auto"/>
        </w:rPr>
        <w:t>EXCLUDES CERTAIN SHARES (SEE INSTRUCTIONS)</w:t>
      </w:r>
      <w:r>
        <w:rPr>
          <w:sz w:val="20"/>
          <w:szCs w:val="20"/>
          <w:color w:val="auto"/>
        </w:rPr>
        <w:tab/>
      </w:r>
      <w:r>
        <w:rPr>
          <w:rFonts w:ascii="Arial" w:cs="Arial" w:eastAsia="Arial" w:hAnsi="Arial"/>
          <w:sz w:val="17"/>
          <w:szCs w:val="17"/>
          <w:color w:val="auto"/>
        </w:rPr>
        <w:t>[_]</w:t>
      </w:r>
    </w:p>
    <w:p>
      <w:pPr>
        <w:spacing w:after="0" w:line="200" w:lineRule="exact"/>
        <w:rPr>
          <w:sz w:val="20"/>
          <w:szCs w:val="20"/>
          <w:color w:val="auto"/>
        </w:rPr>
      </w:pPr>
    </w:p>
    <w:p>
      <w:pPr>
        <w:spacing w:after="0" w:line="227" w:lineRule="exact"/>
        <w:rPr>
          <w:sz w:val="20"/>
          <w:szCs w:val="20"/>
          <w:color w:val="auto"/>
        </w:rPr>
      </w:pPr>
    </w:p>
    <w:p>
      <w:pPr>
        <w:ind w:left="960" w:right="4820" w:hanging="952"/>
        <w:spacing w:after="0" w:line="501"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960" w:right="5560" w:hanging="952"/>
        <w:spacing w:after="0" w:line="52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368"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CUSIP No.</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45323A201</w:t>
            </w:r>
          </w:p>
        </w:tc>
        <w:tc>
          <w:tcPr>
            <w:tcW w:w="7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500" w:type="dxa"/>
            <w:vAlign w:val="bottom"/>
          </w:tcPr>
          <w:p>
            <w:pPr>
              <w:ind w:left="20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Imprimis Pharmaceuticals, Inc.</w:t>
            </w:r>
          </w:p>
        </w:tc>
        <w:tc>
          <w:tcPr>
            <w:tcW w:w="12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12264 El Camino Real, Suite 350</w:t>
            </w:r>
          </w:p>
        </w:tc>
        <w:tc>
          <w:tcPr>
            <w:tcW w:w="1200" w:type="dxa"/>
            <w:vAlign w:val="bottom"/>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San Diego, California 92130</w:t>
            </w:r>
          </w:p>
        </w:tc>
        <w:tc>
          <w:tcPr>
            <w:tcW w:w="120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500" w:type="dxa"/>
            <w:vAlign w:val="bottom"/>
          </w:tcPr>
          <w:p>
            <w:pPr>
              <w:ind w:left="20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Names of persons filing:</w:t>
            </w:r>
          </w:p>
        </w:tc>
        <w:tc>
          <w:tcPr>
            <w:tcW w:w="120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Manchester Management Company, LLC</w:t>
            </w:r>
          </w:p>
        </w:tc>
        <w:tc>
          <w:tcPr>
            <w:tcW w:w="1200" w:type="dxa"/>
            <w:vAlign w:val="bottom"/>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Besser</w:t>
            </w:r>
          </w:p>
        </w:tc>
        <w:tc>
          <w:tcPr>
            <w:tcW w:w="12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Address or principal business office or, if none, residence:</w:t>
            </w:r>
          </w:p>
        </w:tc>
        <w:tc>
          <w:tcPr>
            <w:tcW w:w="120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Manchester Management Company, LLC</w:t>
            </w:r>
          </w:p>
        </w:tc>
        <w:tc>
          <w:tcPr>
            <w:tcW w:w="12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3 West Hill Place</w:t>
            </w:r>
          </w:p>
        </w:tc>
        <w:tc>
          <w:tcPr>
            <w:tcW w:w="1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Boston, Massachusetts 02114</w:t>
            </w:r>
          </w:p>
        </w:tc>
        <w:tc>
          <w:tcPr>
            <w:tcW w:w="12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James E. Besser</w:t>
            </w:r>
          </w:p>
        </w:tc>
        <w:tc>
          <w:tcPr>
            <w:tcW w:w="12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c/o Manchester Management Company, LLC</w:t>
            </w:r>
          </w:p>
        </w:tc>
        <w:tc>
          <w:tcPr>
            <w:tcW w:w="1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3 West Hill Place</w:t>
            </w:r>
          </w:p>
        </w:tc>
        <w:tc>
          <w:tcPr>
            <w:tcW w:w="1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Boston, Massachusetts 02114</w:t>
            </w:r>
          </w:p>
        </w:tc>
        <w:tc>
          <w:tcPr>
            <w:tcW w:w="1200" w:type="dxa"/>
            <w:vAlign w:val="bottom"/>
          </w:tcPr>
          <w:p>
            <w:pPr>
              <w:spacing w:after="0"/>
              <w:rPr>
                <w:sz w:val="18"/>
                <w:szCs w:val="18"/>
                <w:color w:val="auto"/>
              </w:rPr>
            </w:pPr>
          </w:p>
        </w:tc>
      </w:tr>
      <w:tr>
        <w:trPr>
          <w:trHeight w:val="237"/>
        </w:trPr>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Manchester Management Company, LLC – Delaware</w:t>
            </w:r>
          </w:p>
        </w:tc>
        <w:tc>
          <w:tcPr>
            <w:tcW w:w="1200" w:type="dxa"/>
            <w:vAlign w:val="bottom"/>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Besser – United States of America</w:t>
            </w:r>
          </w:p>
        </w:tc>
        <w:tc>
          <w:tcPr>
            <w:tcW w:w="12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(d).</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2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CUSIP No.:</w:t>
            </w:r>
          </w:p>
        </w:tc>
        <w:tc>
          <w:tcPr>
            <w:tcW w:w="12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45323A201</w:t>
            </w:r>
          </w:p>
        </w:tc>
        <w:tc>
          <w:tcPr>
            <w:tcW w:w="1200" w:type="dxa"/>
            <w:vAlign w:val="bottom"/>
          </w:tcPr>
          <w:p>
            <w:pPr>
              <w:spacing w:after="0"/>
              <w:rPr>
                <w:sz w:val="24"/>
                <w:szCs w:val="24"/>
                <w:color w:val="auto"/>
              </w:rPr>
            </w:pPr>
          </w:p>
        </w:tc>
      </w:tr>
      <w:tr>
        <w:trPr>
          <w:trHeight w:val="426"/>
        </w:trPr>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(a)</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(b)</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(c)</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(d)</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(e)</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An investment adviser in accordance with § 240.13d-1(b)(1)(ii)(E);</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(f)</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An employee benefit plan or endowment fund in accordance with § 240.13d-1(b)(1)(ii)(F);</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(g)</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A parent holding company or control person in accordance with §240.13d-1(b)(1)(ii)(G);</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(h)</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A savings association as defined in Section 3(b) of the Federal Deposit Insurance Act (12 U.S.C.1813);</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Company Act of 1940 (15 U.S.C. 80a-3);</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(j)</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rPr>
              <w:t>A non-U.S. institution in accordance with §240.13d-1(b)(1)(ii)(J);</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(k)</w:t>
            </w: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[_]</w:t>
            </w:r>
          </w:p>
        </w:tc>
        <w:tc>
          <w:tcPr>
            <w:tcW w:w="8540" w:type="dxa"/>
            <w:vAlign w:val="bottom"/>
          </w:tcPr>
          <w:p>
            <w:pPr>
              <w:spacing w:after="0"/>
              <w:rPr>
                <w:sz w:val="20"/>
                <w:szCs w:val="20"/>
                <w:color w:val="auto"/>
              </w:rPr>
            </w:pPr>
            <w:r>
              <w:rPr>
                <w:rFonts w:ascii="Arial" w:cs="Arial" w:eastAsia="Arial" w:hAnsi="Arial"/>
                <w:sz w:val="18"/>
                <w:szCs w:val="18"/>
                <w:color w:val="auto"/>
                <w:w w:val="95"/>
              </w:rPr>
              <w:t>Group, in accordance with §240.13d-1(b)(1)(ii)(K). If filing as a non-U.S. institution in accordance with §240.13d-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1(b)(1)(ii)(J), please specify the type of institution:</w:t>
            </w:r>
          </w:p>
        </w:tc>
        <w:tc>
          <w:tcPr>
            <w:tcW w:w="0" w:type="dxa"/>
            <w:vAlign w:val="bottom"/>
          </w:tcPr>
          <w:p>
            <w:pPr>
              <w:spacing w:after="0"/>
              <w:rPr>
                <w:sz w:val="1"/>
                <w:szCs w:val="1"/>
                <w:color w:val="auto"/>
              </w:rPr>
            </w:pPr>
          </w:p>
        </w:tc>
      </w:tr>
      <w:tr>
        <w:trPr>
          <w:trHeight w:val="223"/>
        </w:trPr>
        <w:tc>
          <w:tcPr>
            <w:tcW w:w="88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2"/>
            <w:vMerge w:val="restart"/>
          </w:tcPr>
          <w:p>
            <w:pPr>
              <w:ind w:left="380"/>
              <w:spacing w:after="0"/>
              <w:rPr>
                <w:sz w:val="20"/>
                <w:szCs w:val="20"/>
                <w:color w:val="auto"/>
              </w:rPr>
            </w:pPr>
            <w:r>
              <w:rPr>
                <w:rFonts w:ascii="Arial" w:cs="Arial" w:eastAsia="Arial" w:hAnsi="Arial"/>
                <w:sz w:val="18"/>
                <w:szCs w:val="18"/>
                <w:color w:val="auto"/>
              </w:rPr>
              <w:t>Ownership.</w:t>
            </w:r>
          </w:p>
        </w:tc>
        <w:tc>
          <w:tcPr>
            <w:tcW w:w="8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80" w:type="dxa"/>
            <w:vAlign w:val="bottom"/>
            <w:vMerge w:val="continue"/>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960" w:hanging="709"/>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960" w:right="620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0 James E. Besser – 0</w:t>
      </w:r>
    </w:p>
    <w:p>
      <w:pPr>
        <w:spacing w:after="0" w:line="197" w:lineRule="exact"/>
        <w:rPr>
          <w:rFonts w:ascii="Arial" w:cs="Arial" w:eastAsia="Arial" w:hAnsi="Arial"/>
          <w:sz w:val="18"/>
          <w:szCs w:val="18"/>
          <w:color w:val="auto"/>
        </w:rPr>
      </w:pPr>
    </w:p>
    <w:p>
      <w:pPr>
        <w:ind w:left="1960" w:hanging="709"/>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60" w:right="604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0% James E. Besser – 0%</w:t>
      </w:r>
    </w:p>
    <w:p>
      <w:pPr>
        <w:spacing w:after="0" w:line="197" w:lineRule="exact"/>
        <w:rPr>
          <w:rFonts w:ascii="Arial" w:cs="Arial" w:eastAsia="Arial" w:hAnsi="Arial"/>
          <w:sz w:val="18"/>
          <w:szCs w:val="18"/>
          <w:color w:val="auto"/>
        </w:rPr>
      </w:pPr>
    </w:p>
    <w:p>
      <w:pPr>
        <w:ind w:left="1960" w:hanging="709"/>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680" w:hanging="714"/>
        <w:spacing w:after="0"/>
        <w:tabs>
          <w:tab w:leader="none" w:pos="2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680" w:right="548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0 James E. Besser – 0</w:t>
      </w:r>
    </w:p>
    <w:p>
      <w:pPr>
        <w:spacing w:after="0" w:line="197" w:lineRule="exact"/>
        <w:rPr>
          <w:rFonts w:ascii="Arial" w:cs="Arial" w:eastAsia="Arial" w:hAnsi="Arial"/>
          <w:sz w:val="18"/>
          <w:szCs w:val="18"/>
          <w:color w:val="auto"/>
        </w:rPr>
      </w:pPr>
    </w:p>
    <w:p>
      <w:pPr>
        <w:ind w:left="2680" w:hanging="714"/>
        <w:spacing w:after="0"/>
        <w:tabs>
          <w:tab w:leader="none" w:pos="2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680" w:right="548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0 James E. Besser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-2403475</wp:posOffset>
            </wp:positionV>
            <wp:extent cx="60032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3290" cy="1714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-1699895</wp:posOffset>
            </wp:positionV>
            <wp:extent cx="60032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3290"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-722630</wp:posOffset>
            </wp:positionV>
            <wp:extent cx="55486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-19050</wp:posOffset>
            </wp:positionV>
            <wp:extent cx="55486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left="2680" w:hanging="714"/>
        <w:spacing w:after="0"/>
        <w:tabs>
          <w:tab w:leader="none" w:pos="2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680" w:right="544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0 James E. Besser – 0</w:t>
      </w:r>
    </w:p>
    <w:p>
      <w:pPr>
        <w:spacing w:after="0" w:line="197" w:lineRule="exact"/>
        <w:rPr>
          <w:rFonts w:ascii="Arial" w:cs="Arial" w:eastAsia="Arial" w:hAnsi="Arial"/>
          <w:sz w:val="18"/>
          <w:szCs w:val="18"/>
          <w:color w:val="auto"/>
        </w:rPr>
      </w:pPr>
    </w:p>
    <w:p>
      <w:pPr>
        <w:ind w:left="2680" w:hanging="714"/>
        <w:spacing w:after="0"/>
        <w:tabs>
          <w:tab w:leader="none" w:pos="2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680" w:right="544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0 James E. Besser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-722630</wp:posOffset>
            </wp:positionV>
            <wp:extent cx="55486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-19050</wp:posOffset>
            </wp:positionV>
            <wp:extent cx="55486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260" w:right="1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117475</wp:posOffset>
            </wp:positionV>
            <wp:extent cx="64573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260" w:right="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260" w:right="60"/>
        <w:spacing w:after="0" w:line="308" w:lineRule="auto"/>
        <w:rPr>
          <w:sz w:val="20"/>
          <w:szCs w:val="20"/>
          <w:color w:val="auto"/>
        </w:rPr>
      </w:pPr>
      <w:r>
        <w:rPr>
          <w:rFonts w:ascii="Arial" w:cs="Arial" w:eastAsia="Arial" w:hAnsi="Arial"/>
          <w:sz w:val="17"/>
          <w:szCs w:val="17"/>
          <w:color w:val="auto"/>
        </w:rPr>
        <w:t>The securities reported in this Schedule 13G that are beneficially owned by Manchester Management Company, LLC are directly owned by advisory clients of Manchester Management Company, LLC, none of which owns more than 5% of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-34290</wp:posOffset>
            </wp:positionV>
            <wp:extent cx="64573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181" w:lineRule="exact"/>
        <w:rPr>
          <w:sz w:val="20"/>
          <w:szCs w:val="20"/>
          <w:color w:val="auto"/>
        </w:rPr>
      </w:pPr>
    </w:p>
    <w:p>
      <w:pPr>
        <w:ind w:left="1260" w:right="420" w:hanging="1242"/>
        <w:spacing w:after="0" w:line="277" w:lineRule="auto"/>
        <w:tabs>
          <w:tab w:leader="none" w:pos="12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260" w:right="180"/>
        <w:spacing w:after="0" w:line="312"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64573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a group has filed this schedule pursuant to §240.13d-1(b)(1)(ii)(J), so indicate under Item 3(j) and attach an exhibit stating the identity and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Item 3 classification of each member of the group. If a group has filed this schedule pursuant to Rule 13d-1(c) or Rule 13d-1(d), attach an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exhibit stating the identity of each member of the group.</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5715</wp:posOffset>
            </wp:positionV>
            <wp:extent cx="64573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573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6" w:name="page7"/>
    <w:bookmarkEnd w:id="6"/>
    <w:p>
      <w:pPr>
        <w:spacing w:after="0"/>
        <w:tabs>
          <w:tab w:leader="none" w:pos="12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26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64573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225" w:lineRule="exact"/>
        <w:rPr>
          <w:sz w:val="20"/>
          <w:szCs w:val="20"/>
          <w:color w:val="auto"/>
        </w:rPr>
      </w:pPr>
    </w:p>
    <w:p>
      <w:pPr>
        <w:jc w:val="both"/>
        <w:ind w:left="126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611"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MANCHESTER MANAGEMENT COMPANY,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E. Besser,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 The Reporting Person disclaims beneficial ownership in the common stock reported herein except to the extent of his pecuniary interest therein.</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00" w:lineRule="exact"/>
        <w:rPr>
          <w:sz w:val="20"/>
          <w:szCs w:val="20"/>
          <w:color w:val="auto"/>
        </w:rPr>
      </w:pPr>
    </w:p>
    <w:p>
      <w:pPr>
        <w:spacing w:after="0" w:line="2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Amendment No. 2 to Schedule 13G dated February 16, 2016 relating to the Common Stock, $0.001 par value, of Imprimis Pharmaceuticals, Inc. shall be filed on behalf of the undersigned.</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MANCHESTER MANAGEMENT COMPANY,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E. Besser,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SK 02849 0008 7043164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2020-01-19T14:35:37Z</dcterms:created>
  <dcterms:modified xsi:type="dcterms:W3CDTF">2020-01-19T14:35:37Z</dcterms:modified>
</cp:coreProperties>
</file>