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4921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92125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BAUM MARK 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HARROW HEALTH,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jc w:val="center"/>
        <w:ind w:right="135"/>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HARROW HEALTH,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04/03/2023</w:t>
      </w:r>
    </w:p>
    <w:p>
      <w:pPr>
        <w:spacing w:after="0" w:line="20" w:lineRule="exact"/>
        <w:rPr>
          <w:sz w:val="24"/>
          <w:szCs w:val="24"/>
          <w:color w:val="auto"/>
        </w:rPr>
      </w:pPr>
      <w:r>
        <w:rPr>
          <w:sz w:val="24"/>
          <w:szCs w:val="24"/>
          <w:color w:val="auto"/>
        </w:rPr>
        <w:br w:type="column"/>
      </w:r>
    </w:p>
    <w:p>
      <w:pPr>
        <w:ind w:left="5" w:right="720" w:hanging="5"/>
        <w:spacing w:after="0" w:line="27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1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0" w:lineRule="exact"/>
        <w:rPr>
          <w:sz w:val="24"/>
          <w:szCs w:val="24"/>
          <w:color w:val="auto"/>
        </w:rPr>
      </w:pPr>
    </w:p>
    <w:p>
      <w:pPr>
        <w:sectPr>
          <w:pgSz w:w="11900" w:h="16838" w:orient="portrait"/>
          <w:cols w:equalWidth="0" w:num="3">
            <w:col w:w="3180" w:space="720"/>
            <w:col w:w="3115" w:space="720"/>
            <w:col w:w="3345"/>
          </w:cols>
          <w:pgMar w:left="460" w:top="214" w:right="359" w:bottom="144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center"/>
              <w:ind w:right="220"/>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NASHVILLE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TN</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37205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400" w:type="dxa"/>
            <w:vAlign w:val="bottom"/>
            <w:tcBorders>
              <w:top w:val="single" w:sz="8" w:color="2C2C2C"/>
            </w:tcBorders>
            <w:gridSpan w:val="11"/>
          </w:tcPr>
          <w:p>
            <w:pPr>
              <w:jc w:val="center"/>
              <w:ind w:righ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04/03/2023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180,000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1,664,962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04/03/2023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117,633</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20.97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1,547,329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400" w:type="dxa"/>
            <w:vAlign w:val="bottom"/>
            <w:tcBorders>
              <w:top w:val="single" w:sz="8" w:color="2C2C2C"/>
            </w:tcBorders>
            <w:gridSpan w:val="11"/>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5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5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right="2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8.99</w:t>
            </w:r>
          </w:p>
        </w:tc>
        <w:tc>
          <w:tcPr>
            <w:tcW w:w="120" w:type="dxa"/>
            <w:vAlign w:val="bottom"/>
          </w:tcPr>
          <w:p>
            <w:pPr>
              <w:spacing w:after="0"/>
              <w:rPr>
                <w:sz w:val="17"/>
                <w:szCs w:val="17"/>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0000FF"/>
              </w:rPr>
              <w:t>04/03/2023</w:t>
            </w:r>
          </w:p>
        </w:tc>
        <w:tc>
          <w:tcPr>
            <w:tcW w:w="1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0000FF"/>
              </w:rPr>
              <w:t>180,000</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0000FF"/>
              </w:rPr>
              <w:t>05/02/2023</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180,000</w:t>
            </w:r>
          </w:p>
        </w:tc>
        <w:tc>
          <w:tcPr>
            <w:tcW w:w="40" w:type="dxa"/>
            <w:vAlign w:val="bottom"/>
          </w:tcPr>
          <w:p>
            <w:pPr>
              <w:spacing w:after="0"/>
              <w:rPr>
                <w:sz w:val="17"/>
                <w:szCs w:val="17"/>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ind w:left="10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tcPr>
          <w:p>
            <w:pPr>
              <w:jc w:val="right"/>
              <w:ind w:right="125"/>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9"/>
                <w:szCs w:val="19"/>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0000FF"/>
              </w:rPr>
              <w:t>04/03/2023</w:t>
            </w:r>
          </w:p>
        </w:tc>
        <w:tc>
          <w:tcPr>
            <w:tcW w:w="110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762,300</w:t>
            </w:r>
          </w:p>
        </w:tc>
        <w:tc>
          <w:tcPr>
            <w:tcW w:w="480" w:type="dxa"/>
            <w:vAlign w:val="bottom"/>
          </w:tcPr>
          <w:p>
            <w:pPr>
              <w:spacing w:after="0"/>
              <w:rPr>
                <w:sz w:val="19"/>
                <w:szCs w:val="19"/>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0000FF"/>
              </w:rPr>
              <w:t>04/03/2028</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762,300</w:t>
            </w:r>
          </w:p>
        </w:tc>
        <w:tc>
          <w:tcPr>
            <w:tcW w:w="40" w:type="dxa"/>
            <w:vAlign w:val="bottom"/>
          </w:tcPr>
          <w:p>
            <w:pPr>
              <w:spacing w:after="0"/>
              <w:rPr>
                <w:sz w:val="19"/>
                <w:szCs w:val="19"/>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0000FF"/>
              </w:rPr>
              <w:t>762,300</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-1962785</wp:posOffset>
            </wp:positionV>
            <wp:extent cx="28575" cy="196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678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withheld to satisfy the exercise price and tax liability incident to the exercise of the stock option. Such withholding did not involve any market sales or other market transactions.</w:t>
      </w:r>
    </w:p>
    <w:p>
      <w:pPr>
        <w:spacing w:after="0" w:line="48" w:lineRule="exact"/>
        <w:rPr>
          <w:rFonts w:ascii="Times New Roman" w:cs="Times New Roman" w:eastAsia="Times New Roman" w:hAnsi="Times New Roman"/>
          <w:sz w:val="12"/>
          <w:szCs w:val="12"/>
          <w:color w:val="008000"/>
        </w:rPr>
      </w:pPr>
    </w:p>
    <w:p>
      <w:pPr>
        <w:ind w:left="40" w:right="46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was granted on May 2, 2013 under the Issuers 2007 Stock Incentive and Awards Plan and the shares subject to the stock option became exercisable over a 3 year period, according to a quarterly vesting schedule following its grant date. The stock option had an expiration date of May 2, 2023.</w:t>
      </w:r>
    </w:p>
    <w:p>
      <w:pPr>
        <w:ind w:left="40" w:right="140" w:hanging="3"/>
        <w:spacing w:after="0" w:line="252"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performance-based restricted stock units ("PSUs") granted under the Issuer's 2017 Stock Incentive and Awards Plan, as amended (the "Plan"). Each PSU represents a contingent right to receive one share of common stock of the Issuer upon vesting. The vesting of the PSUs (granted in lieu of service only stock option and restricted stock unit awards) require (i) a minimum of a two-year service period, and (ii) the achievement and maintenance of Harrow common stock price targets of $25 (causing the vesting of 108,900 PSU shares), $35 (causing the vesting of 163,350 PSU shares), $45 (causing the vesting of 217,800 PSU shares), $50 (causing the vesting of 272,250 PSU shares).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Mark L. Baum</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04/04/2023</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2023-04-04T18:56:35Z</dcterms:created>
  <dcterms:modified xsi:type="dcterms:W3CDTF">2023-04-04T18:56:35Z</dcterms:modified>
</cp:coreProperties>
</file>