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8,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6"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102 Woodmont Blvd., Suite 610</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37205</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17145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5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Trading Symbol(s)</w:t>
            </w:r>
          </w:p>
        </w:tc>
        <w:tc>
          <w:tcPr>
            <w:tcW w:w="4260" w:type="dxa"/>
            <w:vAlign w:val="bottom"/>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30"/>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HROW</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The NASDAQ Global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Attached as Exhibit 99.1 to this Item 7.01 is a presentation of Harrow Health, Inc. (the “Company”), that is being used by the management of the Company at investor conferences and at meetings describing the Company.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contained in Item 7.01 of this report and in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Item</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Harrow Health, Inc. Corporate Presentation dated March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Dated: March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ind w:left="900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187325</wp:posOffset>
            </wp:positionV>
            <wp:extent cx="7132320" cy="34207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1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0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7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7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7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1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0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1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0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7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7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7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7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7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7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1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0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1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0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2021-03-08T15:50:30Z</dcterms:created>
  <dcterms:modified xsi:type="dcterms:W3CDTF">2021-03-08T15:50:30Z</dcterms:modified>
</cp:coreProperties>
</file>