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10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0984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BOLL ANDREW 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02/19/2019</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4"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92130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tcPr>
          <w:p>
            <w:pPr>
              <w:jc w:val="center"/>
              <w:ind w:right="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w:t>
            </w:r>
          </w:p>
        </w:tc>
        <w:tc>
          <w:tcPr>
            <w:tcW w:w="140" w:type="dxa"/>
            <w:vAlign w:val="bottom"/>
          </w:tcPr>
          <w:p>
            <w:pPr>
              <w:spacing w:after="0"/>
              <w:rPr>
                <w:sz w:val="11"/>
                <w:szCs w:val="11"/>
                <w:color w:val="auto"/>
              </w:rPr>
            </w:pPr>
          </w:p>
        </w:tc>
        <w:tc>
          <w:tcPr>
            <w:tcW w:w="108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0000FF"/>
              </w:rPr>
              <w:t>02/19/2019</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34" w:lineRule="exact"/>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02/19/2029</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line="134"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1"/>
                <w:szCs w:val="11"/>
                <w:color w:val="auto"/>
              </w:rPr>
            </w:pPr>
          </w:p>
        </w:tc>
        <w:tc>
          <w:tcPr>
            <w:tcW w:w="70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40" w:type="dxa"/>
            <w:vAlign w:val="bottom"/>
          </w:tcPr>
          <w:p>
            <w:pPr>
              <w:spacing w:after="0"/>
              <w:rPr>
                <w:sz w:val="20"/>
                <w:szCs w:val="20"/>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02/19/2019</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02/19/2022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under the Issuer's 2017 Stock Incentive and Awards Plan (the "Plan"). The stock options vest in equal quarterly installments over a three-year period.</w:t>
      </w:r>
    </w:p>
    <w:p>
      <w:pPr>
        <w:spacing w:after="0" w:line="51"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Boll</w:t>
            </w:r>
          </w:p>
        </w:tc>
        <w:tc>
          <w:tcPr>
            <w:tcW w:w="1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02/21/2019</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2020-01-09T13:37:08Z</dcterms:created>
  <dcterms:modified xsi:type="dcterms:W3CDTF">2020-01-09T13:37:08Z</dcterms:modified>
</cp:coreProperties>
</file>