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04/19/2024</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04/19/2024</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29,400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10.5575</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3,775,000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The range of purchase prices per share on the transaction date was $10.34-10.8256. The reporting person undertakes to provide, upon request by the SEC staff, the issuer, or a security holder of the issuer, full information regarding the number of shares purchased at each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04/19/2024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2024-04-19T17:28:18Z</dcterms:created>
  <dcterms:modified xsi:type="dcterms:W3CDTF">2024-04-19T17:28:18Z</dcterms:modified>
</cp:coreProperties>
</file>