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April 20, 2021 (April 15, 2021)</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HARROW HEALTH,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800" w:right="339" w:bottom="1440" w:gutter="0" w:footer="0" w:header="0"/>
        </w:sectPr>
      </w:pPr>
    </w:p>
    <w:p>
      <w:pPr>
        <w:spacing w:after="0" w:line="232"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4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18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1960"/>
        <w:spacing w:after="0"/>
        <w:rPr>
          <w:sz w:val="20"/>
          <w:szCs w:val="20"/>
          <w:color w:val="auto"/>
        </w:rPr>
      </w:pPr>
      <w:r>
        <w:rPr>
          <w:rFonts w:ascii="Arial" w:cs="Arial" w:eastAsia="Arial" w:hAnsi="Arial"/>
          <w:sz w:val="18"/>
          <w:szCs w:val="18"/>
          <w:b w:val="1"/>
          <w:bCs w:val="1"/>
          <w:color w:val="auto"/>
        </w:rPr>
        <w:t>001-35814</w:t>
      </w:r>
    </w:p>
    <w:p>
      <w:pPr>
        <w:spacing w:after="0" w:line="27" w:lineRule="exact"/>
        <w:rPr>
          <w:sz w:val="24"/>
          <w:szCs w:val="24"/>
          <w:color w:val="auto"/>
        </w:rPr>
      </w:pPr>
    </w:p>
    <w:p>
      <w:pPr>
        <w:jc w:val="center"/>
        <w:ind w:right="196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6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45-0567010</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420" w:space="720"/>
            <w:col w:w="2920" w:space="720"/>
            <w:col w:w="2460"/>
          </w:cols>
          <w:pgMar w:left="320" w:top="800" w:right="339" w:bottom="1440" w:gutter="0" w:footer="0" w:header="0"/>
          <w:type w:val="continuous"/>
        </w:sectPr>
      </w:pPr>
    </w:p>
    <w:p>
      <w:pPr>
        <w:spacing w:after="0" w:line="34"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102 Woodmont Blvd., Suite 610</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Nashville, Tennessee</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30" w:lineRule="exact"/>
        <w:rPr>
          <w:sz w:val="24"/>
          <w:szCs w:val="24"/>
          <w:color w:val="auto"/>
        </w:rPr>
      </w:pPr>
    </w:p>
    <w:p>
      <w:pPr>
        <w:jc w:val="center"/>
        <w:ind w:right="2360"/>
        <w:spacing w:after="0"/>
        <w:rPr>
          <w:sz w:val="20"/>
          <w:szCs w:val="20"/>
          <w:color w:val="auto"/>
        </w:rPr>
      </w:pPr>
      <w:r>
        <w:rPr>
          <w:rFonts w:ascii="Arial" w:cs="Arial" w:eastAsia="Arial" w:hAnsi="Arial"/>
          <w:sz w:val="18"/>
          <w:szCs w:val="18"/>
          <w:b w:val="1"/>
          <w:bCs w:val="1"/>
          <w:color w:val="auto"/>
        </w:rPr>
        <w:t>37205</w:t>
      </w:r>
    </w:p>
    <w:p>
      <w:pPr>
        <w:spacing w:after="0" w:line="27" w:lineRule="exact"/>
        <w:rPr>
          <w:sz w:val="24"/>
          <w:szCs w:val="24"/>
          <w:color w:val="auto"/>
        </w:rPr>
      </w:pPr>
    </w:p>
    <w:p>
      <w:pPr>
        <w:jc w:val="center"/>
        <w:ind w:right="236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800" w:right="339" w:bottom="1440" w:gutter="0" w:footer="0" w:header="0"/>
          <w:type w:val="continuous"/>
        </w:sectPr>
      </w:pP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(615) 733-4730</w:t>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10795</wp:posOffset>
            </wp:positionV>
            <wp:extent cx="3566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4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96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40" w:type="dxa"/>
            <w:vAlign w:val="bottom"/>
          </w:tcPr>
          <w:p>
            <w:pPr>
              <w:spacing w:after="0"/>
              <w:rPr>
                <w:sz w:val="20"/>
                <w:szCs w:val="20"/>
                <w:color w:val="auto"/>
              </w:rPr>
            </w:pPr>
          </w:p>
        </w:tc>
      </w:tr>
      <w:tr>
        <w:trPr>
          <w:trHeight w:val="480"/>
        </w:trPr>
        <w:tc>
          <w:tcPr>
            <w:tcW w:w="49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Title of each class</w:t>
            </w:r>
          </w:p>
        </w:tc>
        <w:tc>
          <w:tcPr>
            <w:tcW w:w="224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Trading Symbol(s)</w:t>
            </w:r>
          </w:p>
        </w:tc>
        <w:tc>
          <w:tcPr>
            <w:tcW w:w="4040" w:type="dxa"/>
            <w:vAlign w:val="bottom"/>
          </w:tcPr>
          <w:p>
            <w:pPr>
              <w:jc w:val="center"/>
              <w:spacing w:after="0"/>
              <w:rPr>
                <w:sz w:val="20"/>
                <w:szCs w:val="20"/>
                <w:color w:val="auto"/>
              </w:rPr>
            </w:pPr>
            <w:r>
              <w:rPr>
                <w:rFonts w:ascii="Arial" w:cs="Arial" w:eastAsia="Arial" w:hAnsi="Arial"/>
                <w:sz w:val="18"/>
                <w:szCs w:val="18"/>
                <w:color w:val="auto"/>
                <w:w w:val="89"/>
              </w:rPr>
              <w:t>Name on exchange on which registered</w:t>
            </w:r>
          </w:p>
        </w:tc>
      </w:tr>
      <w:tr>
        <w:trPr>
          <w:trHeight w:val="230"/>
        </w:trPr>
        <w:tc>
          <w:tcPr>
            <w:tcW w:w="4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$0.001 par value per share</w:t>
            </w:r>
          </w:p>
        </w:tc>
        <w:tc>
          <w:tcPr>
            <w:tcW w:w="220" w:type="dxa"/>
            <w:vAlign w:val="bottom"/>
          </w:tcPr>
          <w:p>
            <w:pPr>
              <w:spacing w:after="0"/>
              <w:rPr>
                <w:sz w:val="20"/>
                <w:szCs w:val="20"/>
                <w:color w:val="auto"/>
              </w:rPr>
            </w:pPr>
          </w:p>
        </w:tc>
        <w:tc>
          <w:tcPr>
            <w:tcW w:w="20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HROW</w:t>
            </w:r>
          </w:p>
        </w:tc>
        <w:tc>
          <w:tcPr>
            <w:tcW w:w="220" w:type="dxa"/>
            <w:vAlign w:val="bottom"/>
          </w:tcPr>
          <w:p>
            <w:pPr>
              <w:spacing w:after="0"/>
              <w:rPr>
                <w:sz w:val="20"/>
                <w:szCs w:val="20"/>
                <w:color w:val="auto"/>
              </w:rPr>
            </w:pPr>
          </w:p>
        </w:tc>
        <w:tc>
          <w:tcPr>
            <w:tcW w:w="4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The NASDAQ Global Market</w:t>
            </w:r>
          </w:p>
        </w:tc>
      </w:tr>
    </w:tbl>
    <w:p>
      <w:pPr>
        <w:spacing w:after="0" w:line="214"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or Rule 12b-2 of the Securities Act of 1934: Emerging growth company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any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On April 15, 2021, Harrow Health, Inc. (the “</w:t>
      </w:r>
      <w:r>
        <w:rPr>
          <w:rFonts w:ascii="Arial" w:cs="Arial" w:eastAsia="Arial" w:hAnsi="Arial"/>
          <w:sz w:val="16"/>
          <w:szCs w:val="16"/>
          <w:u w:val="single" w:color="auto"/>
          <w:color w:val="auto"/>
        </w:rPr>
        <w:t>Company</w:t>
      </w:r>
      <w:r>
        <w:rPr>
          <w:rFonts w:ascii="Arial" w:cs="Arial" w:eastAsia="Arial" w:hAnsi="Arial"/>
          <w:sz w:val="16"/>
          <w:szCs w:val="16"/>
          <w:color w:val="auto"/>
        </w:rPr>
        <w:t>”) entered into an underwriting agreement (the “</w:t>
      </w:r>
      <w:r>
        <w:rPr>
          <w:rFonts w:ascii="Arial" w:cs="Arial" w:eastAsia="Arial" w:hAnsi="Arial"/>
          <w:sz w:val="16"/>
          <w:szCs w:val="16"/>
          <w:u w:val="single" w:color="auto"/>
          <w:color w:val="auto"/>
        </w:rPr>
        <w:t>Underwriting Agreement</w:t>
      </w:r>
      <w:r>
        <w:rPr>
          <w:rFonts w:ascii="Arial" w:cs="Arial" w:eastAsia="Arial" w:hAnsi="Arial"/>
          <w:sz w:val="16"/>
          <w:szCs w:val="16"/>
          <w:color w:val="auto"/>
        </w:rPr>
        <w:t>”) with B. Riley Securities, Inc., as representative of the several underwriters named therein (the “</w:t>
      </w:r>
      <w:r>
        <w:rPr>
          <w:rFonts w:ascii="Arial" w:cs="Arial" w:eastAsia="Arial" w:hAnsi="Arial"/>
          <w:sz w:val="16"/>
          <w:szCs w:val="16"/>
          <w:u w:val="single" w:color="auto"/>
          <w:color w:val="auto"/>
        </w:rPr>
        <w:t>Underwriters</w:t>
      </w:r>
      <w:r>
        <w:rPr>
          <w:rFonts w:ascii="Arial" w:cs="Arial" w:eastAsia="Arial" w:hAnsi="Arial"/>
          <w:sz w:val="16"/>
          <w:szCs w:val="16"/>
          <w:color w:val="auto"/>
        </w:rPr>
        <w:t>”), pursuant to which the Company agreed to sell to the Underwriters $50,000,000 aggregate principal amount of 8.625% Senior Notes due 2026 (the “</w:t>
      </w:r>
      <w:r>
        <w:rPr>
          <w:rFonts w:ascii="Arial" w:cs="Arial" w:eastAsia="Arial" w:hAnsi="Arial"/>
          <w:sz w:val="16"/>
          <w:szCs w:val="16"/>
          <w:u w:val="single" w:color="auto"/>
          <w:color w:val="auto"/>
        </w:rPr>
        <w:t>Firm Notes</w:t>
      </w:r>
      <w:r>
        <w:rPr>
          <w:rFonts w:ascii="Arial" w:cs="Arial" w:eastAsia="Arial" w:hAnsi="Arial"/>
          <w:sz w:val="16"/>
          <w:szCs w:val="16"/>
          <w:color w:val="auto"/>
        </w:rPr>
        <w:t>”) plus up to an additional $5,000,000 aggregate principal amount of 8.625% Senior Notes due 2026 pursuant to the option to purchase additional Notes (the “</w:t>
      </w:r>
      <w:r>
        <w:rPr>
          <w:rFonts w:ascii="Arial" w:cs="Arial" w:eastAsia="Arial" w:hAnsi="Arial"/>
          <w:sz w:val="16"/>
          <w:szCs w:val="16"/>
          <w:u w:val="single" w:color="auto"/>
          <w:color w:val="auto"/>
        </w:rPr>
        <w:t>Additional Notes</w:t>
      </w:r>
      <w:r>
        <w:rPr>
          <w:rFonts w:ascii="Arial" w:cs="Arial" w:eastAsia="Arial" w:hAnsi="Arial"/>
          <w:sz w:val="16"/>
          <w:szCs w:val="16"/>
          <w:color w:val="auto"/>
        </w:rPr>
        <w:t>”, and together with the Firm Notes, the “</w:t>
      </w:r>
      <w:r>
        <w:rPr>
          <w:rFonts w:ascii="Arial" w:cs="Arial" w:eastAsia="Arial" w:hAnsi="Arial"/>
          <w:sz w:val="16"/>
          <w:szCs w:val="16"/>
          <w:u w:val="single" w:color="auto"/>
          <w:color w:val="auto"/>
        </w:rPr>
        <w:t>Notes</w:t>
      </w:r>
      <w:r>
        <w:rPr>
          <w:rFonts w:ascii="Arial" w:cs="Arial" w:eastAsia="Arial" w:hAnsi="Arial"/>
          <w:sz w:val="16"/>
          <w:szCs w:val="16"/>
          <w:color w:val="auto"/>
        </w:rPr>
        <w:t>”). The Notes were offered pursuant to the Company’s shelf registration statement on Form S-3 (Registration No. 333-239669), which was declared effective by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on July 13, 2020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On April 15, 2021, the Company priced the offering and on April 20, 2021, the offering of Firm Notes closed. The Underwriting Agreement contains customary representations, warranties and covenants of the Company, customary conditions to closing, indemnification obligations of the Company and the Underwriters, including for liabilities under the Securities Act of 1933, as amended, other obligations of the parties and termination provisions. The representations, warranties and covenants contained in the Underwriting Agreement were made only for purposes of such agreement and as of specific dates, were solely for the benefit of the parties to such agreement, and may be subject to limitations agreed upon by the contracting parties.</w:t>
      </w:r>
    </w:p>
    <w:p>
      <w:pPr>
        <w:spacing w:after="0" w:line="17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The foregoing description of the material terms of the Underwriting Agreement is qualified in its entirety by reference to the full text of the Underwriting Agreement, a copy of which is attached hereto as </w:t>
      </w:r>
      <w:r>
        <w:rPr>
          <w:rFonts w:ascii="Arial" w:cs="Arial" w:eastAsia="Arial" w:hAnsi="Arial"/>
          <w:sz w:val="18"/>
          <w:szCs w:val="18"/>
          <w:u w:val="single" w:color="auto"/>
          <w:color w:val="auto"/>
        </w:rPr>
        <w:t>Exhibit 1.1</w:t>
      </w:r>
      <w:r>
        <w:rPr>
          <w:rFonts w:ascii="Arial" w:cs="Arial" w:eastAsia="Arial" w:hAnsi="Arial"/>
          <w:sz w:val="18"/>
          <w:szCs w:val="18"/>
          <w:color w:val="auto"/>
        </w:rPr>
        <w:t xml:space="preserve"> and is incorporated herein by reference.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April 20, 2021, the Company entered into an indenture (the “</w:t>
      </w:r>
      <w:r>
        <w:rPr>
          <w:rFonts w:ascii="Arial" w:cs="Arial" w:eastAsia="Arial" w:hAnsi="Arial"/>
          <w:sz w:val="18"/>
          <w:szCs w:val="18"/>
          <w:u w:val="single" w:color="auto"/>
          <w:color w:val="auto"/>
        </w:rPr>
        <w:t>Base Indenture</w:t>
      </w:r>
      <w:r>
        <w:rPr>
          <w:rFonts w:ascii="Arial" w:cs="Arial" w:eastAsia="Arial" w:hAnsi="Arial"/>
          <w:sz w:val="18"/>
          <w:szCs w:val="18"/>
          <w:color w:val="auto"/>
        </w:rPr>
        <w:t>”) and a first supplemental indenture (the “</w:t>
      </w:r>
      <w:r>
        <w:rPr>
          <w:rFonts w:ascii="Arial" w:cs="Arial" w:eastAsia="Arial" w:hAnsi="Arial"/>
          <w:sz w:val="18"/>
          <w:szCs w:val="18"/>
          <w:u w:val="single" w:color="auto"/>
          <w:color w:val="auto"/>
        </w:rPr>
        <w:t>First Supplemental</w:t>
      </w:r>
      <w:r>
        <w:rPr>
          <w:rFonts w:ascii="Arial" w:cs="Arial" w:eastAsia="Arial" w:hAnsi="Arial"/>
          <w:sz w:val="18"/>
          <w:szCs w:val="18"/>
          <w:color w:val="auto"/>
        </w:rPr>
        <w:t xml:space="preserve"> </w:t>
      </w:r>
      <w:r>
        <w:rPr>
          <w:rFonts w:ascii="Arial" w:cs="Arial" w:eastAsia="Arial" w:hAnsi="Arial"/>
          <w:sz w:val="18"/>
          <w:szCs w:val="18"/>
          <w:u w:val="single" w:color="auto"/>
          <w:color w:val="auto"/>
        </w:rPr>
        <w:t>Indenture</w:t>
      </w:r>
      <w:r>
        <w:rPr>
          <w:rFonts w:ascii="Arial" w:cs="Arial" w:eastAsia="Arial" w:hAnsi="Arial"/>
          <w:sz w:val="18"/>
          <w:szCs w:val="18"/>
          <w:color w:val="auto"/>
        </w:rPr>
        <w:t>” and, together with the Base Indenture, the “</w:t>
      </w:r>
      <w:r>
        <w:rPr>
          <w:rFonts w:ascii="Arial" w:cs="Arial" w:eastAsia="Arial" w:hAnsi="Arial"/>
          <w:sz w:val="18"/>
          <w:szCs w:val="18"/>
          <w:u w:val="single" w:color="auto"/>
          <w:color w:val="auto"/>
        </w:rPr>
        <w:t>Indenture</w:t>
      </w:r>
      <w:r>
        <w:rPr>
          <w:rFonts w:ascii="Arial" w:cs="Arial" w:eastAsia="Arial" w:hAnsi="Arial"/>
          <w:sz w:val="18"/>
          <w:szCs w:val="18"/>
          <w:color w:val="auto"/>
        </w:rPr>
        <w:t>”) with U.S. Bank National Association, as trustee (the “</w:t>
      </w:r>
      <w:r>
        <w:rPr>
          <w:rFonts w:ascii="Arial" w:cs="Arial" w:eastAsia="Arial" w:hAnsi="Arial"/>
          <w:sz w:val="18"/>
          <w:szCs w:val="18"/>
          <w:u w:val="single" w:color="auto"/>
          <w:color w:val="auto"/>
        </w:rPr>
        <w:t>Trustee</w:t>
      </w:r>
      <w:r>
        <w:rPr>
          <w:rFonts w:ascii="Arial" w:cs="Arial" w:eastAsia="Arial" w:hAnsi="Arial"/>
          <w:sz w:val="18"/>
          <w:szCs w:val="18"/>
          <w:color w:val="auto"/>
        </w:rPr>
        <w:t>”). The Indenture establishes the form, and provides for the issuance, of the Notes.</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Notes are senior unsecured obligations of the Company and rank equally in right of payment with all of the Company’s other existing and future senior unsecured and unsubordinated indebtedness. The Notes are effectively subordinated in right of payment to all of the Company’s existing and future secured indebtedness and structurally subordinated to all existing and future indebtedness of the Company’s subsidiaries, including trade payables. The Notes bear interest at the rate of 8.625% per annum. Interest on the Notes is payable quarterly in arrears on January 31, April 30, July 31 and October 31 of each year, commencing on July 31, 2021. The Notes will mature on April 30, 2026.</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Prior to February 1, 2026, the Company may, at its option, redeem the Notes, in whole at any time or in part from time to time, at a redemption price equal to 100% of the principal amount of the Notes to be redeemed, plus a make-whole amount that is further described in the First Supplemental Indenture, if any, plus accrued and unpaid interest to, but excluding, the date of redemption.</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may redeem the Notes for cash in whole or in part at any time at our option on or after February 1, 2026 and prior to maturity, at a price equal to 100% of their principal amount, plus accrued and unpaid interest to, but excluding, the date of redemption. On and after any redemption date, interest will cease to accrue on the redeemed Notes.</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Indenture contains customary events of default and cure provisions. If an uncured default occurs and is continuing, the Trustee or the holders of at least 25% of the principal amount of the Notes may declare the entire amount of the Notes, together with accrued and unpaid interest, if any, to be immediately due and payable. In the case of an event of default involving the Company’s bankruptcy, insolvency or reorganization, the principal of, and accrued and unpaid interest on, the principal amount of the Notes, together with accrued and unpaid interest, if any, will automatically, and without any declaration or other action on the part of the Trustee or the holders of the Notes, become due and payable.</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The foregoing description of the Base Indenture, the First Supplemental Indenture and the Notes does not purport to be complete and is qualified in its entirety by reference to the full text of the Base Indenture, the First Supplemental Indenture and the form of Note, copies of which are attached hereto as </w:t>
      </w:r>
      <w:r>
        <w:rPr>
          <w:rFonts w:ascii="Arial" w:cs="Arial" w:eastAsia="Arial" w:hAnsi="Arial"/>
          <w:sz w:val="18"/>
          <w:szCs w:val="18"/>
          <w:u w:val="single" w:color="auto"/>
          <w:color w:val="auto"/>
        </w:rPr>
        <w:t>Exhibit 4.1</w:t>
      </w:r>
      <w:r>
        <w:rPr>
          <w:rFonts w:ascii="Arial" w:cs="Arial" w:eastAsia="Arial" w:hAnsi="Arial"/>
          <w:sz w:val="18"/>
          <w:szCs w:val="18"/>
          <w:color w:val="auto"/>
        </w:rPr>
        <w:t xml:space="preserve">, </w:t>
      </w:r>
      <w:r>
        <w:rPr>
          <w:rFonts w:ascii="Arial" w:cs="Arial" w:eastAsia="Arial" w:hAnsi="Arial"/>
          <w:sz w:val="18"/>
          <w:szCs w:val="18"/>
          <w:u w:val="single" w:color="auto"/>
          <w:color w:val="auto"/>
        </w:rPr>
        <w:t>Exhibit 4.2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Exhibit 4.3</w:t>
      </w:r>
      <w:r>
        <w:rPr>
          <w:rFonts w:ascii="Arial" w:cs="Arial" w:eastAsia="Arial" w:hAnsi="Arial"/>
          <w:sz w:val="18"/>
          <w:szCs w:val="18"/>
          <w:color w:val="auto"/>
        </w:rPr>
        <w:t xml:space="preserve"> and incorporated by reference herein.</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Attached as </w:t>
      </w:r>
      <w:r>
        <w:rPr>
          <w:rFonts w:ascii="Arial" w:cs="Arial" w:eastAsia="Arial" w:hAnsi="Arial"/>
          <w:sz w:val="18"/>
          <w:szCs w:val="18"/>
          <w:u w:val="single" w:color="auto"/>
          <w:color w:val="auto"/>
        </w:rPr>
        <w:t>Exhibit 5.1</w:t>
      </w:r>
      <w:r>
        <w:rPr>
          <w:rFonts w:ascii="Arial" w:cs="Arial" w:eastAsia="Arial" w:hAnsi="Arial"/>
          <w:sz w:val="18"/>
          <w:szCs w:val="18"/>
          <w:color w:val="auto"/>
        </w:rPr>
        <w:t xml:space="preserve"> to this report and incorporated herein by reference is a copy of the opinion of Waller Lansden Dortch &amp; Davis, LLP, relating to the validity of the Notes that may be sold in the offering (the “</w:t>
      </w:r>
      <w:r>
        <w:rPr>
          <w:rFonts w:ascii="Arial" w:cs="Arial" w:eastAsia="Arial" w:hAnsi="Arial"/>
          <w:sz w:val="18"/>
          <w:szCs w:val="18"/>
          <w:u w:val="single" w:color="auto"/>
          <w:color w:val="auto"/>
        </w:rPr>
        <w:t>Legal Opinion</w:t>
      </w:r>
      <w:r>
        <w:rPr>
          <w:rFonts w:ascii="Arial" w:cs="Arial" w:eastAsia="Arial" w:hAnsi="Arial"/>
          <w:sz w:val="18"/>
          <w:szCs w:val="18"/>
          <w:color w:val="auto"/>
        </w:rPr>
        <w:t>”). The Legal Opinion is also filed with reference to, and is hereby incorporated by reference into, the Registration Statement.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On April 15, 2021, the Company issued a press release announcing the pricing of the offering. A copy of the press release is filed as </w:t>
      </w:r>
      <w:r>
        <w:rPr>
          <w:rFonts w:ascii="Arial" w:cs="Arial" w:eastAsia="Arial" w:hAnsi="Arial"/>
          <w:sz w:val="18"/>
          <w:szCs w:val="18"/>
          <w:u w:val="single" w:color="auto"/>
          <w:color w:val="auto"/>
        </w:rPr>
        <w:t>Exhibit 99.1</w:t>
      </w:r>
      <w:r>
        <w:rPr>
          <w:rFonts w:ascii="Arial" w:cs="Arial" w:eastAsia="Arial" w:hAnsi="Arial"/>
          <w:sz w:val="18"/>
          <w:szCs w:val="18"/>
          <w:color w:val="auto"/>
        </w:rPr>
        <w:t xml:space="preserve"> to this report and is incorporated herein by reference.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On April 20, 2021, the Company issued a press release announcing the closing of the offering. A copy of the press release is filed as </w:t>
      </w:r>
      <w:r>
        <w:rPr>
          <w:rFonts w:ascii="Arial" w:cs="Arial" w:eastAsia="Arial" w:hAnsi="Arial"/>
          <w:sz w:val="18"/>
          <w:szCs w:val="18"/>
          <w:u w:val="single" w:color="auto"/>
          <w:color w:val="auto"/>
        </w:rPr>
        <w:t>Exhibit 99.2</w:t>
      </w:r>
      <w:r>
        <w:rPr>
          <w:rFonts w:ascii="Arial" w:cs="Arial" w:eastAsia="Arial" w:hAnsi="Arial"/>
          <w:sz w:val="18"/>
          <w:szCs w:val="18"/>
          <w:color w:val="auto"/>
        </w:rPr>
        <w:t xml:space="preserve"> to this report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 w:name="page3"/>
    <w:bookmarkEnd w:id="2"/>
    <w:p>
      <w:pPr>
        <w:spacing w:after="0"/>
        <w:tabs>
          <w:tab w:leader="none" w:pos="96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regarding the Notes and the Indenture set forth in Item 1.01 is incorporated herein by reference.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520" w:hanging="512"/>
        <w:spacing w:after="0"/>
        <w:tabs>
          <w:tab w:leader="none" w:pos="52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Exhibits</w:t>
      </w:r>
    </w:p>
    <w:p>
      <w:pPr>
        <w:spacing w:after="0" w:line="225" w:lineRule="exact"/>
        <w:rPr>
          <w:sz w:val="20"/>
          <w:szCs w:val="20"/>
          <w:color w:val="auto"/>
        </w:rPr>
      </w:pPr>
    </w:p>
    <w:p>
      <w:pPr>
        <w:ind w:left="520" w:hanging="512"/>
        <w:spacing w:after="0" w:line="277" w:lineRule="auto"/>
        <w:tabs>
          <w:tab w:leader="none" w:pos="500" w:val="left"/>
        </w:tabs>
        <w:rPr>
          <w:rFonts w:ascii="Arial" w:cs="Arial" w:eastAsia="Arial" w:hAnsi="Arial"/>
          <w:sz w:val="18"/>
          <w:szCs w:val="18"/>
          <w:u w:val="single" w:color="auto"/>
          <w:color w:val="0000EE"/>
        </w:rPr>
      </w:pPr>
      <w:r>
        <w:rPr>
          <w:rFonts w:ascii="Arial" w:cs="Arial" w:eastAsia="Arial" w:hAnsi="Arial"/>
          <w:sz w:val="18"/>
          <w:szCs w:val="18"/>
          <w:color w:val="auto"/>
        </w:rPr>
        <w:t>1.1</w:t>
      </w:r>
      <w:r>
        <w:rPr>
          <w:sz w:val="20"/>
          <w:szCs w:val="20"/>
          <w:color w:val="auto"/>
        </w:rPr>
        <w:tab/>
      </w:r>
      <w:hyperlink w:anchor="page5">
        <w:r>
          <w:rPr>
            <w:rFonts w:ascii="Arial" w:cs="Arial" w:eastAsia="Arial" w:hAnsi="Arial"/>
            <w:sz w:val="18"/>
            <w:szCs w:val="18"/>
            <w:u w:val="single" w:color="auto"/>
            <w:color w:val="0000EE"/>
          </w:rPr>
          <w:t>Underwriting Agreement, dated as of April 15, 2021, by and between the Company and B. Riley Securities, Inc., as representative of the several</w:t>
        </w:r>
      </w:hyperlink>
      <w:r>
        <w:rPr>
          <w:rFonts w:ascii="Arial" w:cs="Arial" w:eastAsia="Arial" w:hAnsi="Arial"/>
          <w:sz w:val="18"/>
          <w:szCs w:val="18"/>
          <w:u w:val="single" w:color="auto"/>
          <w:color w:val="0000EE"/>
        </w:rPr>
        <w:t xml:space="preserve"> </w:t>
      </w:r>
      <w:hyperlink w:anchor="page5">
        <w:r>
          <w:rPr>
            <w:rFonts w:ascii="Arial" w:cs="Arial" w:eastAsia="Arial" w:hAnsi="Arial"/>
            <w:sz w:val="18"/>
            <w:szCs w:val="18"/>
            <w:u w:val="single" w:color="auto"/>
            <w:color w:val="0000EE"/>
          </w:rPr>
          <w:t>underwriters named therein.</w:t>
        </w:r>
      </w:hyperlink>
    </w:p>
    <w:p>
      <w:pPr>
        <w:spacing w:after="0" w:line="170" w:lineRule="exact"/>
        <w:rPr>
          <w:sz w:val="20"/>
          <w:szCs w:val="20"/>
          <w:color w:val="auto"/>
        </w:rPr>
      </w:pPr>
    </w:p>
    <w:p>
      <w:pPr>
        <w:spacing w:after="0"/>
        <w:tabs>
          <w:tab w:leader="none" w:pos="500" w:val="left"/>
        </w:tabs>
        <w:rPr>
          <w:rFonts w:ascii="Arial" w:cs="Arial" w:eastAsia="Arial" w:hAnsi="Arial"/>
          <w:sz w:val="16"/>
          <w:szCs w:val="16"/>
          <w:u w:val="single" w:color="auto"/>
          <w:color w:val="0000EE"/>
        </w:rPr>
      </w:pPr>
      <w:r>
        <w:rPr>
          <w:rFonts w:ascii="Arial" w:cs="Arial" w:eastAsia="Arial" w:hAnsi="Arial"/>
          <w:sz w:val="18"/>
          <w:szCs w:val="18"/>
          <w:color w:val="auto"/>
        </w:rPr>
        <w:t>4.1</w:t>
      </w:r>
      <w:r>
        <w:rPr>
          <w:sz w:val="20"/>
          <w:szCs w:val="20"/>
          <w:color w:val="auto"/>
        </w:rPr>
        <w:tab/>
      </w:r>
      <w:hyperlink w:anchor="page36">
        <w:r>
          <w:rPr>
            <w:rFonts w:ascii="Arial" w:cs="Arial" w:eastAsia="Arial" w:hAnsi="Arial"/>
            <w:sz w:val="16"/>
            <w:szCs w:val="16"/>
            <w:u w:val="single" w:color="auto"/>
            <w:color w:val="0000EE"/>
          </w:rPr>
          <w:t>Indenture, dated as of April 20, 2021, by and between the Company and U.S. Bank National Association, as Trustee.</w:t>
        </w:r>
      </w:hyperlink>
    </w:p>
    <w:p>
      <w:pPr>
        <w:spacing w:after="0" w:line="225" w:lineRule="exact"/>
        <w:rPr>
          <w:sz w:val="20"/>
          <w:szCs w:val="20"/>
          <w:color w:val="auto"/>
        </w:rPr>
      </w:pPr>
    </w:p>
    <w:p>
      <w:pPr>
        <w:spacing w:after="0"/>
        <w:tabs>
          <w:tab w:leader="none" w:pos="500" w:val="left"/>
        </w:tabs>
        <w:rPr>
          <w:rFonts w:ascii="Arial" w:cs="Arial" w:eastAsia="Arial" w:hAnsi="Arial"/>
          <w:sz w:val="16"/>
          <w:szCs w:val="16"/>
          <w:u w:val="single" w:color="auto"/>
          <w:color w:val="0000EE"/>
        </w:rPr>
      </w:pPr>
      <w:r>
        <w:rPr>
          <w:rFonts w:ascii="Arial" w:cs="Arial" w:eastAsia="Arial" w:hAnsi="Arial"/>
          <w:sz w:val="18"/>
          <w:szCs w:val="18"/>
          <w:color w:val="auto"/>
        </w:rPr>
        <w:t>4.2</w:t>
      </w:r>
      <w:r>
        <w:rPr>
          <w:sz w:val="20"/>
          <w:szCs w:val="20"/>
          <w:color w:val="auto"/>
        </w:rPr>
        <w:tab/>
      </w:r>
      <w:hyperlink w:anchor="page95">
        <w:r>
          <w:rPr>
            <w:rFonts w:ascii="Arial" w:cs="Arial" w:eastAsia="Arial" w:hAnsi="Arial"/>
            <w:sz w:val="16"/>
            <w:szCs w:val="16"/>
            <w:u w:val="single" w:color="auto"/>
            <w:color w:val="0000EE"/>
          </w:rPr>
          <w:t>First Supplemental Indenture, dated as of April 20, 2021, by and between the Company and U.S. Bank National Association, as Trustee.</w:t>
        </w:r>
      </w:hyperlink>
    </w:p>
    <w:p>
      <w:pPr>
        <w:spacing w:after="0" w:line="225" w:lineRule="exact"/>
        <w:rPr>
          <w:sz w:val="20"/>
          <w:szCs w:val="20"/>
          <w:color w:val="auto"/>
        </w:rPr>
      </w:pPr>
    </w:p>
    <w:p>
      <w:pPr>
        <w:spacing w:after="0"/>
        <w:tabs>
          <w:tab w:leader="none" w:pos="500" w:val="left"/>
        </w:tabs>
        <w:rPr>
          <w:rFonts w:ascii="Arial" w:cs="Arial" w:eastAsia="Arial" w:hAnsi="Arial"/>
          <w:sz w:val="16"/>
          <w:szCs w:val="16"/>
          <w:u w:val="single" w:color="auto"/>
          <w:color w:val="0000EE"/>
        </w:rPr>
      </w:pPr>
      <w:r>
        <w:rPr>
          <w:rFonts w:ascii="Arial" w:cs="Arial" w:eastAsia="Arial" w:hAnsi="Arial"/>
          <w:sz w:val="18"/>
          <w:szCs w:val="18"/>
          <w:color w:val="auto"/>
        </w:rPr>
        <w:t>4.3</w:t>
      </w:r>
      <w:r>
        <w:rPr>
          <w:sz w:val="20"/>
          <w:szCs w:val="20"/>
          <w:color w:val="auto"/>
        </w:rPr>
        <w:tab/>
      </w:r>
      <w:hyperlink w:anchor="page95">
        <w:r>
          <w:rPr>
            <w:rFonts w:ascii="Arial" w:cs="Arial" w:eastAsia="Arial" w:hAnsi="Arial"/>
            <w:sz w:val="16"/>
            <w:szCs w:val="16"/>
            <w:u w:val="single" w:color="auto"/>
            <w:color w:val="0000EE"/>
          </w:rPr>
          <w:t>Form of 8.625% Senior Note due 2026 (included in Exhibit 4.2).</w:t>
        </w:r>
      </w:hyperlink>
    </w:p>
    <w:p>
      <w:pPr>
        <w:spacing w:after="0" w:line="225" w:lineRule="exact"/>
        <w:rPr>
          <w:sz w:val="20"/>
          <w:szCs w:val="20"/>
          <w:color w:val="auto"/>
        </w:rPr>
      </w:pPr>
    </w:p>
    <w:p>
      <w:pPr>
        <w:spacing w:after="0"/>
        <w:tabs>
          <w:tab w:leader="none" w:pos="500" w:val="left"/>
        </w:tabs>
        <w:rPr>
          <w:rFonts w:ascii="Arial" w:cs="Arial" w:eastAsia="Arial" w:hAnsi="Arial"/>
          <w:sz w:val="16"/>
          <w:szCs w:val="16"/>
          <w:u w:val="single" w:color="auto"/>
          <w:color w:val="0000EE"/>
        </w:rPr>
      </w:pPr>
      <w:r>
        <w:rPr>
          <w:rFonts w:ascii="Arial" w:cs="Arial" w:eastAsia="Arial" w:hAnsi="Arial"/>
          <w:sz w:val="18"/>
          <w:szCs w:val="18"/>
          <w:color w:val="auto"/>
        </w:rPr>
        <w:t>5.1</w:t>
      </w:r>
      <w:r>
        <w:rPr>
          <w:sz w:val="20"/>
          <w:szCs w:val="20"/>
          <w:color w:val="auto"/>
        </w:rPr>
        <w:tab/>
      </w:r>
      <w:hyperlink w:anchor="page113">
        <w:r>
          <w:rPr>
            <w:rFonts w:ascii="Arial" w:cs="Arial" w:eastAsia="Arial" w:hAnsi="Arial"/>
            <w:sz w:val="16"/>
            <w:szCs w:val="16"/>
            <w:u w:val="single" w:color="auto"/>
            <w:color w:val="0000EE"/>
          </w:rPr>
          <w:t>Opinion of Waller Lansden Dortch &amp; Davis, LLP.</w:t>
        </w:r>
      </w:hyperlink>
    </w:p>
    <w:p>
      <w:pPr>
        <w:spacing w:after="0" w:line="225" w:lineRule="exact"/>
        <w:rPr>
          <w:sz w:val="20"/>
          <w:szCs w:val="20"/>
          <w:color w:val="auto"/>
        </w:rPr>
      </w:pPr>
    </w:p>
    <w:p>
      <w:pPr>
        <w:spacing w:after="0"/>
        <w:tabs>
          <w:tab w:leader="none" w:pos="500" w:val="left"/>
        </w:tabs>
        <w:rPr>
          <w:rFonts w:ascii="Arial" w:cs="Arial" w:eastAsia="Arial" w:hAnsi="Arial"/>
          <w:sz w:val="16"/>
          <w:szCs w:val="16"/>
          <w:u w:val="single" w:color="auto"/>
          <w:color w:val="0000EE"/>
        </w:rPr>
      </w:pPr>
      <w:r>
        <w:rPr>
          <w:rFonts w:ascii="Arial" w:cs="Arial" w:eastAsia="Arial" w:hAnsi="Arial"/>
          <w:sz w:val="18"/>
          <w:szCs w:val="18"/>
          <w:color w:val="auto"/>
        </w:rPr>
        <w:t>23.1</w:t>
      </w:r>
      <w:r>
        <w:rPr>
          <w:sz w:val="20"/>
          <w:szCs w:val="20"/>
          <w:color w:val="auto"/>
        </w:rPr>
        <w:tab/>
      </w:r>
      <w:hyperlink w:anchor="page113">
        <w:r>
          <w:rPr>
            <w:rFonts w:ascii="Arial" w:cs="Arial" w:eastAsia="Arial" w:hAnsi="Arial"/>
            <w:sz w:val="16"/>
            <w:szCs w:val="16"/>
            <w:u w:val="single" w:color="auto"/>
            <w:color w:val="0000EE"/>
          </w:rPr>
          <w:t>Consent of Waller Lansden Dortch &amp; Davis, LLP (included in Exhibit 5.1 hereto).</w:t>
        </w:r>
      </w:hyperlink>
    </w:p>
    <w:p>
      <w:pPr>
        <w:spacing w:after="0" w:line="225" w:lineRule="exact"/>
        <w:rPr>
          <w:sz w:val="20"/>
          <w:szCs w:val="20"/>
          <w:color w:val="auto"/>
        </w:rPr>
      </w:pPr>
    </w:p>
    <w:p>
      <w:pPr>
        <w:spacing w:after="0"/>
        <w:tabs>
          <w:tab w:leader="none" w:pos="50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114">
        <w:r>
          <w:rPr>
            <w:rFonts w:ascii="Arial" w:cs="Arial" w:eastAsia="Arial" w:hAnsi="Arial"/>
            <w:sz w:val="16"/>
            <w:szCs w:val="16"/>
            <w:u w:val="single" w:color="auto"/>
            <w:color w:val="0000EE"/>
          </w:rPr>
          <w:t>Pricing Press Release, dated April 15, 2021.</w:t>
        </w:r>
      </w:hyperlink>
    </w:p>
    <w:p>
      <w:pPr>
        <w:spacing w:after="0" w:line="225" w:lineRule="exact"/>
        <w:rPr>
          <w:sz w:val="20"/>
          <w:szCs w:val="20"/>
          <w:color w:val="auto"/>
        </w:rPr>
      </w:pPr>
    </w:p>
    <w:p>
      <w:pPr>
        <w:spacing w:after="0"/>
        <w:tabs>
          <w:tab w:leader="none" w:pos="500" w:val="left"/>
        </w:tabs>
        <w:rPr>
          <w:rFonts w:ascii="Arial" w:cs="Arial" w:eastAsia="Arial" w:hAnsi="Arial"/>
          <w:sz w:val="16"/>
          <w:szCs w:val="16"/>
          <w:u w:val="single" w:color="auto"/>
          <w:color w:val="0000EE"/>
        </w:rPr>
      </w:pPr>
      <w:r>
        <w:rPr>
          <w:rFonts w:ascii="Arial" w:cs="Arial" w:eastAsia="Arial" w:hAnsi="Arial"/>
          <w:sz w:val="18"/>
          <w:szCs w:val="18"/>
          <w:color w:val="auto"/>
        </w:rPr>
        <w:t>99.2</w:t>
      </w:r>
      <w:r>
        <w:rPr>
          <w:sz w:val="20"/>
          <w:szCs w:val="20"/>
          <w:color w:val="auto"/>
        </w:rPr>
        <w:tab/>
      </w:r>
      <w:hyperlink w:anchor="page116">
        <w:r>
          <w:rPr>
            <w:rFonts w:ascii="Arial" w:cs="Arial" w:eastAsia="Arial" w:hAnsi="Arial"/>
            <w:sz w:val="16"/>
            <w:szCs w:val="16"/>
            <w:u w:val="single" w:color="auto"/>
            <w:color w:val="0000EE"/>
          </w:rPr>
          <w:t>Closing Press Release, dated April 20,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HARROW HEALTH, INC.</w:t>
      </w:r>
    </w:p>
    <w:p>
      <w:pPr>
        <w:spacing w:after="0" w:line="229"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Dated: April 20, 2021</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HARROW HEALTH</w:t>
      </w:r>
      <w:r>
        <w:rPr>
          <w:rFonts w:ascii="Arial" w:cs="Arial" w:eastAsia="Arial" w:hAnsi="Arial"/>
          <w:sz w:val="18"/>
          <w:szCs w:val="18"/>
          <w:color w:val="auto"/>
        </w:rPr>
        <w:t>,</w:t>
      </w:r>
      <w:r>
        <w:rPr>
          <w:rFonts w:ascii="Arial" w:cs="Arial" w:eastAsia="Arial" w:hAnsi="Arial"/>
          <w:sz w:val="18"/>
          <w:szCs w:val="18"/>
          <w:b w:val="1"/>
          <w:bCs w:val="1"/>
          <w:color w:val="auto"/>
        </w:rPr>
        <w:t xml:space="preserve"> INC</w:t>
      </w:r>
      <w:r>
        <w:rPr>
          <w:rFonts w:ascii="Arial" w:cs="Arial" w:eastAsia="Arial" w:hAnsi="Arial"/>
          <w:sz w:val="18"/>
          <w:szCs w:val="18"/>
          <w:color w:val="auto"/>
        </w:rPr>
        <w:t>.</w:t>
      </w:r>
    </w:p>
    <w:p>
      <w:pPr>
        <w:spacing w:after="0" w:line="2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8.625% SENIOR NOTES DUE 2026</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b w:val="1"/>
          <w:bCs w:val="1"/>
          <w:u w:val="single" w:color="auto"/>
          <w:color w:val="auto"/>
        </w:rPr>
        <w:t>UNDERWRITING AGREEMENT</w:t>
      </w:r>
    </w:p>
    <w:p>
      <w:pPr>
        <w:spacing w:after="0" w:line="211" w:lineRule="exact"/>
        <w:rPr>
          <w:sz w:val="20"/>
          <w:szCs w:val="20"/>
          <w:color w:val="auto"/>
        </w:rPr>
      </w:pPr>
    </w:p>
    <w:p>
      <w:pPr>
        <w:ind w:left="10180"/>
        <w:spacing w:after="0"/>
        <w:rPr>
          <w:sz w:val="20"/>
          <w:szCs w:val="20"/>
          <w:color w:val="auto"/>
        </w:rPr>
      </w:pPr>
      <w:r>
        <w:rPr>
          <w:rFonts w:ascii="Arial" w:cs="Arial" w:eastAsia="Arial" w:hAnsi="Arial"/>
          <w:sz w:val="17"/>
          <w:szCs w:val="17"/>
          <w:color w:val="auto"/>
        </w:rPr>
        <w:t>April 15, 2021</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B. Riley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 of the several underwriters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B. Riley Securities, Inc.</w:t>
      </w:r>
    </w:p>
    <w:p>
      <w:pPr>
        <w:spacing w:after="0" w:line="202" w:lineRule="auto"/>
        <w:rPr>
          <w:sz w:val="20"/>
          <w:szCs w:val="20"/>
          <w:color w:val="auto"/>
        </w:rPr>
      </w:pPr>
      <w:r>
        <w:rPr>
          <w:rFonts w:ascii="Arial" w:cs="Arial" w:eastAsia="Arial" w:hAnsi="Arial"/>
          <w:sz w:val="18"/>
          <w:szCs w:val="18"/>
          <w:color w:val="auto"/>
        </w:rPr>
        <w:t>299 Park Avenue, 21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10171</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Harrow Health,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xml:space="preserve">”), proposes to issue and sell to the several Underwriters on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hereto (the “</w:t>
      </w:r>
      <w:r>
        <w:rPr>
          <w:rFonts w:ascii="Arial" w:cs="Arial" w:eastAsia="Arial" w:hAnsi="Arial"/>
          <w:sz w:val="17"/>
          <w:szCs w:val="17"/>
          <w:b w:val="1"/>
          <w:bCs w:val="1"/>
          <w:color w:val="auto"/>
        </w:rPr>
        <w:t>Underwriters</w:t>
      </w:r>
      <w:r>
        <w:rPr>
          <w:rFonts w:ascii="Arial" w:cs="Arial" w:eastAsia="Arial" w:hAnsi="Arial"/>
          <w:sz w:val="17"/>
          <w:szCs w:val="17"/>
          <w:color w:val="auto"/>
        </w:rPr>
        <w:t>”), for whom B. Riley Securities, Inc. is acting as representative (in such capacity, the “</w:t>
      </w:r>
      <w:r>
        <w:rPr>
          <w:rFonts w:ascii="Arial" w:cs="Arial" w:eastAsia="Arial" w:hAnsi="Arial"/>
          <w:sz w:val="17"/>
          <w:szCs w:val="17"/>
          <w:b w:val="1"/>
          <w:bCs w:val="1"/>
          <w:color w:val="auto"/>
        </w:rPr>
        <w:t>Representative</w:t>
      </w:r>
      <w:r>
        <w:rPr>
          <w:rFonts w:ascii="Arial" w:cs="Arial" w:eastAsia="Arial" w:hAnsi="Arial"/>
          <w:sz w:val="17"/>
          <w:szCs w:val="17"/>
          <w:color w:val="auto"/>
        </w:rPr>
        <w:t>”), $50,000,000 aggregate principal amount of 8.625% Senior Notes due 2026 (the “</w:t>
      </w:r>
      <w:r>
        <w:rPr>
          <w:rFonts w:ascii="Arial" w:cs="Arial" w:eastAsia="Arial" w:hAnsi="Arial"/>
          <w:sz w:val="17"/>
          <w:szCs w:val="17"/>
          <w:b w:val="1"/>
          <w:bCs w:val="1"/>
          <w:color w:val="auto"/>
        </w:rPr>
        <w:t>Firm Notes</w:t>
      </w:r>
      <w:r>
        <w:rPr>
          <w:rFonts w:ascii="Arial" w:cs="Arial" w:eastAsia="Arial" w:hAnsi="Arial"/>
          <w:sz w:val="17"/>
          <w:szCs w:val="17"/>
          <w:color w:val="auto"/>
        </w:rPr>
        <w:t>”). In addition, the Company proposes to grant to the Underwriters the option to purchase from the Company up to an additional $5,000,000 aggregate principal amount of 8.625% Senior Notes due 2026 (the “</w:t>
      </w:r>
      <w:r>
        <w:rPr>
          <w:rFonts w:ascii="Arial" w:cs="Arial" w:eastAsia="Arial" w:hAnsi="Arial"/>
          <w:sz w:val="17"/>
          <w:szCs w:val="17"/>
          <w:b w:val="1"/>
          <w:bCs w:val="1"/>
          <w:color w:val="auto"/>
        </w:rPr>
        <w:t>Additional Notes</w:t>
      </w:r>
      <w:r>
        <w:rPr>
          <w:rFonts w:ascii="Arial" w:cs="Arial" w:eastAsia="Arial" w:hAnsi="Arial"/>
          <w:sz w:val="17"/>
          <w:szCs w:val="17"/>
          <w:color w:val="auto"/>
        </w:rPr>
        <w:t>”). The Firm Notes and, if and to the extent such option is exercised, the Additional Notes are hereinafter collectively referred to as the “</w:t>
      </w:r>
      <w:r>
        <w:rPr>
          <w:rFonts w:ascii="Arial" w:cs="Arial" w:eastAsia="Arial" w:hAnsi="Arial"/>
          <w:sz w:val="17"/>
          <w:szCs w:val="17"/>
          <w:b w:val="1"/>
          <w:bCs w:val="1"/>
          <w:color w:val="auto"/>
        </w:rPr>
        <w:t>Notes</w:t>
      </w:r>
      <w:r>
        <w:rPr>
          <w:rFonts w:ascii="Arial" w:cs="Arial" w:eastAsia="Arial" w:hAnsi="Arial"/>
          <w:sz w:val="17"/>
          <w:szCs w:val="17"/>
          <w:color w:val="auto"/>
        </w:rPr>
        <w:t>.”</w:t>
      </w:r>
    </w:p>
    <w:p>
      <w:pPr>
        <w:spacing w:after="0" w:line="168"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The Notes will be issued under an indenture dated as of April 20, 2021 (the “</w:t>
      </w:r>
      <w:r>
        <w:rPr>
          <w:rFonts w:ascii="Arial" w:cs="Arial" w:eastAsia="Arial" w:hAnsi="Arial"/>
          <w:sz w:val="16"/>
          <w:szCs w:val="16"/>
          <w:b w:val="1"/>
          <w:bCs w:val="1"/>
          <w:color w:val="auto"/>
        </w:rPr>
        <w:t>Base Indenture</w:t>
      </w:r>
      <w:r>
        <w:rPr>
          <w:rFonts w:ascii="Arial" w:cs="Arial" w:eastAsia="Arial" w:hAnsi="Arial"/>
          <w:sz w:val="16"/>
          <w:szCs w:val="16"/>
          <w:color w:val="auto"/>
        </w:rPr>
        <w:t>”), as supplemented by the First Supplemental Indenture dated as of April 20, 2021 (the “</w:t>
      </w:r>
      <w:r>
        <w:rPr>
          <w:rFonts w:ascii="Arial" w:cs="Arial" w:eastAsia="Arial" w:hAnsi="Arial"/>
          <w:sz w:val="16"/>
          <w:szCs w:val="16"/>
          <w:b w:val="1"/>
          <w:bCs w:val="1"/>
          <w:color w:val="auto"/>
        </w:rPr>
        <w:t>First Supplemental Indenture,</w:t>
      </w:r>
      <w:r>
        <w:rPr>
          <w:rFonts w:ascii="Arial" w:cs="Arial" w:eastAsia="Arial" w:hAnsi="Arial"/>
          <w:sz w:val="16"/>
          <w:szCs w:val="16"/>
          <w:color w:val="auto"/>
        </w:rPr>
        <w:t>” and together with the Base Indenture, the “</w:t>
      </w:r>
      <w:r>
        <w:rPr>
          <w:rFonts w:ascii="Arial" w:cs="Arial" w:eastAsia="Arial" w:hAnsi="Arial"/>
          <w:sz w:val="16"/>
          <w:szCs w:val="16"/>
          <w:b w:val="1"/>
          <w:bCs w:val="1"/>
          <w:color w:val="auto"/>
        </w:rPr>
        <w:t>Indenture</w:t>
      </w:r>
      <w:r>
        <w:rPr>
          <w:rFonts w:ascii="Arial" w:cs="Arial" w:eastAsia="Arial" w:hAnsi="Arial"/>
          <w:sz w:val="16"/>
          <w:szCs w:val="16"/>
          <w:color w:val="auto"/>
        </w:rPr>
        <w:t>”), between the Company and U.S. Bank National Association as trustee (the “</w:t>
      </w:r>
      <w:r>
        <w:rPr>
          <w:rFonts w:ascii="Arial" w:cs="Arial" w:eastAsia="Arial" w:hAnsi="Arial"/>
          <w:sz w:val="16"/>
          <w:szCs w:val="16"/>
          <w:b w:val="1"/>
          <w:bCs w:val="1"/>
          <w:color w:val="auto"/>
        </w:rPr>
        <w:t>Trustee</w:t>
      </w:r>
      <w:r>
        <w:rPr>
          <w:rFonts w:ascii="Arial" w:cs="Arial" w:eastAsia="Arial" w:hAnsi="Arial"/>
          <w:sz w:val="16"/>
          <w:szCs w:val="16"/>
          <w:color w:val="auto"/>
        </w:rPr>
        <w:t>”). The Notes will be issued to Cede &amp; Co., as nominee of the 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 pursuant to a blanket letter of representations (the “</w:t>
      </w:r>
      <w:r>
        <w:rPr>
          <w:rFonts w:ascii="Arial" w:cs="Arial" w:eastAsia="Arial" w:hAnsi="Arial"/>
          <w:sz w:val="16"/>
          <w:szCs w:val="16"/>
          <w:b w:val="1"/>
          <w:bCs w:val="1"/>
          <w:color w:val="auto"/>
        </w:rPr>
        <w:t>DTC Agreement</w:t>
      </w:r>
      <w:r>
        <w:rPr>
          <w:rFonts w:ascii="Arial" w:cs="Arial" w:eastAsia="Arial" w:hAnsi="Arial"/>
          <w:sz w:val="16"/>
          <w:szCs w:val="16"/>
          <w:color w:val="auto"/>
        </w:rPr>
        <w:t>”) to be dated on or prior to the Closing Date (as defined herein), between the Company and DTC. The Indenture will be qualified under the Trust Indenture Act of 1939, as amended (the “</w:t>
      </w:r>
      <w:r>
        <w:rPr>
          <w:rFonts w:ascii="Arial" w:cs="Arial" w:eastAsia="Arial" w:hAnsi="Arial"/>
          <w:sz w:val="16"/>
          <w:szCs w:val="16"/>
          <w:b w:val="1"/>
          <w:bCs w:val="1"/>
          <w:color w:val="auto"/>
        </w:rPr>
        <w:t>Trust Indenture Act</w:t>
      </w:r>
      <w:r>
        <w:rPr>
          <w:rFonts w:ascii="Arial" w:cs="Arial" w:eastAsia="Arial" w:hAnsi="Arial"/>
          <w:sz w:val="16"/>
          <w:szCs w:val="16"/>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and the Underwriters agree as follows:</w:t>
      </w:r>
    </w:p>
    <w:p>
      <w:pPr>
        <w:spacing w:after="0" w:line="221" w:lineRule="exact"/>
        <w:rPr>
          <w:sz w:val="20"/>
          <w:szCs w:val="20"/>
          <w:color w:val="auto"/>
        </w:rPr>
      </w:pPr>
    </w:p>
    <w:p>
      <w:pPr>
        <w:jc w:val="both"/>
        <w:ind w:firstLine="656"/>
        <w:spacing w:after="0" w:line="258" w:lineRule="auto"/>
        <w:tabs>
          <w:tab w:leader="none" w:pos="828"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The Offering</w:t>
      </w:r>
      <w:r>
        <w:rPr>
          <w:rFonts w:ascii="Arial" w:cs="Arial" w:eastAsia="Arial" w:hAnsi="Arial"/>
          <w:sz w:val="18"/>
          <w:szCs w:val="18"/>
          <w:color w:val="auto"/>
        </w:rPr>
        <w:t>. Upon the basis of the representations and warranties and subject to the terms and conditions herein set forth, the Company agrees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issue and sell to the Underwriters, severally and not jointly, the aggregate principal amount of Firm Notes set forth opposite the name of such Underwriter on </w:t>
      </w:r>
      <w:r>
        <w:rPr>
          <w:rFonts w:ascii="Arial" w:cs="Arial" w:eastAsia="Arial" w:hAnsi="Arial"/>
          <w:sz w:val="18"/>
          <w:szCs w:val="18"/>
          <w:u w:val="single" w:color="auto"/>
          <w:color w:val="auto"/>
        </w:rPr>
        <w:t>Schedule A</w:t>
      </w:r>
      <w:r>
        <w:rPr>
          <w:rFonts w:ascii="Arial" w:cs="Arial" w:eastAsia="Arial" w:hAnsi="Arial"/>
          <w:sz w:val="18"/>
          <w:szCs w:val="18"/>
          <w:color w:val="auto"/>
        </w:rPr>
        <w:t>, and each of the Underwriters, severally and not jointly, agrees to purchase from the Company at the price (the “</w:t>
      </w:r>
      <w:r>
        <w:rPr>
          <w:rFonts w:ascii="Arial" w:cs="Arial" w:eastAsia="Arial" w:hAnsi="Arial"/>
          <w:sz w:val="18"/>
          <w:szCs w:val="18"/>
          <w:b w:val="1"/>
          <w:bCs w:val="1"/>
          <w:color w:val="auto"/>
        </w:rPr>
        <w:t>Purchase</w:t>
      </w:r>
      <w:r>
        <w:rPr>
          <w:rFonts w:ascii="Arial" w:cs="Arial" w:eastAsia="Arial" w:hAnsi="Arial"/>
          <w:sz w:val="18"/>
          <w:szCs w:val="18"/>
          <w:color w:val="auto"/>
        </w:rPr>
        <w:t xml:space="preserve"> </w:t>
      </w:r>
      <w:r>
        <w:rPr>
          <w:rFonts w:ascii="Arial" w:cs="Arial" w:eastAsia="Arial" w:hAnsi="Arial"/>
          <w:sz w:val="18"/>
          <w:szCs w:val="18"/>
          <w:b w:val="1"/>
          <w:bCs w:val="1"/>
          <w:color w:val="auto"/>
        </w:rPr>
        <w:t>Price</w:t>
      </w:r>
      <w:r>
        <w:rPr>
          <w:rFonts w:ascii="Arial" w:cs="Arial" w:eastAsia="Arial" w:hAnsi="Arial"/>
          <w:sz w:val="18"/>
          <w:szCs w:val="18"/>
          <w:color w:val="auto"/>
        </w:rPr>
        <w:t>”)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B</w:t>
      </w:r>
      <w:r>
        <w:rPr>
          <w:rFonts w:ascii="Arial" w:cs="Arial" w:eastAsia="Arial" w:hAnsi="Arial"/>
          <w:sz w:val="18"/>
          <w:szCs w:val="18"/>
          <w:b w:val="1"/>
          <w:bCs w:val="1"/>
          <w:color w:val="auto"/>
        </w:rPr>
        <w:t xml:space="preserve"> </w:t>
      </w:r>
      <w:r>
        <w:rPr>
          <w:rFonts w:ascii="Arial" w:cs="Arial" w:eastAsia="Arial" w:hAnsi="Arial"/>
          <w:sz w:val="18"/>
          <w:szCs w:val="18"/>
          <w:color w:val="auto"/>
        </w:rPr>
        <w:t>hereto the aggregate principal amount of Firm Notes set forth opposite the name of such Underwriter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A</w:t>
      </w:r>
      <w:r>
        <w:rPr>
          <w:rFonts w:ascii="Arial" w:cs="Arial" w:eastAsia="Arial" w:hAnsi="Arial"/>
          <w:sz w:val="18"/>
          <w:szCs w:val="18"/>
          <w:b w:val="1"/>
          <w:bCs w:val="1"/>
          <w:color w:val="auto"/>
        </w:rPr>
        <w:t xml:space="preserve"> </w:t>
      </w:r>
      <w:r>
        <w:rPr>
          <w:rFonts w:ascii="Arial" w:cs="Arial" w:eastAsia="Arial" w:hAnsi="Arial"/>
          <w:sz w:val="18"/>
          <w:szCs w:val="18"/>
          <w:color w:val="auto"/>
        </w:rPr>
        <w:t>subject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adjustment in accordance with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both"/>
        <w:ind w:firstLine="648"/>
        <w:spacing w:after="0" w:line="286" w:lineRule="auto"/>
        <w:rPr>
          <w:sz w:val="20"/>
          <w:szCs w:val="20"/>
          <w:color w:val="auto"/>
        </w:rPr>
      </w:pPr>
      <w:r>
        <w:rPr>
          <w:rFonts w:ascii="Arial" w:cs="Arial" w:eastAsia="Arial" w:hAnsi="Arial"/>
          <w:sz w:val="16"/>
          <w:szCs w:val="16"/>
          <w:color w:val="auto"/>
        </w:rPr>
        <w:t>In addition, the Company hereby grants to the several Underwriters the option to purchase and, upon the basis of the representations and warranties and subject to the terms and conditions herein set forth, the Underwriters shall have the right to purchase, severally and not jointly, from the Company, ratably in accordance with the number of Firm Notes to be purchased by each of them, all or a portion of the Additional Notes, at the same Purchase Price to be paid by the Underwriters for the Firm Notes (without giving effect to any accrued interest from the Closing Date to the Additional Closing Date (as defined below)). This option may be exercised by the Representative on behalf of the several Underwriters at any time and from time to time in whole or in part by written notice from the Representative to the Company, which notice may be given at any time within 30 days from the date of this Agreement. Such notice shall set forth (i) the aggregate principal amount of Additional Notes as to which the option is being exercised and (ii) the date, time and place at which such Additional Notes are to be delivered (such date, the “</w:t>
      </w:r>
      <w:r>
        <w:rPr>
          <w:rFonts w:ascii="Arial" w:cs="Arial" w:eastAsia="Arial" w:hAnsi="Arial"/>
          <w:sz w:val="16"/>
          <w:szCs w:val="16"/>
          <w:b w:val="1"/>
          <w:bCs w:val="1"/>
          <w:color w:val="auto"/>
        </w:rPr>
        <w:t>Additional Closing Date</w:t>
      </w:r>
      <w:r>
        <w:rPr>
          <w:rFonts w:ascii="Arial" w:cs="Arial" w:eastAsia="Arial" w:hAnsi="Arial"/>
          <w:sz w:val="16"/>
          <w:szCs w:val="16"/>
          <w:color w:val="auto"/>
        </w:rPr>
        <w:t>” and such time of such date, the “</w:t>
      </w:r>
      <w:r>
        <w:rPr>
          <w:rFonts w:ascii="Arial" w:cs="Arial" w:eastAsia="Arial" w:hAnsi="Arial"/>
          <w:sz w:val="16"/>
          <w:szCs w:val="16"/>
          <w:b w:val="1"/>
          <w:bCs w:val="1"/>
          <w:color w:val="auto"/>
        </w:rPr>
        <w:t>Additional</w:t>
      </w:r>
      <w:r>
        <w:rPr>
          <w:rFonts w:ascii="Arial" w:cs="Arial" w:eastAsia="Arial" w:hAnsi="Arial"/>
          <w:sz w:val="16"/>
          <w:szCs w:val="16"/>
          <w:color w:val="auto"/>
        </w:rPr>
        <w:t xml:space="preserve"> </w:t>
      </w:r>
      <w:r>
        <w:rPr>
          <w:rFonts w:ascii="Arial" w:cs="Arial" w:eastAsia="Arial" w:hAnsi="Arial"/>
          <w:sz w:val="16"/>
          <w:szCs w:val="16"/>
          <w:b w:val="1"/>
          <w:bCs w:val="1"/>
          <w:color w:val="auto"/>
        </w:rPr>
        <w:t>Time of Purchase</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Additional Time of Purchase may be simultaneous with, but shall not be earlier than the Time of Purchase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(as defined below) and shall not be earlier than two nor later than five full business days after delivery of such notice of exercise. The aggregate principal amount of Additional Notes to be sold to each Underwriter shall be the aggregate principal amount which bears the same proportion to the total aggregate principal amount of Additional Notes being purchased as the number of Firm Notes set forth opposite the name of such Underwriter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bears to the total aggregate principal amount of Firm Notes, subject to adjustment in accordance with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hereof. The Representative may cancel the option at any time prior to its expiration by giving written notice of such cancellation to the Company.</w:t>
      </w:r>
    </w:p>
    <w:p>
      <w:pPr>
        <w:spacing w:after="0" w:line="167" w:lineRule="exact"/>
        <w:rPr>
          <w:sz w:val="20"/>
          <w:szCs w:val="20"/>
          <w:color w:val="auto"/>
        </w:rPr>
      </w:pPr>
    </w:p>
    <w:p>
      <w:pPr>
        <w:ind w:left="840" w:hanging="184"/>
        <w:spacing w:after="0"/>
        <w:tabs>
          <w:tab w:leader="none" w:pos="84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Representations and Warranties of the Company</w:t>
      </w:r>
      <w:r>
        <w:rPr>
          <w:rFonts w:ascii="Arial" w:cs="Arial" w:eastAsia="Arial" w:hAnsi="Arial"/>
          <w:sz w:val="17"/>
          <w:szCs w:val="17"/>
          <w:u w:val="single" w:color="auto"/>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represents and warrants to, and agrees with, the Underwriters that:</w:t>
      </w:r>
    </w:p>
    <w:p>
      <w:pPr>
        <w:spacing w:after="0" w:line="236" w:lineRule="exact"/>
        <w:rPr>
          <w:rFonts w:ascii="Arial" w:cs="Arial" w:eastAsia="Arial" w:hAnsi="Arial"/>
          <w:sz w:val="17"/>
          <w:szCs w:val="17"/>
          <w:b w:val="1"/>
          <w:bCs w:val="1"/>
          <w:color w:val="auto"/>
        </w:rPr>
      </w:pPr>
    </w:p>
    <w:p>
      <w:pPr>
        <w:jc w:val="both"/>
        <w:ind w:firstLine="1304"/>
        <w:spacing w:after="0" w:line="284" w:lineRule="auto"/>
        <w:tabs>
          <w:tab w:leader="none" w:pos="1540" w:val="left"/>
        </w:tabs>
        <w:numPr>
          <w:ilvl w:val="1"/>
          <w:numId w:val="4"/>
        </w:numPr>
        <w:rPr>
          <w:rFonts w:ascii="Arial" w:cs="Arial" w:eastAsia="Arial" w:hAnsi="Arial"/>
          <w:sz w:val="16"/>
          <w:szCs w:val="16"/>
          <w:color w:val="010000"/>
        </w:rPr>
      </w:pPr>
      <w:r>
        <w:rPr>
          <w:rFonts w:ascii="Arial" w:cs="Arial" w:eastAsia="Arial" w:hAnsi="Arial"/>
          <w:sz w:val="16"/>
          <w:szCs w:val="16"/>
          <w:color w:val="auto"/>
        </w:rPr>
        <w:t>The Company has prepared and filed in conformity with the requirements of the Securities Act of 1933, as amended (the “</w:t>
      </w:r>
      <w:r>
        <w:rPr>
          <w:rFonts w:ascii="Arial" w:cs="Arial" w:eastAsia="Arial" w:hAnsi="Arial"/>
          <w:sz w:val="16"/>
          <w:szCs w:val="16"/>
          <w:b w:val="1"/>
          <w:bCs w:val="1"/>
          <w:color w:val="auto"/>
        </w:rPr>
        <w:t>Securities</w:t>
      </w:r>
      <w:r>
        <w:rPr>
          <w:rFonts w:ascii="Arial" w:cs="Arial" w:eastAsia="Arial" w:hAnsi="Arial"/>
          <w:sz w:val="16"/>
          <w:szCs w:val="16"/>
          <w:color w:val="auto"/>
        </w:rPr>
        <w:t xml:space="preserve"> </w:t>
      </w:r>
      <w:r>
        <w:rPr>
          <w:rFonts w:ascii="Arial" w:cs="Arial" w:eastAsia="Arial" w:hAnsi="Arial"/>
          <w:sz w:val="16"/>
          <w:szCs w:val="16"/>
          <w:b w:val="1"/>
          <w:bCs w:val="1"/>
          <w:color w:val="auto"/>
        </w:rPr>
        <w:t>Act</w:t>
      </w:r>
      <w:r>
        <w:rPr>
          <w:rFonts w:ascii="Arial" w:cs="Arial" w:eastAsia="Arial" w:hAnsi="Arial"/>
          <w:sz w:val="16"/>
          <w:szCs w:val="16"/>
          <w:color w:val="auto"/>
        </w:rPr>
        <w:t>”), and published rules and regulations thereunder (the “</w:t>
      </w:r>
      <w:r>
        <w:rPr>
          <w:rFonts w:ascii="Arial" w:cs="Arial" w:eastAsia="Arial" w:hAnsi="Arial"/>
          <w:sz w:val="16"/>
          <w:szCs w:val="16"/>
          <w:b w:val="1"/>
          <w:bCs w:val="1"/>
          <w:color w:val="auto"/>
        </w:rPr>
        <w:t>Rules and Regulations</w:t>
      </w:r>
      <w:r>
        <w:rPr>
          <w:rFonts w:ascii="Arial" w:cs="Arial" w:eastAsia="Arial" w:hAnsi="Arial"/>
          <w:sz w:val="16"/>
          <w:szCs w:val="16"/>
          <w:color w:val="auto"/>
        </w:rPr>
        <w:t>”) adopted by the Securities and Exchange Commission (the</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Commission</w:t>
      </w:r>
      <w:r>
        <w:rPr>
          <w:rFonts w:ascii="Arial" w:cs="Arial" w:eastAsia="Arial" w:hAnsi="Arial"/>
          <w:sz w:val="16"/>
          <w:szCs w:val="16"/>
          <w:color w:val="auto"/>
        </w:rPr>
        <w:t>”) a “shelf” Registration Statement (as hereinafter defined) on Form S-3 (File No. 333-239669), which was declared effective by the Commission as of July 13, 2020 (the “</w:t>
      </w:r>
      <w:r>
        <w:rPr>
          <w:rFonts w:ascii="Arial" w:cs="Arial" w:eastAsia="Arial" w:hAnsi="Arial"/>
          <w:sz w:val="16"/>
          <w:szCs w:val="16"/>
          <w:b w:val="1"/>
          <w:bCs w:val="1"/>
          <w:color w:val="auto"/>
        </w:rPr>
        <w:t>Effective Date</w:t>
      </w:r>
      <w:r>
        <w:rPr>
          <w:rFonts w:ascii="Arial" w:cs="Arial" w:eastAsia="Arial" w:hAnsi="Arial"/>
          <w:sz w:val="16"/>
          <w:szCs w:val="16"/>
          <w:color w:val="auto"/>
        </w:rPr>
        <w:t>”), including a base prospectus relating to the securities registered pursuant to such Registration Statement (the “</w:t>
      </w:r>
      <w:r>
        <w:rPr>
          <w:rFonts w:ascii="Arial" w:cs="Arial" w:eastAsia="Arial" w:hAnsi="Arial"/>
          <w:sz w:val="16"/>
          <w:szCs w:val="16"/>
          <w:b w:val="1"/>
          <w:bCs w:val="1"/>
          <w:color w:val="auto"/>
        </w:rPr>
        <w:t>Base Prospectus</w:t>
      </w:r>
      <w:r>
        <w:rPr>
          <w:rFonts w:ascii="Arial" w:cs="Arial" w:eastAsia="Arial" w:hAnsi="Arial"/>
          <w:sz w:val="16"/>
          <w:szCs w:val="16"/>
          <w:color w:val="auto"/>
        </w:rPr>
        <w:t>”), and such amendments and supplements thereto as may have been required to the date of this Agreement. The term “</w:t>
      </w:r>
      <w:r>
        <w:rPr>
          <w:rFonts w:ascii="Arial" w:cs="Arial" w:eastAsia="Arial" w:hAnsi="Arial"/>
          <w:sz w:val="16"/>
          <w:szCs w:val="16"/>
          <w:b w:val="1"/>
          <w:bCs w:val="1"/>
          <w:color w:val="auto"/>
        </w:rPr>
        <w:t>Registration Statement</w:t>
      </w:r>
      <w:r>
        <w:rPr>
          <w:rFonts w:ascii="Arial" w:cs="Arial" w:eastAsia="Arial" w:hAnsi="Arial"/>
          <w:sz w:val="16"/>
          <w:szCs w:val="16"/>
          <w:color w:val="auto"/>
        </w:rPr>
        <w:t>” as used in this Agreement means the registration statement (including all exhibits, financial schedules and all documents and information deemed to be a part of the Registration Statement pursuant to Rule 430B of the Rules and Regulations), as amended and/or supplemented to the date of this Agreement, including the Base Prospectus. The Registration Statement is effective under the Securities Act, and no stop order preventing or suspending the effectiveness of the Registration Statement or suspending or preventing the use of the Prospectus (as defined below) has been issued by the Commission, and to the knowledge of the Company, no proceedings for that purpose have been instituted or are threatened by the Commission. The Company has prepared a prospectus supplement to the Base Prospectus included as part of such registration statement specifically relating to the Placement Shares (the “</w:t>
      </w:r>
      <w:r>
        <w:rPr>
          <w:rFonts w:ascii="Arial" w:cs="Arial" w:eastAsia="Arial" w:hAnsi="Arial"/>
          <w:sz w:val="16"/>
          <w:szCs w:val="16"/>
          <w:b w:val="1"/>
          <w:bCs w:val="1"/>
          <w:color w:val="auto"/>
        </w:rPr>
        <w:t>Prospectus Supplement</w:t>
      </w:r>
      <w:r>
        <w:rPr>
          <w:rFonts w:ascii="Arial" w:cs="Arial" w:eastAsia="Arial" w:hAnsi="Arial"/>
          <w:sz w:val="16"/>
          <w:szCs w:val="16"/>
          <w:color w:val="auto"/>
        </w:rPr>
        <w:t>”) and has or will file such Prospectus Supplement with the Commission pursuant to Rule 424(b) of the Rules and Regulations. The term “</w:t>
      </w:r>
      <w:r>
        <w:rPr>
          <w:rFonts w:ascii="Arial" w:cs="Arial" w:eastAsia="Arial" w:hAnsi="Arial"/>
          <w:sz w:val="16"/>
          <w:szCs w:val="16"/>
          <w:b w:val="1"/>
          <w:bCs w:val="1"/>
          <w:color w:val="auto"/>
        </w:rPr>
        <w:t>Prospectus</w:t>
      </w:r>
      <w:r>
        <w:rPr>
          <w:rFonts w:ascii="Arial" w:cs="Arial" w:eastAsia="Arial" w:hAnsi="Arial"/>
          <w:sz w:val="16"/>
          <w:szCs w:val="16"/>
          <w:color w:val="auto"/>
        </w:rPr>
        <w:t>” as used in this Agreement means the Base Prospectus, as it may be supplemented by the Prospectus Supplement, in the forms in which such Base Prospectus or Prospectus Supplement has been or is to be filed with the Commission pursuant to Rule 424(b) of the Rules and Regulations, except that if any revised prospectus or prospectus supplement shall be provided to the Underwriters by the Company for use in connection with the offering and sale of the Notes (the “</w:t>
      </w:r>
      <w:r>
        <w:rPr>
          <w:rFonts w:ascii="Arial" w:cs="Arial" w:eastAsia="Arial" w:hAnsi="Arial"/>
          <w:sz w:val="16"/>
          <w:szCs w:val="16"/>
          <w:b w:val="1"/>
          <w:bCs w:val="1"/>
          <w:color w:val="auto"/>
        </w:rPr>
        <w:t>Offering</w:t>
      </w:r>
      <w:r>
        <w:rPr>
          <w:rFonts w:ascii="Arial" w:cs="Arial" w:eastAsia="Arial" w:hAnsi="Arial"/>
          <w:sz w:val="16"/>
          <w:szCs w:val="16"/>
          <w:color w:val="auto"/>
        </w:rPr>
        <w:t>”) which differs from the Prospectus (whether or not such revised prospectus or prospectus supplement is required to be filed by the Company pursuant to Rule 424(b) of the Rules and Regulations), the term “</w:t>
      </w:r>
      <w:r>
        <w:rPr>
          <w:rFonts w:ascii="Arial" w:cs="Arial" w:eastAsia="Arial" w:hAnsi="Arial"/>
          <w:sz w:val="16"/>
          <w:szCs w:val="16"/>
          <w:b w:val="1"/>
          <w:bCs w:val="1"/>
          <w:color w:val="auto"/>
        </w:rPr>
        <w:t>Prospectus</w:t>
      </w:r>
      <w:r>
        <w:rPr>
          <w:rFonts w:ascii="Arial" w:cs="Arial" w:eastAsia="Arial" w:hAnsi="Arial"/>
          <w:sz w:val="16"/>
          <w:szCs w:val="16"/>
          <w:color w:val="auto"/>
        </w:rPr>
        <w:t>” shall refer to such revised prospectus or prospectus supplement, as the case may be, from and after the time it is first provided to the Underwriters for such use. Any reference herein to the Registration Statement or the Prospectus shall be deemed to refer to and include the documents incorporated by reference therein pursuant to Item 12 of Form S-3 which were filed under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on or before the last to occur of the Effective Date, or the date of the Prospectus, and any reference herein to the terms “amend,” “amendment,” or “supplement” with respect to the Registration Statement or the Prospectus shall be deemed to refer to and include (i) the filing of any document under the Exchange Act after the Effective Date or the date of the Prospectus, as the case may be, which is incorporated by reference and (ii) any such document so filed. If needed to complete the Offering, the Company will file an abbreviated registration statement to register additional securities pursuant to Rule 462(b) under the Rules and Regulations (the “</w:t>
      </w:r>
      <w:r>
        <w:rPr>
          <w:rFonts w:ascii="Arial" w:cs="Arial" w:eastAsia="Arial" w:hAnsi="Arial"/>
          <w:sz w:val="16"/>
          <w:szCs w:val="16"/>
          <w:b w:val="1"/>
          <w:bCs w:val="1"/>
          <w:color w:val="auto"/>
        </w:rPr>
        <w:t>462</w:t>
      </w:r>
      <w:r>
        <w:rPr>
          <w:rFonts w:ascii="Arial" w:cs="Arial" w:eastAsia="Arial" w:hAnsi="Arial"/>
          <w:sz w:val="16"/>
          <w:szCs w:val="16"/>
          <w:color w:val="auto"/>
        </w:rPr>
        <w:t>(</w:t>
      </w:r>
      <w:r>
        <w:rPr>
          <w:rFonts w:ascii="Arial" w:cs="Arial" w:eastAsia="Arial" w:hAnsi="Arial"/>
          <w:sz w:val="16"/>
          <w:szCs w:val="16"/>
          <w:b w:val="1"/>
          <w:bCs w:val="1"/>
          <w:color w:val="auto"/>
        </w:rPr>
        <w:t>b</w:t>
      </w:r>
      <w:r>
        <w:rPr>
          <w:rFonts w:ascii="Arial" w:cs="Arial" w:eastAsia="Arial" w:hAnsi="Arial"/>
          <w:sz w:val="16"/>
          <w:szCs w:val="16"/>
          <w:color w:val="auto"/>
        </w:rPr>
        <w:t xml:space="preserve">) </w:t>
      </w:r>
      <w:r>
        <w:rPr>
          <w:rFonts w:ascii="Arial" w:cs="Arial" w:eastAsia="Arial" w:hAnsi="Arial"/>
          <w:sz w:val="16"/>
          <w:szCs w:val="16"/>
          <w:b w:val="1"/>
          <w:bCs w:val="1"/>
          <w:color w:val="auto"/>
        </w:rPr>
        <w:t>Registration Statement</w:t>
      </w:r>
      <w:r>
        <w:rPr>
          <w:rFonts w:ascii="Arial" w:cs="Arial" w:eastAsia="Arial" w:hAnsi="Arial"/>
          <w:sz w:val="16"/>
          <w:szCs w:val="16"/>
          <w:color w:val="auto"/>
        </w:rPr>
        <w:t>”), and any reference herein to the Registration Statement shall also be deemed to include such 462(b) Registration Statement.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 w:name="page7"/>
    <w:bookmarkEnd w:id="6"/>
    <w:p>
      <w:pPr>
        <w:jc w:val="both"/>
        <w:ind w:firstLine="1304"/>
        <w:spacing w:after="0" w:line="283" w:lineRule="auto"/>
        <w:tabs>
          <w:tab w:leader="none" w:pos="1551" w:val="left"/>
        </w:tabs>
        <w:numPr>
          <w:ilvl w:val="0"/>
          <w:numId w:val="5"/>
        </w:numPr>
        <w:rPr>
          <w:rFonts w:ascii="Arial" w:cs="Arial" w:eastAsia="Arial" w:hAnsi="Arial"/>
          <w:sz w:val="16"/>
          <w:szCs w:val="16"/>
          <w:color w:val="010000"/>
        </w:rPr>
      </w:pPr>
      <w:r>
        <w:rPr>
          <w:rFonts w:ascii="Arial" w:cs="Arial" w:eastAsia="Arial" w:hAnsi="Arial"/>
          <w:sz w:val="16"/>
          <w:szCs w:val="16"/>
          <w:color w:val="auto"/>
        </w:rPr>
        <w:t>As of the Applicable Time (as defined below) and as of the Time of Purchase and any Additional Time of Purchase, as the case may be, none of (i) any General Use Free Writing Prospectus (as defined below) issued at or prior to the Applicable Time, and the Pricing Prospectus (as defined below), all considered together (collectively, the “</w:t>
      </w:r>
      <w:r>
        <w:rPr>
          <w:rFonts w:ascii="Arial" w:cs="Arial" w:eastAsia="Arial" w:hAnsi="Arial"/>
          <w:sz w:val="16"/>
          <w:szCs w:val="16"/>
          <w:b w:val="1"/>
          <w:bCs w:val="1"/>
          <w:color w:val="auto"/>
        </w:rPr>
        <w:t>General Disclosure Package</w:t>
      </w:r>
      <w:r>
        <w:rPr>
          <w:rFonts w:ascii="Arial" w:cs="Arial" w:eastAsia="Arial" w:hAnsi="Arial"/>
          <w:sz w:val="16"/>
          <w:szCs w:val="16"/>
          <w:color w:val="auto"/>
        </w:rPr>
        <w:t xml:space="preserve">”), (ii) any individual Limited Use Free Writing Prospectus (as defined below) issued at or prior to the Time of Purchase and any Additional Time of Purchase, as the case may be, or (iii) the bona fide electronic road show, if any (as defined in Rule 433(h)(5) of the Rules and Regulations), that has been made available without restriction to any person, when considered together with the General Disclosure Package, included or will include any untrue statement of a material fact or omitted, or as of the Time of Purchase and any Additional Time of Purchase, as the case may be, will omit to state a material fact necessary in order to make the statements therein, in the light of the circumstances under which they were made, not misleading;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Company makes no representations or warranties as to information contained in or omitted from the General Disclosure Package, any individual Limited Use Free Writing Prospectus or the bona fide electronic road show, if any, in reliance upon, and in conformity with, written information furnished to the Company by or on behalf of the Underwriters specifically for inclusion therein, which information the parties hereto agree is limited to the “</w:t>
      </w:r>
      <w:r>
        <w:rPr>
          <w:rFonts w:ascii="Arial" w:cs="Arial" w:eastAsia="Arial" w:hAnsi="Arial"/>
          <w:sz w:val="16"/>
          <w:szCs w:val="16"/>
          <w:b w:val="1"/>
          <w:bCs w:val="1"/>
          <w:color w:val="auto"/>
        </w:rPr>
        <w:t>Underwriter’s Information</w:t>
      </w:r>
      <w:r>
        <w:rPr>
          <w:rFonts w:ascii="Arial" w:cs="Arial" w:eastAsia="Arial" w:hAnsi="Arial"/>
          <w:sz w:val="16"/>
          <w:szCs w:val="16"/>
          <w:color w:val="auto"/>
        </w:rPr>
        <w:t xml:space="preserve">” which is defined as the information set forth in </w:t>
      </w:r>
      <w:r>
        <w:rPr>
          <w:rFonts w:ascii="Arial" w:cs="Arial" w:eastAsia="Arial" w:hAnsi="Arial"/>
          <w:sz w:val="16"/>
          <w:szCs w:val="16"/>
          <w:u w:val="single" w:color="auto"/>
          <w:color w:val="auto"/>
        </w:rPr>
        <w:t>Section</w:t>
      </w:r>
    </w:p>
    <w:p>
      <w:pPr>
        <w:spacing w:after="0" w:line="3" w:lineRule="exact"/>
        <w:rPr>
          <w:rFonts w:ascii="Arial" w:cs="Arial" w:eastAsia="Arial" w:hAnsi="Arial"/>
          <w:sz w:val="16"/>
          <w:szCs w:val="16"/>
          <w:color w:val="010000"/>
        </w:rPr>
      </w:pPr>
    </w:p>
    <w:p>
      <w:pPr>
        <w:spacing w:after="0"/>
        <w:rPr>
          <w:rFonts w:ascii="Arial" w:cs="Arial" w:eastAsia="Arial" w:hAnsi="Arial"/>
          <w:sz w:val="16"/>
          <w:szCs w:val="16"/>
          <w:color w:val="010000"/>
        </w:rPr>
      </w:pPr>
      <w:r>
        <w:rPr>
          <w:rFonts w:ascii="Arial" w:cs="Arial" w:eastAsia="Arial" w:hAnsi="Arial"/>
          <w:sz w:val="18"/>
          <w:szCs w:val="18"/>
          <w:u w:val="single" w:color="auto"/>
          <w:color w:val="auto"/>
        </w:rPr>
        <w:t>15</w:t>
      </w:r>
      <w:r>
        <w:rPr>
          <w:rFonts w:ascii="Arial" w:cs="Arial" w:eastAsia="Arial" w:hAnsi="Arial"/>
          <w:sz w:val="18"/>
          <w:szCs w:val="18"/>
          <w:color w:val="auto"/>
        </w:rPr>
        <w:t xml:space="preserve">. As used in this </w:t>
      </w:r>
      <w:r>
        <w:rPr>
          <w:rFonts w:ascii="Arial" w:cs="Arial" w:eastAsia="Arial" w:hAnsi="Arial"/>
          <w:sz w:val="18"/>
          <w:szCs w:val="18"/>
          <w:u w:val="single" w:color="auto"/>
          <w:color w:val="auto"/>
        </w:rPr>
        <w:t>Section 2(b)</w:t>
      </w:r>
      <w:r>
        <w:rPr>
          <w:rFonts w:ascii="Arial" w:cs="Arial" w:eastAsia="Arial" w:hAnsi="Arial"/>
          <w:sz w:val="18"/>
          <w:szCs w:val="18"/>
          <w:color w:val="auto"/>
        </w:rPr>
        <w:t xml:space="preserve"> and elsewhere in this Agreement:</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Time</w:t>
      </w:r>
      <w:r>
        <w:rPr>
          <w:rFonts w:ascii="Arial" w:cs="Arial" w:eastAsia="Arial" w:hAnsi="Arial"/>
          <w:sz w:val="18"/>
          <w:szCs w:val="18"/>
          <w:color w:val="auto"/>
        </w:rPr>
        <w:t>” means 4:30 P.M., Eastern Standard Time, on the date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General Use Free Writing Prospectus</w:t>
      </w:r>
      <w:r>
        <w:rPr>
          <w:rFonts w:ascii="Arial" w:cs="Arial" w:eastAsia="Arial" w:hAnsi="Arial"/>
          <w:sz w:val="18"/>
          <w:szCs w:val="18"/>
          <w:color w:val="auto"/>
        </w:rPr>
        <w:t xml:space="preserve">” means any Issuer Free Writing Prospectus identified on </w:t>
      </w:r>
      <w:r>
        <w:rPr>
          <w:rFonts w:ascii="Arial" w:cs="Arial" w:eastAsia="Arial" w:hAnsi="Arial"/>
          <w:sz w:val="18"/>
          <w:szCs w:val="18"/>
          <w:u w:val="single" w:color="auto"/>
          <w:color w:val="auto"/>
        </w:rPr>
        <w:t>Schedule C</w:t>
      </w:r>
      <w:r>
        <w:rPr>
          <w:rFonts w:ascii="Arial" w:cs="Arial" w:eastAsia="Arial" w:hAnsi="Arial"/>
          <w:sz w:val="18"/>
          <w:szCs w:val="18"/>
          <w:color w:val="auto"/>
        </w:rPr>
        <w:t xml:space="preserve"> to this Agreement.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Free Writing Prospectus</w:t>
      </w:r>
      <w:r>
        <w:rPr>
          <w:rFonts w:ascii="Arial" w:cs="Arial" w:eastAsia="Arial" w:hAnsi="Arial"/>
          <w:sz w:val="18"/>
          <w:szCs w:val="18"/>
          <w:color w:val="auto"/>
        </w:rPr>
        <w:t>” means any “</w:t>
      </w:r>
      <w:r>
        <w:rPr>
          <w:rFonts w:ascii="Arial" w:cs="Arial" w:eastAsia="Arial" w:hAnsi="Arial"/>
          <w:sz w:val="18"/>
          <w:szCs w:val="18"/>
          <w:b w:val="1"/>
          <w:bCs w:val="1"/>
          <w:color w:val="auto"/>
        </w:rPr>
        <w:t>issuer free writing prospectus</w:t>
      </w:r>
      <w:r>
        <w:rPr>
          <w:rFonts w:ascii="Arial" w:cs="Arial" w:eastAsia="Arial" w:hAnsi="Arial"/>
          <w:sz w:val="18"/>
          <w:szCs w:val="18"/>
          <w:color w:val="auto"/>
        </w:rPr>
        <w:t>,” as defined in Rule 433 of the Rules and Regulations relating to the Notes in the form filed or required to be filed with the Commission or, if not required to be filed, in the form retained in the Company’s records pursuant to Rule 433(g) of the Rules and Regulations.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 w:name="page8"/>
    <w:bookmarkEnd w:id="7"/>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Limited Use Free Writing Prospectuses</w:t>
      </w:r>
      <w:r>
        <w:rPr>
          <w:rFonts w:ascii="Arial" w:cs="Arial" w:eastAsia="Arial" w:hAnsi="Arial"/>
          <w:sz w:val="17"/>
          <w:szCs w:val="17"/>
          <w:color w:val="auto"/>
        </w:rPr>
        <w:t>” means any Issuer Free Writing Prospectus that is not a General Use Free Writing Prospectus.</w:t>
      </w:r>
    </w:p>
    <w:p>
      <w:pPr>
        <w:spacing w:after="0" w:line="237"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Pricing Prospectus</w:t>
      </w:r>
      <w:r>
        <w:rPr>
          <w:rFonts w:ascii="Arial" w:cs="Arial" w:eastAsia="Arial" w:hAnsi="Arial"/>
          <w:sz w:val="18"/>
          <w:szCs w:val="18"/>
          <w:color w:val="auto"/>
        </w:rPr>
        <w:t>” means the Base Prospectus as amended and supplemented immediately prior to the Applicable Time, including any document incorporated by reference therein and any prospectus supplement deemed to be a part thereof.</w:t>
      </w:r>
    </w:p>
    <w:p>
      <w:pPr>
        <w:spacing w:after="0" w:line="166" w:lineRule="exact"/>
        <w:rPr>
          <w:sz w:val="20"/>
          <w:szCs w:val="20"/>
          <w:color w:val="auto"/>
        </w:rPr>
      </w:pPr>
    </w:p>
    <w:p>
      <w:pPr>
        <w:jc w:val="both"/>
        <w:ind w:firstLine="1304"/>
        <w:spacing w:after="0" w:line="263" w:lineRule="auto"/>
        <w:tabs>
          <w:tab w:leader="none" w:pos="1540" w:val="left"/>
        </w:tabs>
        <w:numPr>
          <w:ilvl w:val="0"/>
          <w:numId w:val="6"/>
        </w:numPr>
        <w:rPr>
          <w:rFonts w:ascii="Arial" w:cs="Arial" w:eastAsia="Arial" w:hAnsi="Arial"/>
          <w:sz w:val="18"/>
          <w:szCs w:val="18"/>
          <w:color w:val="010000"/>
        </w:rPr>
      </w:pPr>
      <w:r>
        <w:rPr>
          <w:rFonts w:ascii="Arial" w:cs="Arial" w:eastAsia="Arial" w:hAnsi="Arial"/>
          <w:sz w:val="18"/>
          <w:szCs w:val="18"/>
          <w:color w:val="auto"/>
        </w:rPr>
        <w:t>No order preventing or suspending the use of any Issuer Free Writing Prospectus or the Prospectus relating to the Offering has been issued by the Commission, and no proceeding for that purpose or pursuant to Section 8A of the Securities Act has been instituted or, to the knowledge of the Company, is threatened by the Commission.</w:t>
      </w:r>
    </w:p>
    <w:p>
      <w:pPr>
        <w:spacing w:after="0" w:line="183" w:lineRule="exact"/>
        <w:rPr>
          <w:rFonts w:ascii="Arial" w:cs="Arial" w:eastAsia="Arial" w:hAnsi="Arial"/>
          <w:sz w:val="18"/>
          <w:szCs w:val="18"/>
          <w:color w:val="010000"/>
        </w:rPr>
      </w:pPr>
    </w:p>
    <w:p>
      <w:pPr>
        <w:jc w:val="both"/>
        <w:ind w:firstLine="1304"/>
        <w:spacing w:after="0" w:line="270" w:lineRule="auto"/>
        <w:tabs>
          <w:tab w:leader="none" w:pos="1551" w:val="left"/>
        </w:tabs>
        <w:numPr>
          <w:ilvl w:val="0"/>
          <w:numId w:val="6"/>
        </w:numPr>
        <w:rPr>
          <w:rFonts w:ascii="Arial" w:cs="Arial" w:eastAsia="Arial" w:hAnsi="Arial"/>
          <w:sz w:val="17"/>
          <w:szCs w:val="17"/>
          <w:color w:val="010000"/>
        </w:rPr>
      </w:pPr>
      <w:r>
        <w:rPr>
          <w:rFonts w:ascii="Arial" w:cs="Arial" w:eastAsia="Arial" w:hAnsi="Arial"/>
          <w:sz w:val="17"/>
          <w:szCs w:val="17"/>
          <w:color w:val="auto"/>
        </w:rPr>
        <w:t xml:space="preserve">At the time the Registration Statement became effective, at the Applicable Time and at the Time of Purchase and any Additional Time of Purchase, as the case may be, the Registration Statement conformed and will conform in all material respects to the requirements of the Securities Act and the Rules and Regulations and did not and will not contain any untrue statement of a material fact or omit to state any material fact required to be stated therein or necessary to make the statements therein not misleading; the Prospectus, at the time the Prospectus became effective and at the Time of Purchase and any Additional Time of Purchase, as the case may be, conformed and will conform in all material respects to the requirements of the Securities Act and the Rules and Regulations and did not and will not contain an untrue statement of a material fact or omit to state a material fact necessary in order to make the statements therein, in light of the circumstances under which they were made, not misleading;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the foregoing representations and warranties in this </w:t>
      </w:r>
      <w:r>
        <w:rPr>
          <w:rFonts w:ascii="Arial" w:cs="Arial" w:eastAsia="Arial" w:hAnsi="Arial"/>
          <w:sz w:val="17"/>
          <w:szCs w:val="17"/>
          <w:u w:val="single" w:color="auto"/>
          <w:color w:val="auto"/>
        </w:rPr>
        <w:t>Section 2(d)</w:t>
      </w:r>
      <w:r>
        <w:rPr>
          <w:rFonts w:ascii="Arial" w:cs="Arial" w:eastAsia="Arial" w:hAnsi="Arial"/>
          <w:sz w:val="17"/>
          <w:szCs w:val="17"/>
          <w:color w:val="auto"/>
        </w:rPr>
        <w:t xml:space="preserve"> shall not apply to information contained in or omitted from the Registration Statement or the Prospectus in reliance upon, and in conformity with, the Underwriter’s Information.</w:t>
      </w:r>
    </w:p>
    <w:p>
      <w:pPr>
        <w:spacing w:after="0" w:line="180" w:lineRule="exact"/>
        <w:rPr>
          <w:rFonts w:ascii="Arial" w:cs="Arial" w:eastAsia="Arial" w:hAnsi="Arial"/>
          <w:sz w:val="17"/>
          <w:szCs w:val="17"/>
          <w:color w:val="010000"/>
        </w:rPr>
      </w:pPr>
    </w:p>
    <w:p>
      <w:pPr>
        <w:jc w:val="both"/>
        <w:ind w:firstLine="1304"/>
        <w:spacing w:after="0" w:line="254" w:lineRule="auto"/>
        <w:tabs>
          <w:tab w:leader="none" w:pos="1540" w:val="left"/>
        </w:tabs>
        <w:numPr>
          <w:ilvl w:val="0"/>
          <w:numId w:val="6"/>
        </w:numPr>
        <w:rPr>
          <w:rFonts w:ascii="Arial" w:cs="Arial" w:eastAsia="Arial" w:hAnsi="Arial"/>
          <w:sz w:val="18"/>
          <w:szCs w:val="18"/>
          <w:color w:val="010000"/>
        </w:rPr>
      </w:pPr>
      <w:r>
        <w:rPr>
          <w:rFonts w:ascii="Arial" w:cs="Arial" w:eastAsia="Arial" w:hAnsi="Arial"/>
          <w:sz w:val="18"/>
          <w:szCs w:val="18"/>
          <w:color w:val="auto"/>
        </w:rPr>
        <w:t xml:space="preserve">Each Issuer Free Writing Prospectus, if any, as of its issue date and at all subsequent times through the completion of the public offer and sale of the Notes or until any earlier date that the Company notified or notifies the Representative as described in </w:t>
      </w:r>
      <w:r>
        <w:rPr>
          <w:rFonts w:ascii="Arial" w:cs="Arial" w:eastAsia="Arial" w:hAnsi="Arial"/>
          <w:sz w:val="18"/>
          <w:szCs w:val="18"/>
          <w:u w:val="single" w:color="auto"/>
          <w:color w:val="auto"/>
        </w:rPr>
        <w:t>Section 4(c)</w:t>
      </w:r>
      <w:r>
        <w:rPr>
          <w:rFonts w:ascii="Arial" w:cs="Arial" w:eastAsia="Arial" w:hAnsi="Arial"/>
          <w:sz w:val="18"/>
          <w:szCs w:val="18"/>
          <w:color w:val="auto"/>
        </w:rPr>
        <w:t>, did not, does not and will not include any information that conflicted, conflicts or will conflict with the information contained in the Registration Statement, Pricing Prospectus or the Prospectus, including any document incorporated by reference therein and any prospectus supplement deemed to be a part thereof that has not been superseded or modified, or includes an untrue statement of a material fact or omitted or would omit to state a material fact required to be stated therein or necessary in order to make the statements therein, in the light of the circumstances under which they were made, not misleading. The foregoing sentence does not apply to statements in or omissions from any Issuer Free Writing Prospectus in reliance upon, and in conformity with, the Underwriter’s Information.</w:t>
      </w:r>
    </w:p>
    <w:p>
      <w:pPr>
        <w:spacing w:after="0" w:line="191" w:lineRule="exact"/>
        <w:rPr>
          <w:rFonts w:ascii="Arial" w:cs="Arial" w:eastAsia="Arial" w:hAnsi="Arial"/>
          <w:sz w:val="18"/>
          <w:szCs w:val="18"/>
          <w:color w:val="010000"/>
        </w:rPr>
      </w:pPr>
    </w:p>
    <w:p>
      <w:pPr>
        <w:jc w:val="both"/>
        <w:ind w:firstLine="1304"/>
        <w:spacing w:after="0" w:line="270" w:lineRule="auto"/>
        <w:tabs>
          <w:tab w:leader="none" w:pos="1534" w:val="left"/>
        </w:tabs>
        <w:numPr>
          <w:ilvl w:val="0"/>
          <w:numId w:val="6"/>
        </w:numPr>
        <w:rPr>
          <w:rFonts w:ascii="Arial" w:cs="Arial" w:eastAsia="Arial" w:hAnsi="Arial"/>
          <w:sz w:val="17"/>
          <w:szCs w:val="17"/>
          <w:color w:val="010000"/>
        </w:rPr>
      </w:pPr>
      <w:r>
        <w:rPr>
          <w:rFonts w:ascii="Arial" w:cs="Arial" w:eastAsia="Arial" w:hAnsi="Arial"/>
          <w:sz w:val="17"/>
          <w:szCs w:val="17"/>
          <w:color w:val="auto"/>
        </w:rPr>
        <w:t>The documents incorporated by reference in the Prospectus, when they became effective or were filed with the Commission, as the case may be, conformed in all material respects to the requirements of the Securities Act or the Exchange Act, as applicable, the Rules and Regulations and the rules and regulations of the Commission under the Exchange Act, and none of such documents contained any untrue statement of a material fact or omitted to state any material fact required to be stated therein or necessary to make the statements therein, in light of the circumstances under which they were made, not misleading; and any further documents so filed and incorporated by reference in the Prospectus, when such documents become effective or are filed with the Commission, as the case may be, will conform in all material respects to the requirements of the Securities Act or the Exchange Act, as applicable, the Rules and Regulations and the rules and regulations of the Commission under the Exchange Act and will not contain any untrue statement of a material fact or omit to state any material fact required to be stated therein or necessary to make the statements therein, in light of the circumstances under which they were made, not misleading.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 w:name="page9"/>
    <w:bookmarkEnd w:id="8"/>
    <w:p>
      <w:pPr>
        <w:jc w:val="both"/>
        <w:ind w:firstLine="1304"/>
        <w:spacing w:after="0" w:line="273" w:lineRule="auto"/>
        <w:tabs>
          <w:tab w:leader="none" w:pos="1551" w:val="left"/>
        </w:tabs>
        <w:numPr>
          <w:ilvl w:val="0"/>
          <w:numId w:val="7"/>
        </w:numPr>
        <w:rPr>
          <w:rFonts w:ascii="Arial" w:cs="Arial" w:eastAsia="Arial" w:hAnsi="Arial"/>
          <w:sz w:val="17"/>
          <w:szCs w:val="17"/>
          <w:color w:val="010000"/>
        </w:rPr>
      </w:pPr>
      <w:r>
        <w:rPr>
          <w:rFonts w:ascii="Arial" w:cs="Arial" w:eastAsia="Arial" w:hAnsi="Arial"/>
          <w:sz w:val="17"/>
          <w:szCs w:val="17"/>
          <w:color w:val="auto"/>
        </w:rPr>
        <w:t>The Company is not an “ineligible issuer” in connection with the Offering pursuant to Rules 164, 405 and 433 under the Securities Act. The Company has not, directly or indirectly, distributed and will not distribute any offering material in connection with the Offering other than the Registration Statement, the Pricing Prospectus, the Prospectus, any General Use Free Writing Prospectuses and any Limited Use Free Writing Prospectuses reviewed and consented to by the Representative (which consent shall not be unreasonably withheld). The Company will file with the Commission all Issuer Free Writing Prospectuses (other than a “road show,” as defined in Rule 433(d)(8) of the Rules and Regulations), if any, in the time and manner required under Rules 163(b)(2) and 433(d) of the Rules and Regulations.</w:t>
      </w:r>
    </w:p>
    <w:p>
      <w:pPr>
        <w:spacing w:after="0" w:line="177" w:lineRule="exact"/>
        <w:rPr>
          <w:rFonts w:ascii="Arial" w:cs="Arial" w:eastAsia="Arial" w:hAnsi="Arial"/>
          <w:sz w:val="17"/>
          <w:szCs w:val="17"/>
          <w:color w:val="010000"/>
        </w:rPr>
      </w:pPr>
    </w:p>
    <w:p>
      <w:pPr>
        <w:jc w:val="both"/>
        <w:ind w:firstLine="1304"/>
        <w:spacing w:after="0" w:line="253" w:lineRule="auto"/>
        <w:tabs>
          <w:tab w:leader="none" w:pos="1551" w:val="left"/>
        </w:tabs>
        <w:numPr>
          <w:ilvl w:val="0"/>
          <w:numId w:val="7"/>
        </w:numPr>
        <w:rPr>
          <w:rFonts w:ascii="Arial" w:cs="Arial" w:eastAsia="Arial" w:hAnsi="Arial"/>
          <w:sz w:val="18"/>
          <w:szCs w:val="18"/>
          <w:color w:val="010000"/>
        </w:rPr>
      </w:pPr>
      <w:r>
        <w:rPr>
          <w:rFonts w:ascii="Arial" w:cs="Arial" w:eastAsia="Arial" w:hAnsi="Arial"/>
          <w:sz w:val="18"/>
          <w:szCs w:val="18"/>
          <w:color w:val="auto"/>
        </w:rPr>
        <w:t>Each of the Company and its Subsidiaries has been duly organized and is validly existing as a corporation or other legal entity in good standing (or the foreign equivalent thereof) under the laws of its jurisdiction of incorporation or organization. Each of the Company and its Subsidiaries is duly qualified to do business and is in good standing as a foreign corporation or other legal entity in each jurisdiction in which its ownership or lease of its properties or the conduct of its business requires such qualification and has all power and authority (corporate or other) necessary to own or hold its properties and to conduct the businesses in which each is engaged, except where the failure to so qualify or have such power or authority would not (i) have, singularly or in the aggregate, a material adverse effect on the condition (financial or otherwise), results of operations, assets, or business of the Company and its Subsidiaries, taken as a whole, or (ii) impair in any material respect the ability of the Company to perform its obligations under this Agreement or to consummate any transactions contemplated by this Agreement, the General Disclosure Package, or the Prospectus (any such effect as described in clauses (i) or (ii), a “</w:t>
      </w:r>
      <w:r>
        <w:rPr>
          <w:rFonts w:ascii="Arial" w:cs="Arial" w:eastAsia="Arial" w:hAnsi="Arial"/>
          <w:sz w:val="18"/>
          <w:szCs w:val="18"/>
          <w:b w:val="1"/>
          <w:bCs w:val="1"/>
          <w:color w:val="auto"/>
        </w:rPr>
        <w:t>Material Adverse Effect</w:t>
      </w:r>
      <w:r>
        <w:rPr>
          <w:rFonts w:ascii="Arial" w:cs="Arial" w:eastAsia="Arial" w:hAnsi="Arial"/>
          <w:sz w:val="18"/>
          <w:szCs w:val="18"/>
          <w:color w:val="auto"/>
        </w:rPr>
        <w:t>”). “</w:t>
      </w:r>
      <w:r>
        <w:rPr>
          <w:rFonts w:ascii="Arial" w:cs="Arial" w:eastAsia="Arial" w:hAnsi="Arial"/>
          <w:sz w:val="18"/>
          <w:szCs w:val="18"/>
          <w:b w:val="1"/>
          <w:bCs w:val="1"/>
          <w:color w:val="auto"/>
        </w:rPr>
        <w:t>Subsidiary</w:t>
      </w:r>
      <w:r>
        <w:rPr>
          <w:rFonts w:ascii="Arial" w:cs="Arial" w:eastAsia="Arial" w:hAnsi="Arial"/>
          <w:sz w:val="18"/>
          <w:szCs w:val="18"/>
          <w:color w:val="auto"/>
        </w:rPr>
        <w:t>” means any subsidiary of the Company as defined in Rule 405 under the Securities Act.</w:t>
      </w:r>
    </w:p>
    <w:p>
      <w:pPr>
        <w:spacing w:after="0" w:line="194" w:lineRule="exact"/>
        <w:rPr>
          <w:rFonts w:ascii="Arial" w:cs="Arial" w:eastAsia="Arial" w:hAnsi="Arial"/>
          <w:sz w:val="18"/>
          <w:szCs w:val="18"/>
          <w:color w:val="010000"/>
        </w:rPr>
      </w:pPr>
    </w:p>
    <w:p>
      <w:pPr>
        <w:ind w:right="20" w:firstLine="1304"/>
        <w:spacing w:after="0" w:line="277" w:lineRule="auto"/>
        <w:tabs>
          <w:tab w:leader="none" w:pos="1524" w:val="left"/>
        </w:tabs>
        <w:numPr>
          <w:ilvl w:val="0"/>
          <w:numId w:val="7"/>
        </w:numPr>
        <w:rPr>
          <w:rFonts w:ascii="Arial" w:cs="Arial" w:eastAsia="Arial" w:hAnsi="Arial"/>
          <w:sz w:val="18"/>
          <w:szCs w:val="18"/>
          <w:color w:val="010000"/>
        </w:rPr>
      </w:pPr>
      <w:r>
        <w:rPr>
          <w:rFonts w:ascii="Arial" w:cs="Arial" w:eastAsia="Arial" w:hAnsi="Arial"/>
          <w:sz w:val="18"/>
          <w:szCs w:val="18"/>
          <w:color w:val="auto"/>
        </w:rPr>
        <w:t>The Company has the full right, power and authority to execute and deliver, and perform its obligations under, this Agreement, the Indenture, the Notes and the DTC Agreement.</w:t>
      </w:r>
    </w:p>
    <w:p>
      <w:pPr>
        <w:spacing w:after="0" w:line="170" w:lineRule="exact"/>
        <w:rPr>
          <w:rFonts w:ascii="Arial" w:cs="Arial" w:eastAsia="Arial" w:hAnsi="Arial"/>
          <w:sz w:val="18"/>
          <w:szCs w:val="18"/>
          <w:color w:val="010000"/>
        </w:rPr>
      </w:pPr>
    </w:p>
    <w:p>
      <w:pPr>
        <w:ind w:left="1520" w:hanging="216"/>
        <w:spacing w:after="0"/>
        <w:tabs>
          <w:tab w:leader="none" w:pos="1520" w:val="left"/>
        </w:tabs>
        <w:numPr>
          <w:ilvl w:val="0"/>
          <w:numId w:val="7"/>
        </w:numPr>
        <w:rPr>
          <w:rFonts w:ascii="Arial" w:cs="Arial" w:eastAsia="Arial" w:hAnsi="Arial"/>
          <w:sz w:val="18"/>
          <w:szCs w:val="18"/>
          <w:color w:val="010000"/>
        </w:rPr>
      </w:pPr>
      <w:r>
        <w:rPr>
          <w:rFonts w:ascii="Arial" w:cs="Arial" w:eastAsia="Arial" w:hAnsi="Arial"/>
          <w:sz w:val="18"/>
          <w:szCs w:val="18"/>
          <w:color w:val="auto"/>
        </w:rPr>
        <w:t>This Agreement has been duly authorized, executed and delivered by the Company.</w:t>
      </w:r>
    </w:p>
    <w:p>
      <w:pPr>
        <w:spacing w:after="0" w:line="225" w:lineRule="exact"/>
        <w:rPr>
          <w:rFonts w:ascii="Arial" w:cs="Arial" w:eastAsia="Arial" w:hAnsi="Arial"/>
          <w:sz w:val="18"/>
          <w:szCs w:val="18"/>
          <w:color w:val="010000"/>
        </w:rPr>
      </w:pPr>
    </w:p>
    <w:p>
      <w:pPr>
        <w:jc w:val="both"/>
        <w:ind w:firstLine="1304"/>
        <w:spacing w:after="0" w:line="257" w:lineRule="auto"/>
        <w:tabs>
          <w:tab w:leader="none" w:pos="1564" w:val="left"/>
        </w:tabs>
        <w:numPr>
          <w:ilvl w:val="0"/>
          <w:numId w:val="7"/>
        </w:numPr>
        <w:rPr>
          <w:rFonts w:ascii="Arial" w:cs="Arial" w:eastAsia="Arial" w:hAnsi="Arial"/>
          <w:sz w:val="18"/>
          <w:szCs w:val="18"/>
          <w:color w:val="010000"/>
        </w:rPr>
      </w:pPr>
      <w:r>
        <w:rPr>
          <w:rFonts w:ascii="Arial" w:cs="Arial" w:eastAsia="Arial" w:hAnsi="Arial"/>
          <w:sz w:val="18"/>
          <w:szCs w:val="18"/>
          <w:color w:val="auto"/>
        </w:rPr>
        <w:t>The Indenture has been duly authorized by the Company and, as of the Closing Date, will be duly executed and delivered by the Company and, assuming it has been executed and delivered by the Trustee, will constitute a valid and binding obligation of the Company, enforceable against the Company in accordance with its terms, except as the enforcement thereof may be subject to (i) applicable bankruptcy, insolvency, reorganization, moratorium or other similar laws now or thereafter in effect relating to creditors’ rights generally and (ii) general principles of equity (regardless of whether enforcement is considered in a proceeding in equity or law).</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 w:name="page10"/>
    <w:bookmarkEnd w:id="9"/>
    <w:p>
      <w:pPr>
        <w:jc w:val="both"/>
        <w:ind w:firstLine="1304"/>
        <w:spacing w:after="0" w:line="279" w:lineRule="auto"/>
        <w:tabs>
          <w:tab w:leader="none" w:pos="1511" w:val="left"/>
        </w:tabs>
        <w:numPr>
          <w:ilvl w:val="0"/>
          <w:numId w:val="8"/>
        </w:numPr>
        <w:rPr>
          <w:rFonts w:ascii="Arial" w:cs="Arial" w:eastAsia="Arial" w:hAnsi="Arial"/>
          <w:sz w:val="17"/>
          <w:szCs w:val="17"/>
          <w:color w:val="010000"/>
        </w:rPr>
      </w:pPr>
      <w:r>
        <w:rPr>
          <w:rFonts w:ascii="Arial" w:cs="Arial" w:eastAsia="Arial" w:hAnsi="Arial"/>
          <w:sz w:val="17"/>
          <w:szCs w:val="17"/>
          <w:color w:val="auto"/>
        </w:rPr>
        <w:t>The DTC Agreement has been duly authorized, executed and delivered by the Company and is a valid and binding obligation of the Company, enforceable against the Company in accordance with its terms, except as the enforcement thereof may be subject to (i) applicable bankruptcy, insolvency, reorganization, moratorium or other similar laws now or thereafter in effect relating to creditors’ rights generally and (ii) general principles of equity (regardless of whether enforcement is considered in a proceeding in equity or law).</w:t>
      </w:r>
    </w:p>
    <w:p>
      <w:pPr>
        <w:spacing w:after="0" w:line="171" w:lineRule="exact"/>
        <w:rPr>
          <w:rFonts w:ascii="Arial" w:cs="Arial" w:eastAsia="Arial" w:hAnsi="Arial"/>
          <w:sz w:val="17"/>
          <w:szCs w:val="17"/>
          <w:color w:val="010000"/>
        </w:rPr>
      </w:pPr>
    </w:p>
    <w:p>
      <w:pPr>
        <w:jc w:val="both"/>
        <w:ind w:firstLine="1304"/>
        <w:spacing w:after="0" w:line="255" w:lineRule="auto"/>
        <w:tabs>
          <w:tab w:leader="none" w:pos="1601" w:val="left"/>
        </w:tabs>
        <w:numPr>
          <w:ilvl w:val="0"/>
          <w:numId w:val="8"/>
        </w:numPr>
        <w:rPr>
          <w:rFonts w:ascii="Arial" w:cs="Arial" w:eastAsia="Arial" w:hAnsi="Arial"/>
          <w:sz w:val="18"/>
          <w:szCs w:val="18"/>
          <w:color w:val="010000"/>
        </w:rPr>
      </w:pPr>
      <w:r>
        <w:rPr>
          <w:rFonts w:ascii="Arial" w:cs="Arial" w:eastAsia="Arial" w:hAnsi="Arial"/>
          <w:sz w:val="18"/>
          <w:szCs w:val="18"/>
          <w:color w:val="auto"/>
        </w:rPr>
        <w:t>The Notes have been duly authorized for sale to the Underwriters pursuant to this Agreement and, when executed and delivered by the Company and authenticated by the Trustee pursuant to the provisions of this Agreement and of the Indenture relating thereto, against payment of the consideration set forth in this Agreement, will be valid and legally binding obligations of the Company enforceable in accordance with their terms, subject to (i) applicable bankruptcy, insolvency, reorganization, moratorium or other similar laws now or thereafter in effect relating to creditors’ rights generally and (ii) general principles of equity (regardless of whether enforcement is considered in a proceeding in equity or law), and will be entitled to the benefits of the Indenture relating thereto.</w:t>
      </w:r>
    </w:p>
    <w:p>
      <w:pPr>
        <w:spacing w:after="0" w:line="192" w:lineRule="exact"/>
        <w:rPr>
          <w:rFonts w:ascii="Arial" w:cs="Arial" w:eastAsia="Arial" w:hAnsi="Arial"/>
          <w:sz w:val="18"/>
          <w:szCs w:val="18"/>
          <w:color w:val="010000"/>
        </w:rPr>
      </w:pPr>
    </w:p>
    <w:p>
      <w:pPr>
        <w:jc w:val="both"/>
        <w:ind w:firstLine="1304"/>
        <w:spacing w:after="0" w:line="311" w:lineRule="auto"/>
        <w:tabs>
          <w:tab w:leader="none" w:pos="1564" w:val="left"/>
        </w:tabs>
        <w:numPr>
          <w:ilvl w:val="0"/>
          <w:numId w:val="8"/>
        </w:numPr>
        <w:rPr>
          <w:rFonts w:ascii="Arial" w:cs="Arial" w:eastAsia="Arial" w:hAnsi="Arial"/>
          <w:sz w:val="16"/>
          <w:szCs w:val="16"/>
          <w:color w:val="010000"/>
        </w:rPr>
      </w:pPr>
      <w:r>
        <w:rPr>
          <w:rFonts w:ascii="Arial" w:cs="Arial" w:eastAsia="Arial" w:hAnsi="Arial"/>
          <w:sz w:val="16"/>
          <w:szCs w:val="16"/>
          <w:color w:val="auto"/>
        </w:rPr>
        <w:t>The Notes and the Indenture conform in all material respects to the statements relating thereto contained in the General Disclosure Package and the Prospectus; and other than as contemplated in the General Disclosure Package and the Prospectus, none of the Company or any of its Subsidiaries has issued any debt securities or entered into any agreement or arrangement relating to the issuance of any debt securities.</w:t>
      </w:r>
    </w:p>
    <w:p>
      <w:pPr>
        <w:spacing w:after="0" w:line="148" w:lineRule="exact"/>
        <w:rPr>
          <w:rFonts w:ascii="Arial" w:cs="Arial" w:eastAsia="Arial" w:hAnsi="Arial"/>
          <w:sz w:val="16"/>
          <w:szCs w:val="16"/>
          <w:color w:val="010000"/>
        </w:rPr>
      </w:pPr>
    </w:p>
    <w:p>
      <w:pPr>
        <w:jc w:val="both"/>
        <w:ind w:firstLine="1304"/>
        <w:spacing w:after="0" w:line="255" w:lineRule="auto"/>
        <w:tabs>
          <w:tab w:leader="none" w:pos="1551" w:val="left"/>
        </w:tabs>
        <w:numPr>
          <w:ilvl w:val="0"/>
          <w:numId w:val="8"/>
        </w:numPr>
        <w:rPr>
          <w:rFonts w:ascii="Arial" w:cs="Arial" w:eastAsia="Arial" w:hAnsi="Arial"/>
          <w:sz w:val="18"/>
          <w:szCs w:val="18"/>
          <w:color w:val="010000"/>
        </w:rPr>
      </w:pPr>
      <w:r>
        <w:rPr>
          <w:rFonts w:ascii="Arial" w:cs="Arial" w:eastAsia="Arial" w:hAnsi="Arial"/>
          <w:sz w:val="18"/>
          <w:szCs w:val="18"/>
          <w:color w:val="auto"/>
        </w:rPr>
        <w:t>All issued and outstanding shares of capital stock of the Company outstanding prior to the issuance of the Firm Notes have been duly authorized and are validly issued, fully paid and non-assessable and were issued in compliance in all material respects with United States federal and applicable state securities laws. All of the Company’s options, warrants and other rights to purchase or exchange any securities for shares of the Company’s capital stock have been duly authorized and validly issued and were issued in compliance in all material respects with United States federal and applicable state securities laws. None of the outstanding shares of capital stock was issued in violation of any preemptive rights, rights of first refusal or other similar rights to subscribe for or purchase securities of the Company.</w:t>
      </w:r>
    </w:p>
    <w:p>
      <w:pPr>
        <w:spacing w:after="0" w:line="192" w:lineRule="exact"/>
        <w:rPr>
          <w:rFonts w:ascii="Arial" w:cs="Arial" w:eastAsia="Arial" w:hAnsi="Arial"/>
          <w:sz w:val="18"/>
          <w:szCs w:val="18"/>
          <w:color w:val="010000"/>
        </w:rPr>
      </w:pPr>
    </w:p>
    <w:p>
      <w:pPr>
        <w:jc w:val="both"/>
        <w:ind w:firstLine="1304"/>
        <w:spacing w:after="0" w:line="259" w:lineRule="auto"/>
        <w:tabs>
          <w:tab w:leader="none" w:pos="1551" w:val="left"/>
        </w:tabs>
        <w:numPr>
          <w:ilvl w:val="0"/>
          <w:numId w:val="8"/>
        </w:numPr>
        <w:rPr>
          <w:rFonts w:ascii="Arial" w:cs="Arial" w:eastAsia="Arial" w:hAnsi="Arial"/>
          <w:sz w:val="18"/>
          <w:szCs w:val="18"/>
          <w:color w:val="010000"/>
        </w:rPr>
      </w:pPr>
      <w:r>
        <w:rPr>
          <w:rFonts w:ascii="Arial" w:cs="Arial" w:eastAsia="Arial" w:hAnsi="Arial"/>
          <w:sz w:val="18"/>
          <w:szCs w:val="18"/>
          <w:color w:val="auto"/>
        </w:rPr>
        <w:t>The membership interests, capital stock, partnership interests or other similar equity interests, as applicable, of each Subsidiary, have been duly authorized and validly issued, are fully paid and nonassessable and, except to the extent set forth in the General Disclosure Package, are owned by the Company directly, free and clear of any claim, lien, encumbrance, security interest, restriction upon voting or transfer or any other claim of any third party.</w:t>
      </w:r>
    </w:p>
    <w:p>
      <w:pPr>
        <w:spacing w:after="0" w:line="186" w:lineRule="exact"/>
        <w:rPr>
          <w:rFonts w:ascii="Arial" w:cs="Arial" w:eastAsia="Arial" w:hAnsi="Arial"/>
          <w:sz w:val="18"/>
          <w:szCs w:val="18"/>
          <w:color w:val="010000"/>
        </w:rPr>
      </w:pPr>
    </w:p>
    <w:p>
      <w:pPr>
        <w:jc w:val="both"/>
        <w:ind w:firstLine="1304"/>
        <w:spacing w:after="0" w:line="253" w:lineRule="auto"/>
        <w:tabs>
          <w:tab w:leader="none" w:pos="1551" w:val="left"/>
        </w:tabs>
        <w:numPr>
          <w:ilvl w:val="0"/>
          <w:numId w:val="8"/>
        </w:numPr>
        <w:rPr>
          <w:rFonts w:ascii="Arial" w:cs="Arial" w:eastAsia="Arial" w:hAnsi="Arial"/>
          <w:sz w:val="18"/>
          <w:szCs w:val="18"/>
          <w:color w:val="010000"/>
        </w:rPr>
      </w:pPr>
      <w:r>
        <w:rPr>
          <w:rFonts w:ascii="Arial" w:cs="Arial" w:eastAsia="Arial" w:hAnsi="Arial"/>
          <w:sz w:val="18"/>
          <w:szCs w:val="18"/>
          <w:color w:val="auto"/>
        </w:rPr>
        <w:t>None of (1) the execution, delivery and performance of this Agreement and the Indenture by the Company and (2) the issuance and sale of the Notes by the Company (with or without notice or lapse of time or both) (x) conflicts with or results in a breach or violation of any of the terms or provisions of, constitutes a default under, gives rise to any right of termination or other right or the cancellation or acceleration of any right or obligation or loss of a benefit under or pursuant to,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(y) results in any violation of the provisions of the certificate of incorporation or bylaws (or analogous governing instruments, as applicable) of the Company or any of its Subsidiaries, or (z) results in any violation of provisions of any law, statute, rule, regulation, judgment, order or decree of any court or governmental agency or body, domestic or foreign, having jurisdiction over the Company or any of its Subsidiaries or any of their properties or assets; except, with respect to clauses (x) or (z), any contravention which would not have a Material Adverse Effect.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 w:name="page11"/>
    <w:bookmarkEnd w:id="10"/>
    <w:p>
      <w:pPr>
        <w:jc w:val="both"/>
        <w:ind w:firstLine="1304"/>
        <w:spacing w:after="0" w:line="301" w:lineRule="auto"/>
        <w:tabs>
          <w:tab w:leader="none" w:pos="1521" w:val="left"/>
        </w:tabs>
        <w:numPr>
          <w:ilvl w:val="0"/>
          <w:numId w:val="9"/>
        </w:numPr>
        <w:rPr>
          <w:rFonts w:ascii="Arial" w:cs="Arial" w:eastAsia="Arial" w:hAnsi="Arial"/>
          <w:sz w:val="16"/>
          <w:szCs w:val="16"/>
          <w:color w:val="010000"/>
        </w:rPr>
      </w:pPr>
      <w:r>
        <w:rPr>
          <w:rFonts w:ascii="Arial" w:cs="Arial" w:eastAsia="Arial" w:hAnsi="Arial"/>
          <w:sz w:val="16"/>
          <w:szCs w:val="16"/>
          <w:color w:val="auto"/>
        </w:rPr>
        <w:t>No consent, approval, authorization or order of, or qualification with, any governmental body or agency or self-regulatory authority is required for the performance by the Company of its obligations under this Agreement, the Indenture, the DTC Agreement and the Notes, except as have been obtained or as may be required by (1) the securities or Blue Sky laws of the various states, (2) the bylaws, rules and regulations of FINRA or the Nasdaq Global Market or (3) any necessary qualification under the Trust Indenture Act, in connection with the offer and sale of the Notes.</w:t>
      </w:r>
    </w:p>
    <w:p>
      <w:pPr>
        <w:spacing w:after="0" w:line="157" w:lineRule="exact"/>
        <w:rPr>
          <w:rFonts w:ascii="Arial" w:cs="Arial" w:eastAsia="Arial" w:hAnsi="Arial"/>
          <w:sz w:val="16"/>
          <w:szCs w:val="16"/>
          <w:color w:val="010000"/>
        </w:rPr>
      </w:pPr>
    </w:p>
    <w:p>
      <w:pPr>
        <w:jc w:val="both"/>
        <w:ind w:firstLine="1304"/>
        <w:spacing w:after="0" w:line="273" w:lineRule="auto"/>
        <w:tabs>
          <w:tab w:leader="none" w:pos="1558" w:val="left"/>
        </w:tabs>
        <w:numPr>
          <w:ilvl w:val="0"/>
          <w:numId w:val="9"/>
        </w:numPr>
        <w:rPr>
          <w:rFonts w:ascii="Arial" w:cs="Arial" w:eastAsia="Arial" w:hAnsi="Arial"/>
          <w:sz w:val="17"/>
          <w:szCs w:val="17"/>
          <w:color w:val="010000"/>
        </w:rPr>
      </w:pPr>
      <w:r>
        <w:rPr>
          <w:rFonts w:ascii="Arial" w:cs="Arial" w:eastAsia="Arial" w:hAnsi="Arial"/>
          <w:sz w:val="17"/>
          <w:szCs w:val="17"/>
          <w:color w:val="auto"/>
        </w:rPr>
        <w:t>KMJ Corbin &amp; Company LLP, who has audited certain financial statements of the Company and related schedules included or incorporated by reference in the Registration Statement, the General Disclosure Package and the Prospectus, is an independent registered public accounting firm with respect to the Company as required by the Securities Act and the Rules and Regulations and the Public Company Accounting Oversight Board (United States). To the knowledge of the Company, except as pre-approved in accordance with the requirements set forth in Section 10A of the Exchange Act, the applicable independent registered public accounting firms above have not been engaged by the Company or any of its Subsidiaries, as applicable, to perform any “prohibited activities” (as defined in Section 10A of the Exchange Act).</w:t>
      </w:r>
    </w:p>
    <w:p>
      <w:pPr>
        <w:spacing w:after="0" w:line="177" w:lineRule="exact"/>
        <w:rPr>
          <w:rFonts w:ascii="Arial" w:cs="Arial" w:eastAsia="Arial" w:hAnsi="Arial"/>
          <w:sz w:val="17"/>
          <w:szCs w:val="17"/>
          <w:color w:val="010000"/>
        </w:rPr>
      </w:pPr>
    </w:p>
    <w:p>
      <w:pPr>
        <w:jc w:val="both"/>
        <w:ind w:firstLine="1304"/>
        <w:spacing w:after="0" w:line="286" w:lineRule="auto"/>
        <w:tabs>
          <w:tab w:leader="none" w:pos="1511" w:val="left"/>
        </w:tabs>
        <w:numPr>
          <w:ilvl w:val="0"/>
          <w:numId w:val="9"/>
        </w:numPr>
        <w:rPr>
          <w:rFonts w:ascii="Arial" w:cs="Arial" w:eastAsia="Arial" w:hAnsi="Arial"/>
          <w:sz w:val="17"/>
          <w:szCs w:val="17"/>
          <w:color w:val="010000"/>
        </w:rPr>
      </w:pPr>
      <w:r>
        <w:rPr>
          <w:rFonts w:ascii="Arial" w:cs="Arial" w:eastAsia="Arial" w:hAnsi="Arial"/>
          <w:sz w:val="17"/>
          <w:szCs w:val="17"/>
          <w:color w:val="auto"/>
        </w:rPr>
        <w:t>The Company and its Subsidiaries do not have any material liabilities or obligations, direct or contingent (including any off-balance sheet obligations or any “variable interest entities” within the meaning of the Financial Accounting Standards Board’s Accounting Standards Codification Topic 810), which are not disclosed in the General Disclosure Package, the Prospectus and the Registration Statement.</w:t>
      </w:r>
    </w:p>
    <w:p>
      <w:pPr>
        <w:spacing w:after="0" w:line="165" w:lineRule="exact"/>
        <w:rPr>
          <w:rFonts w:ascii="Arial" w:cs="Arial" w:eastAsia="Arial" w:hAnsi="Arial"/>
          <w:sz w:val="17"/>
          <w:szCs w:val="17"/>
          <w:color w:val="010000"/>
        </w:rPr>
      </w:pPr>
    </w:p>
    <w:p>
      <w:pPr>
        <w:jc w:val="both"/>
        <w:ind w:firstLine="1304"/>
        <w:spacing w:after="0" w:line="296" w:lineRule="auto"/>
        <w:tabs>
          <w:tab w:leader="none" w:pos="1564" w:val="left"/>
        </w:tabs>
        <w:numPr>
          <w:ilvl w:val="0"/>
          <w:numId w:val="9"/>
        </w:numPr>
        <w:rPr>
          <w:rFonts w:ascii="Arial" w:cs="Arial" w:eastAsia="Arial" w:hAnsi="Arial"/>
          <w:sz w:val="16"/>
          <w:szCs w:val="16"/>
          <w:color w:val="010000"/>
        </w:rPr>
      </w:pPr>
      <w:r>
        <w:rPr>
          <w:rFonts w:ascii="Arial" w:cs="Arial" w:eastAsia="Arial" w:hAnsi="Arial"/>
          <w:sz w:val="16"/>
          <w:szCs w:val="16"/>
          <w:color w:val="auto"/>
        </w:rPr>
        <w:t>Since the date of the most recent financial statements of the Company included or incorporated by reference in the Registration Statement, the General Disclosure Package or the Prospectus, (i) there has not occurred any event or circumstance that has had or would reasonably be expected to have, individually or in the aggregate, a Material Adverse Effect and (ii) each of the Company and its Subsidiaries, considered as one entity, has not incurred any material liability or obligation, indirect, direct or contingent, not in the ordinary course of business nor entered into any material transaction or agreement not in the ordinary course of business, in each case, other than is set forth or contemplated therein.</w:t>
      </w:r>
    </w:p>
    <w:p>
      <w:pPr>
        <w:spacing w:after="0" w:line="161" w:lineRule="exact"/>
        <w:rPr>
          <w:rFonts w:ascii="Arial" w:cs="Arial" w:eastAsia="Arial" w:hAnsi="Arial"/>
          <w:sz w:val="16"/>
          <w:szCs w:val="16"/>
          <w:color w:val="010000"/>
        </w:rPr>
      </w:pPr>
    </w:p>
    <w:p>
      <w:pPr>
        <w:jc w:val="both"/>
        <w:ind w:firstLine="1304"/>
        <w:spacing w:after="0" w:line="272" w:lineRule="auto"/>
        <w:tabs>
          <w:tab w:leader="none" w:pos="1551" w:val="left"/>
        </w:tabs>
        <w:numPr>
          <w:ilvl w:val="0"/>
          <w:numId w:val="9"/>
        </w:numPr>
        <w:rPr>
          <w:rFonts w:ascii="Arial" w:cs="Arial" w:eastAsia="Arial" w:hAnsi="Arial"/>
          <w:sz w:val="17"/>
          <w:szCs w:val="17"/>
          <w:color w:val="010000"/>
        </w:rPr>
      </w:pPr>
      <w:r>
        <w:rPr>
          <w:rFonts w:ascii="Arial" w:cs="Arial" w:eastAsia="Arial" w:hAnsi="Arial"/>
          <w:sz w:val="17"/>
          <w:szCs w:val="17"/>
          <w:color w:val="auto"/>
        </w:rPr>
        <w:t>There is no legal or governmental proceeding, action, suit or claim pending or, to the Company’s knowledge, threatened, to which the Company or any of its Subsidiaries is a party, or to which any of the properties or assets of the Company or any of its Subsidiaries is subject, (i) other than proceedings accurately described in all material respects in the General Disclosure Package or proceedings that would not have a Material Adverse Effect, or (ii) that are required to be described in the Registration Statement, the General Disclosure Package or the Prospectus and are not so described; and there are no statutes, regulations, contracts or other documents to which the Company or any of its Subsidiaries is subject or by which the Company or any of its Subsidiaries is bound that are required to be described in the Registration Statement, the General Disclosure Package or the Prospectus or to be filed as exhibits to the Registration Statement that are not described or filed as required.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 w:name="page12"/>
    <w:bookmarkEnd w:id="11"/>
    <w:p>
      <w:pPr>
        <w:jc w:val="both"/>
        <w:ind w:firstLine="1304"/>
        <w:spacing w:after="0" w:line="263" w:lineRule="auto"/>
        <w:tabs>
          <w:tab w:leader="none" w:pos="1591" w:val="left"/>
        </w:tabs>
        <w:numPr>
          <w:ilvl w:val="0"/>
          <w:numId w:val="10"/>
        </w:numPr>
        <w:rPr>
          <w:rFonts w:ascii="Arial" w:cs="Arial" w:eastAsia="Arial" w:hAnsi="Arial"/>
          <w:sz w:val="18"/>
          <w:szCs w:val="18"/>
          <w:color w:val="010000"/>
        </w:rPr>
      </w:pPr>
      <w:r>
        <w:rPr>
          <w:rFonts w:ascii="Arial" w:cs="Arial" w:eastAsia="Arial" w:hAnsi="Arial"/>
          <w:sz w:val="18"/>
          <w:szCs w:val="18"/>
          <w:color w:val="auto"/>
        </w:rPr>
        <w:t>Neither the Company nor any of its Subsidiaries is or, after giving effect to the Offering and the application of the proceeds thereof as described in the General Disclosure Package and the Prospectus, will become an “investment company” within the meaning of the Investment Company Act of 1940, as amended, and the rules and regulations of the Commission thereunder.</w:t>
      </w:r>
    </w:p>
    <w:p>
      <w:pPr>
        <w:spacing w:after="0" w:line="183" w:lineRule="exact"/>
        <w:rPr>
          <w:rFonts w:ascii="Arial" w:cs="Arial" w:eastAsia="Arial" w:hAnsi="Arial"/>
          <w:sz w:val="18"/>
          <w:szCs w:val="18"/>
          <w:color w:val="010000"/>
        </w:rPr>
      </w:pPr>
    </w:p>
    <w:p>
      <w:pPr>
        <w:jc w:val="both"/>
        <w:ind w:firstLine="1304"/>
        <w:spacing w:after="0" w:line="257" w:lineRule="auto"/>
        <w:tabs>
          <w:tab w:leader="none" w:pos="1564" w:val="left"/>
        </w:tabs>
        <w:numPr>
          <w:ilvl w:val="0"/>
          <w:numId w:val="10"/>
        </w:numPr>
        <w:rPr>
          <w:rFonts w:ascii="Arial" w:cs="Arial" w:eastAsia="Arial" w:hAnsi="Arial"/>
          <w:sz w:val="18"/>
          <w:szCs w:val="18"/>
          <w:color w:val="010000"/>
        </w:rPr>
      </w:pPr>
      <w:r>
        <w:rPr>
          <w:rFonts w:ascii="Arial" w:cs="Arial" w:eastAsia="Arial" w:hAnsi="Arial"/>
          <w:sz w:val="18"/>
          <w:szCs w:val="18"/>
          <w:color w:val="auto"/>
        </w:rPr>
        <w:t>Except to the extent expressly set forth in the General Disclosure Package as part of the offering contemplated hereby, neither the Company, its Subsidiaries nor any of the Company’s or its Subsidiaries’ officers, directors or affiliates has bid for or purchased, for any account in which it or any of its affiliated purchasers has a beneficial interest, any Notes, or attempted to induce any person to purchase any Notes; and has not, and has not caused its affiliated purchasers to, make bids or purchase for the purpose of creating actual, or apparent, active trading in or of raising the price of the Notes.</w:t>
      </w:r>
    </w:p>
    <w:p>
      <w:pPr>
        <w:spacing w:after="0" w:line="187" w:lineRule="exact"/>
        <w:rPr>
          <w:rFonts w:ascii="Arial" w:cs="Arial" w:eastAsia="Arial" w:hAnsi="Arial"/>
          <w:sz w:val="18"/>
          <w:szCs w:val="18"/>
          <w:color w:val="010000"/>
        </w:rPr>
      </w:pPr>
    </w:p>
    <w:p>
      <w:pPr>
        <w:jc w:val="both"/>
        <w:ind w:firstLine="1304"/>
        <w:spacing w:after="0" w:line="275" w:lineRule="auto"/>
        <w:tabs>
          <w:tab w:leader="none" w:pos="1551" w:val="left"/>
        </w:tabs>
        <w:numPr>
          <w:ilvl w:val="0"/>
          <w:numId w:val="10"/>
        </w:numPr>
        <w:rPr>
          <w:rFonts w:ascii="Arial" w:cs="Arial" w:eastAsia="Arial" w:hAnsi="Arial"/>
          <w:sz w:val="17"/>
          <w:szCs w:val="17"/>
          <w:color w:val="010000"/>
        </w:rPr>
      </w:pPr>
      <w:r>
        <w:rPr>
          <w:rFonts w:ascii="Arial" w:cs="Arial" w:eastAsia="Arial" w:hAnsi="Arial"/>
          <w:sz w:val="17"/>
          <w:szCs w:val="17"/>
          <w:color w:val="auto"/>
        </w:rPr>
        <w:t>The Company and its Subsidiaries have good and marketable title to all real and personal property owned by them which is material to the business of the Company and its Subsidiaries, taken as a whole, in each case free and clear of all liens, encumbrances and defects of title except such as are described in the General Disclosure Package or would not individually or in the aggregate have a Material Adverse Effect; and any real property and buildings held under lease by the Company and its Subsidiaries are held by them under valid, subsisting and enforceable leases except such as are described in the General Disclosure Package or would not have a Material Adverse Effect.</w:t>
      </w:r>
    </w:p>
    <w:p>
      <w:pPr>
        <w:spacing w:after="0" w:line="176" w:lineRule="exact"/>
        <w:rPr>
          <w:rFonts w:ascii="Arial" w:cs="Arial" w:eastAsia="Arial" w:hAnsi="Arial"/>
          <w:sz w:val="17"/>
          <w:szCs w:val="17"/>
          <w:color w:val="010000"/>
        </w:rPr>
      </w:pPr>
    </w:p>
    <w:p>
      <w:pPr>
        <w:jc w:val="both"/>
        <w:ind w:firstLine="1304"/>
        <w:spacing w:after="0" w:line="254" w:lineRule="auto"/>
        <w:tabs>
          <w:tab w:leader="none" w:pos="1540" w:val="left"/>
        </w:tabs>
        <w:numPr>
          <w:ilvl w:val="0"/>
          <w:numId w:val="10"/>
        </w:numPr>
        <w:rPr>
          <w:rFonts w:ascii="Arial" w:cs="Arial" w:eastAsia="Arial" w:hAnsi="Arial"/>
          <w:sz w:val="18"/>
          <w:szCs w:val="18"/>
          <w:color w:val="010000"/>
        </w:rPr>
      </w:pPr>
      <w:r>
        <w:rPr>
          <w:rFonts w:ascii="Arial" w:cs="Arial" w:eastAsia="Arial" w:hAnsi="Arial"/>
          <w:sz w:val="18"/>
          <w:szCs w:val="18"/>
          <w:color w:val="auto"/>
        </w:rPr>
        <w:t>Except as disclosed in the General Disclosure Package, neither the Company nor any of its Subsidiaries is in violation of any statute, rule, regulation, decision or order of any governmental agency or body or any court, relating to the use, disposal or release of hazardous or toxic substances or relating to the protection or restoration of the environment or human exposure to hazardous or toxic substances (collectively, “</w:t>
      </w:r>
      <w:r>
        <w:rPr>
          <w:rFonts w:ascii="Arial" w:cs="Arial" w:eastAsia="Arial" w:hAnsi="Arial"/>
          <w:sz w:val="18"/>
          <w:szCs w:val="18"/>
          <w:b w:val="1"/>
          <w:bCs w:val="1"/>
          <w:color w:val="auto"/>
        </w:rPr>
        <w:t>Environmental Laws</w:t>
      </w:r>
      <w:r>
        <w:rPr>
          <w:rFonts w:ascii="Arial" w:cs="Arial" w:eastAsia="Arial" w:hAnsi="Arial"/>
          <w:sz w:val="18"/>
          <w:szCs w:val="18"/>
          <w:color w:val="auto"/>
        </w:rPr>
        <w:t>”), operates any real property contaminated with any substance that is subject to any Environmental Laws, is liable for any off-site disposal or contamination pursuant to any Environmental Laws, or is subject to any claim relating to any Environmental Laws, which violation, contamination, liability or claim would individually or in the aggregate have a Material Adverse Effect; and the Company is not aware of any pending investigation which might lead to such a claim.</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2" w:name="page13"/>
    <w:bookmarkEnd w:id="12"/>
    <w:p>
      <w:pPr>
        <w:jc w:val="both"/>
        <w:ind w:firstLine="1304"/>
        <w:spacing w:after="0" w:line="285" w:lineRule="auto"/>
        <w:tabs>
          <w:tab w:leader="none" w:pos="1647" w:val="left"/>
        </w:tabs>
        <w:numPr>
          <w:ilvl w:val="0"/>
          <w:numId w:val="11"/>
        </w:numPr>
        <w:rPr>
          <w:rFonts w:ascii="Arial" w:cs="Arial" w:eastAsia="Arial" w:hAnsi="Arial"/>
          <w:sz w:val="16"/>
          <w:szCs w:val="16"/>
          <w:color w:val="010000"/>
        </w:rPr>
      </w:pPr>
      <w:r>
        <w:rPr>
          <w:rFonts w:ascii="Arial" w:cs="Arial" w:eastAsia="Arial" w:hAnsi="Arial"/>
          <w:sz w:val="16"/>
          <w:szCs w:val="16"/>
          <w:color w:val="auto"/>
        </w:rPr>
        <w:t>Except as disclosed in the General Disclosure Package, the Company and the Subsidiaries own or possess or can acquire on reasonable terms enforceable rights to use all patents, patent applications, trademarks (both registered and unregistered), service marks, trade names, trademark registrations, service mark registrations, copyrights, licenses and know-how (including trade secrets and other unpatented and/or unpatentable proprietary or confidential information, systems or procedures) (collectively, the “</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necessary for the conduct of their respective businesses as conducted as of the date hereof, except to the extent that the failure to own or possess or acquire adequate rights to use such Intellectual Property would not, individually or in the aggregate, reasonably be expected to have a Material Adverse Effect; the Company and the Subsidiaries have not received any written notice of any claim of infringement or conflict which asserted Intellectual Property rights of others, which infringement or conflict, if the subject of an unfavorable decision, would result in a Material Adverse Effect; there are no pending, or to the Company’s knowledge, threatened judicial proceedings or interference proceedings against the Company or its Subsidiaries challenging the Company’s or any of its Subsidiary’s rights in or to or the validity of the scope of any of the Company’s or any Subsidiary’s patents, patent applications or proprietary information, except such proceedings that have been disclosed in writing to the Representative or would not, individually or in the aggregate, reasonably be expected to have a Material Adverse Effect; no other entity or individual has any right or claim in any of the Company’s or any of its Subsidiary’s patents, patent applications or any patent to be issued therefrom by virtue of any contract, license or other agreement entered into between such entity or individual and the Company or any Subsidiary or by any non-contractual obligation, other than by written licenses granted by the Company or any Subsidiary except for such right or claim that would not, individually or in the aggregate, reasonably be expected to have a Material Adverse Effect; the Company and the Subsidiaries have not received any written notice of any claim challenging the rights of the Company or its Subsidiaries in or to any Intellectual Property owned, licensed or optioned by the Company or any Subsidiary which claim, if the subject of an unfavorable decision would reasonably be expected to result in a Material Adverse Effect.</w:t>
      </w:r>
    </w:p>
    <w:p>
      <w:pPr>
        <w:spacing w:after="0" w:line="173" w:lineRule="exact"/>
        <w:rPr>
          <w:rFonts w:ascii="Arial" w:cs="Arial" w:eastAsia="Arial" w:hAnsi="Arial"/>
          <w:sz w:val="16"/>
          <w:szCs w:val="16"/>
          <w:color w:val="010000"/>
        </w:rPr>
      </w:pPr>
    </w:p>
    <w:p>
      <w:pPr>
        <w:jc w:val="both"/>
        <w:ind w:firstLine="1304"/>
        <w:spacing w:after="0" w:line="283" w:lineRule="auto"/>
        <w:tabs>
          <w:tab w:leader="none" w:pos="1641" w:val="left"/>
        </w:tabs>
        <w:numPr>
          <w:ilvl w:val="0"/>
          <w:numId w:val="11"/>
        </w:numPr>
        <w:rPr>
          <w:rFonts w:ascii="Arial" w:cs="Arial" w:eastAsia="Arial" w:hAnsi="Arial"/>
          <w:sz w:val="16"/>
          <w:szCs w:val="16"/>
          <w:color w:val="010000"/>
        </w:rPr>
      </w:pPr>
      <w:r>
        <w:rPr>
          <w:rFonts w:ascii="Arial" w:cs="Arial" w:eastAsia="Arial" w:hAnsi="Arial"/>
          <w:sz w:val="16"/>
          <w:szCs w:val="16"/>
          <w:color w:val="auto"/>
        </w:rPr>
        <w:t>The Company and the Subsidiaries: (A) are and at all times have been in material compliance with all applicable Health Care Laws (as defined below) relating to the ownership, testing, development, manufacture, packaging, processing, use, distribution, marketing, labeling, promotion, sale, offer for sale, storage, import, export or disposal of any product under development, manufactured, marketed, sold or distributed by the Company or the Subsidiaries, (B) have not received any Form 483 from the U.S. Food and Drug Administration (“</w:t>
      </w:r>
      <w:r>
        <w:rPr>
          <w:rFonts w:ascii="Arial" w:cs="Arial" w:eastAsia="Arial" w:hAnsi="Arial"/>
          <w:sz w:val="16"/>
          <w:szCs w:val="16"/>
          <w:u w:val="single" w:color="auto"/>
          <w:color w:val="auto"/>
        </w:rPr>
        <w:t>FDA</w:t>
      </w:r>
      <w:r>
        <w:rPr>
          <w:rFonts w:ascii="Arial" w:cs="Arial" w:eastAsia="Arial" w:hAnsi="Arial"/>
          <w:sz w:val="16"/>
          <w:szCs w:val="16"/>
          <w:color w:val="auto"/>
        </w:rPr>
        <w:t>”), written notice of adverse finding, warning letter, or other written correspondence or notice from the FDA, the European Medicines Agency (the “</w:t>
      </w:r>
      <w:r>
        <w:rPr>
          <w:rFonts w:ascii="Arial" w:cs="Arial" w:eastAsia="Arial" w:hAnsi="Arial"/>
          <w:sz w:val="16"/>
          <w:szCs w:val="16"/>
          <w:u w:val="single" w:color="auto"/>
          <w:color w:val="auto"/>
        </w:rPr>
        <w:t>EMA</w:t>
      </w:r>
      <w:r>
        <w:rPr>
          <w:rFonts w:ascii="Arial" w:cs="Arial" w:eastAsia="Arial" w:hAnsi="Arial"/>
          <w:sz w:val="16"/>
          <w:szCs w:val="16"/>
          <w:color w:val="auto"/>
        </w:rPr>
        <w:t>”), or any other federal, state, local or foreign governmental or regulatory authority (each, a “</w:t>
      </w:r>
      <w:r>
        <w:rPr>
          <w:rFonts w:ascii="Arial" w:cs="Arial" w:eastAsia="Arial" w:hAnsi="Arial"/>
          <w:sz w:val="16"/>
          <w:szCs w:val="16"/>
          <w:u w:val="single" w:color="auto"/>
          <w:color w:val="auto"/>
        </w:rPr>
        <w:t>Regulatory Authority</w:t>
      </w:r>
      <w:r>
        <w:rPr>
          <w:rFonts w:ascii="Arial" w:cs="Arial" w:eastAsia="Arial" w:hAnsi="Arial"/>
          <w:sz w:val="16"/>
          <w:szCs w:val="16"/>
          <w:color w:val="auto"/>
        </w:rPr>
        <w:t>”) alleging or asserting noncompliance with any Health Care Laws or any licenses, certificates, approvals, clearances, authorizations, permits and supplements or amendments thereto required by any such Applicable Laws (“</w:t>
      </w:r>
      <w:r>
        <w:rPr>
          <w:rFonts w:ascii="Arial" w:cs="Arial" w:eastAsia="Arial" w:hAnsi="Arial"/>
          <w:sz w:val="16"/>
          <w:szCs w:val="16"/>
          <w:u w:val="single" w:color="auto"/>
          <w:color w:val="auto"/>
        </w:rPr>
        <w:t>Authorizations</w:t>
      </w:r>
      <w:r>
        <w:rPr>
          <w:rFonts w:ascii="Arial" w:cs="Arial" w:eastAsia="Arial" w:hAnsi="Arial"/>
          <w:sz w:val="16"/>
          <w:szCs w:val="16"/>
          <w:color w:val="auto"/>
        </w:rPr>
        <w:t>”), which would, individually or in the aggregate, result in a Material Adverse Effect, (C) possess all Authorizations material to the Company and such Authorizations are valid and in full force and effect and neither the Company nor the Subsidiaries is in violation of any term of any such Authorizations; (D) have not received written notice of any material claim, action, suit, proceeding, hearing, enforcement, investigation, arbitration or other action from any Regulatory Authority or third party alleging that any Company product, operation or activity is in violation of any applicable Health Care Laws or Authorizations and has no knowledge that any Regulatory Authority or third party is considering any such claim, litigation, arbitration, action, suit, investigation or proceeding against the Company; (E) have not received written notice that any Regulatory Authority has taken, is taking or, to the knowledge of the Company, intends to take action to limit, suspend, modify or revoke any Authorizations material to the Company and has no knowledge that any Regulatory Authority is considering such action; (F) have filed, obtained, maintained or submitted all reports, documents, forms, notices, applications, records, claims, submissions and supplements or amendments as required by any applicable Health Care Laws or Authorizations, except where the failure to file such reports, documents, forms, notices, applications, records, claims, submissions and supplements or amendments would not result in a Material Adverse Effect, and that all such reports, documents, forms, notices, applications, records, claims, submissions and supplements or amendments were complete and correct on the date filed (or were corrected or supplemented by a subsequent submission); and (G) have not initiated any recalls, field notifications, field corrections, market withdrawals or replacements, warnings, “dear doctor” letters, investigator notices, safety alerts or other notice of action relating to an alleged lack of safety, efficacy, or regulatory compliance of any product marketed by the Company or any Subsidiary. For purposes of this Agreement, “</w:t>
      </w:r>
      <w:r>
        <w:rPr>
          <w:rFonts w:ascii="Arial" w:cs="Arial" w:eastAsia="Arial" w:hAnsi="Arial"/>
          <w:sz w:val="16"/>
          <w:szCs w:val="16"/>
          <w:u w:val="single" w:color="auto"/>
          <w:color w:val="auto"/>
        </w:rPr>
        <w:t>Health Care Laws</w:t>
      </w:r>
      <w:r>
        <w:rPr>
          <w:rFonts w:ascii="Arial" w:cs="Arial" w:eastAsia="Arial" w:hAnsi="Arial"/>
          <w:sz w:val="16"/>
          <w:szCs w:val="16"/>
          <w:color w:val="auto"/>
        </w:rPr>
        <w:t>” means: (i) the Federal Food, Drug, and Cosmetic Act and the regulations promulgated thereunder; (ii) all applicable federal, state, local and all applicable foreign health care related fraud and abuse laws, including, without limitation, the U.S. Anti-Kickback Statute (42 U.S.C. Section 1320a-7b(b)), the U.S. Physician Payment Sunshine Act (42 U.S.C. § 1320a-7h), the U.S. Civil False Claims Act (31 U.S.C. Section 3729 et seq.), the criminal False Claims Law (42 U.S.C. § 1320a-7b(a)), all criminal laws relating to health care fraud and abuse, including but not limited to 18 U.S.C. Sections 286 and 287, and the health care fraud criminal provisions under the U.S. Health Insurance Portability and Accountability Act of 1996 (“HIPAA”) (42 U.S.C. Section 1320d et seq.), the exclusion laws (42 U.S.C. § 1320a-7), the civil monetary penalties law (42 U.S.C. § 1320a-7a), the statutes, regulations and directives of applicable government funded or sponsored healthcare programs, and the regulations promulgated pursuant to such statutes; (iii) HIPAA, as amended by the Health Information Technology for Economic and Clinical Health Act (42 U.S.C. Section 17921 et seq.), and the regulations promulgated thereunder and any state or non-U.S. counterpart thereof or other law or regulation the purpose of which is to protect the privacy of individuals or prescribers; (iv) Medicare (Title XVIII of the Social Security Act); (v) Medicaid (Title XIX of the Social Security Act); and (vi) any and all other applicable health care laws and regulations.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3" w:name="page14"/>
    <w:bookmarkEnd w:id="13"/>
    <w:p>
      <w:pPr>
        <w:jc w:val="both"/>
        <w:ind w:firstLine="1304"/>
        <w:spacing w:after="0" w:line="269" w:lineRule="auto"/>
        <w:tabs>
          <w:tab w:leader="none" w:pos="1620" w:val="left"/>
        </w:tabs>
        <w:numPr>
          <w:ilvl w:val="0"/>
          <w:numId w:val="12"/>
        </w:numPr>
        <w:rPr>
          <w:rFonts w:ascii="Arial" w:cs="Arial" w:eastAsia="Arial" w:hAnsi="Arial"/>
          <w:sz w:val="17"/>
          <w:szCs w:val="17"/>
          <w:color w:val="010000"/>
        </w:rPr>
      </w:pPr>
      <w:r>
        <w:rPr>
          <w:rFonts w:ascii="Arial" w:cs="Arial" w:eastAsia="Arial" w:hAnsi="Arial"/>
          <w:sz w:val="17"/>
          <w:szCs w:val="17"/>
          <w:color w:val="auto"/>
        </w:rPr>
        <w:t>All animal and other preclinical studies and clinical trials conducted by the Company or on behalf of the Company were, and, if still pending are, to the Company’s knowledge, being conducted in all material respects in compliance with all applicable Health Care Laws and in accordance with experimental protocols, procedures and controls generally used by qualified experts in the preclinical study and clinical trials of new drugs and biologics as applied to comparable products to those being developed by the Company applicable, except where such noncompliance would not reasonably be expected to have a Material Adverse Effect; the descriptions of the results of such preclinical studies and clinical trials contained in the Registration Statement, the General Disclosure Package and the Prospectus are accurate in all material respects, and the Company has no knowledge of any other clinical trials or preclinical studies, the results of which reasonably call into question the clinical trial or preclinical study results described or referred to in the Registration Statement, the General Disclosure Package and the Prospectus when viewed in the context in which such results are described; and the Company has not received any written notices or correspondence from the FDA, the EMA, or any other domestic or foreign governmental agency requiring the termination or suspension of any preclinical studies or clinical trials conducted by or on behalf of the Company that are described in the Registration Statement, the General Disclosure Package and the Prospectus or the results of which are referred to in the Registration Statement, the General Disclosure Package and the Prospectus.</w:t>
      </w:r>
    </w:p>
    <w:p>
      <w:pPr>
        <w:spacing w:after="0" w:line="178" w:lineRule="exact"/>
        <w:rPr>
          <w:rFonts w:ascii="Arial" w:cs="Arial" w:eastAsia="Arial" w:hAnsi="Arial"/>
          <w:sz w:val="17"/>
          <w:szCs w:val="17"/>
          <w:color w:val="010000"/>
        </w:rPr>
      </w:pPr>
    </w:p>
    <w:p>
      <w:pPr>
        <w:jc w:val="both"/>
        <w:ind w:firstLine="1304"/>
        <w:spacing w:after="0" w:line="257" w:lineRule="auto"/>
        <w:tabs>
          <w:tab w:leader="none" w:pos="1654" w:val="left"/>
        </w:tabs>
        <w:numPr>
          <w:ilvl w:val="0"/>
          <w:numId w:val="12"/>
        </w:numPr>
        <w:rPr>
          <w:rFonts w:ascii="Arial" w:cs="Arial" w:eastAsia="Arial" w:hAnsi="Arial"/>
          <w:sz w:val="18"/>
          <w:szCs w:val="18"/>
          <w:color w:val="010000"/>
        </w:rPr>
      </w:pPr>
      <w:r>
        <w:rPr>
          <w:rFonts w:ascii="Arial" w:cs="Arial" w:eastAsia="Arial" w:hAnsi="Arial"/>
          <w:sz w:val="18"/>
          <w:szCs w:val="18"/>
          <w:color w:val="auto"/>
        </w:rPr>
        <w:t>The Company has established and administers a compliance program applicable to the Company, to assist the Company and the directors, officers and employees of the Company in complying with applicable regulatory guidelines (including, without limitation, those administered by the FDA, the EMA, and any other foreign, federal, state or local governmental or regulatory authority having jurisdiction over the Company and performing functions similar to those performed by the FDA or EMA); except where such noncompliance would not reasonably be expected to have a Material Adverse Effect.</w:t>
      </w:r>
    </w:p>
    <w:p>
      <w:pPr>
        <w:spacing w:after="0" w:line="187" w:lineRule="exact"/>
        <w:rPr>
          <w:rFonts w:ascii="Arial" w:cs="Arial" w:eastAsia="Arial" w:hAnsi="Arial"/>
          <w:sz w:val="18"/>
          <w:szCs w:val="18"/>
          <w:color w:val="010000"/>
        </w:rPr>
      </w:pPr>
    </w:p>
    <w:p>
      <w:pPr>
        <w:jc w:val="both"/>
        <w:ind w:firstLine="1304"/>
        <w:spacing w:after="0" w:line="269" w:lineRule="auto"/>
        <w:tabs>
          <w:tab w:leader="none" w:pos="1634" w:val="left"/>
        </w:tabs>
        <w:numPr>
          <w:ilvl w:val="0"/>
          <w:numId w:val="12"/>
        </w:numPr>
        <w:rPr>
          <w:rFonts w:ascii="Arial" w:cs="Arial" w:eastAsia="Arial" w:hAnsi="Arial"/>
          <w:sz w:val="17"/>
          <w:szCs w:val="17"/>
          <w:color w:val="010000"/>
        </w:rPr>
      </w:pPr>
      <w:r>
        <w:rPr>
          <w:rFonts w:ascii="Arial" w:cs="Arial" w:eastAsia="Arial" w:hAnsi="Arial"/>
          <w:sz w:val="17"/>
          <w:szCs w:val="17"/>
          <w:color w:val="auto"/>
        </w:rPr>
        <w:t>Each of the Company and its Subsidiaries maintains a system of internal accounting and other controls (A) sufficient to provide reasonable assurances that (i) transactions are executed in accordance with management’s general or specific authorizations; (ii) transactions are recorded as necessary to permit preparation of financial statements in conformity with GAAP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 and (B) which are effective in all material respects to perform the functions for which they were established. Except as described in the General Disclosure Package, since the end of the Company’s most recent audited fiscal year, there has been (A) no material weakness or significant deficiencies in the Company’s internal control over financial reporting (whether or not remediated), (B) no change in the Company’s internal control over financial reporting that has materially affected, or is reasonably likely to materially affect, the Company’s internal control over financial reporting, and (C) no fraud, whether or not material, that involves management or other employees who have a significant role in the Company’s internal control over financial reporting.</w:t>
      </w:r>
    </w:p>
    <w:p>
      <w:pPr>
        <w:spacing w:after="0" w:line="185" w:lineRule="exact"/>
        <w:rPr>
          <w:rFonts w:ascii="Arial" w:cs="Arial" w:eastAsia="Arial" w:hAnsi="Arial"/>
          <w:sz w:val="17"/>
          <w:szCs w:val="17"/>
          <w:color w:val="010000"/>
        </w:rPr>
      </w:pPr>
    </w:p>
    <w:p>
      <w:pPr>
        <w:jc w:val="both"/>
        <w:ind w:firstLine="1304"/>
        <w:spacing w:after="0" w:line="259" w:lineRule="auto"/>
        <w:tabs>
          <w:tab w:leader="none" w:pos="1591" w:val="left"/>
        </w:tabs>
        <w:numPr>
          <w:ilvl w:val="0"/>
          <w:numId w:val="12"/>
        </w:numPr>
        <w:rPr>
          <w:rFonts w:ascii="Arial" w:cs="Arial" w:eastAsia="Arial" w:hAnsi="Arial"/>
          <w:sz w:val="18"/>
          <w:szCs w:val="18"/>
          <w:color w:val="010000"/>
        </w:rPr>
      </w:pPr>
      <w:r>
        <w:rPr>
          <w:rFonts w:ascii="Arial" w:cs="Arial" w:eastAsia="Arial" w:hAnsi="Arial"/>
          <w:sz w:val="18"/>
          <w:szCs w:val="18"/>
          <w:color w:val="auto"/>
        </w:rPr>
        <w:t>No relationship, direct or indirect, exists between or among the Company and any of its Subsidiaries, on the one hand, and the directors, officers, stockholders (or analogous interest holders), customers or suppliers of the Company or any of its Subsidiaries or any of their affiliates, on the other hand, which is required to be described in the General Disclosure Package or the Prospectus or a document incorporated by reference therein and which is not so described.</w:t>
      </w:r>
    </w:p>
    <w:p>
      <w:pPr>
        <w:spacing w:after="0" w:line="186" w:lineRule="exact"/>
        <w:rPr>
          <w:rFonts w:ascii="Arial" w:cs="Arial" w:eastAsia="Arial" w:hAnsi="Arial"/>
          <w:sz w:val="18"/>
          <w:szCs w:val="18"/>
          <w:color w:val="010000"/>
        </w:rPr>
      </w:pPr>
    </w:p>
    <w:p>
      <w:pPr>
        <w:jc w:val="both"/>
        <w:ind w:firstLine="1304"/>
        <w:spacing w:after="0" w:line="271" w:lineRule="auto"/>
        <w:tabs>
          <w:tab w:leader="none" w:pos="1668" w:val="left"/>
        </w:tabs>
        <w:numPr>
          <w:ilvl w:val="0"/>
          <w:numId w:val="12"/>
        </w:numPr>
        <w:rPr>
          <w:rFonts w:ascii="Arial" w:cs="Arial" w:eastAsia="Arial" w:hAnsi="Arial"/>
          <w:sz w:val="17"/>
          <w:szCs w:val="17"/>
          <w:color w:val="010000"/>
        </w:rPr>
      </w:pPr>
      <w:r>
        <w:rPr>
          <w:rFonts w:ascii="Arial" w:cs="Arial" w:eastAsia="Arial" w:hAnsi="Arial"/>
          <w:sz w:val="17"/>
          <w:szCs w:val="17"/>
          <w:color w:val="auto"/>
        </w:rPr>
        <w:t>Neither the Company nor any of its Subsidiaries, nor, to the knowledge of the Company, any of its directors, officers, agents, employees, affiliates or other person acting on their behalf is aware of or has taken any action, directly or indirectly, that has violated or would result in a violation by such persons of the Foreign Corrupt Practices Act of 1977, as amended, and the rules and regulations thereunder (the “</w:t>
      </w:r>
      <w:r>
        <w:rPr>
          <w:rFonts w:ascii="Arial" w:cs="Arial" w:eastAsia="Arial" w:hAnsi="Arial"/>
          <w:sz w:val="17"/>
          <w:szCs w:val="17"/>
          <w:b w:val="1"/>
          <w:bCs w:val="1"/>
          <w:color w:val="auto"/>
        </w:rPr>
        <w:t>FCPA</w:t>
      </w:r>
      <w:r>
        <w:rPr>
          <w:rFonts w:ascii="Arial" w:cs="Arial" w:eastAsia="Arial" w:hAnsi="Arial"/>
          <w:sz w:val="17"/>
          <w:szCs w:val="17"/>
          <w:color w:val="auto"/>
        </w:rPr>
        <w:t>”),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The Company and its Subsidiaries have instituted and maintain policies and procedures designed to ensure, and which are reasonably expected to continue to ensure, continued compliance therewith.</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4" w:name="page15"/>
    <w:bookmarkEnd w:id="14"/>
    <w:p>
      <w:pPr>
        <w:jc w:val="both"/>
        <w:ind w:firstLine="1296"/>
        <w:spacing w:after="0" w:line="255" w:lineRule="auto"/>
        <w:rPr>
          <w:sz w:val="20"/>
          <w:szCs w:val="20"/>
          <w:color w:val="auto"/>
        </w:rPr>
      </w:pPr>
      <w:r>
        <w:rPr>
          <w:rFonts w:ascii="Arial" w:cs="Arial" w:eastAsia="Arial" w:hAnsi="Arial"/>
          <w:sz w:val="18"/>
          <w:szCs w:val="18"/>
          <w:color w:val="010000"/>
        </w:rPr>
        <w:t>(hh)</w:t>
      </w:r>
      <w:r>
        <w:rPr>
          <w:rFonts w:ascii="Arial" w:cs="Arial" w:eastAsia="Arial" w:hAnsi="Arial"/>
          <w:sz w:val="18"/>
          <w:szCs w:val="18"/>
          <w:color w:val="000000"/>
        </w:rPr>
        <w:t>The operations of the Company and its Subsidiaries are and have been conducted at all times, in compliance with applicable financial</w:t>
      </w:r>
      <w:r>
        <w:rPr>
          <w:rFonts w:ascii="Arial" w:cs="Arial" w:eastAsia="Arial" w:hAnsi="Arial"/>
          <w:sz w:val="18"/>
          <w:szCs w:val="18"/>
          <w:color w:val="010000"/>
        </w:rPr>
        <w:t xml:space="preserve"> </w:t>
      </w:r>
      <w:r>
        <w:rPr>
          <w:rFonts w:ascii="Arial" w:cs="Arial" w:eastAsia="Arial" w:hAnsi="Arial"/>
          <w:sz w:val="18"/>
          <w:szCs w:val="18"/>
          <w:color w:val="000000"/>
        </w:rPr>
        <w:t>recordkeeping and reporting requirements of the Currency and Foreign Transactions Reporting Act of 1970, as amended, the money laundering statutes of all applicable jurisdictions, the rules and regulations thereunder and any related or similar applicable rules, regulations or guidelines, issued, administered or enforced by any governmental agency (collectively, the “</w:t>
      </w:r>
      <w:r>
        <w:rPr>
          <w:rFonts w:ascii="Arial" w:cs="Arial" w:eastAsia="Arial" w:hAnsi="Arial"/>
          <w:sz w:val="18"/>
          <w:szCs w:val="18"/>
          <w:b w:val="1"/>
          <w:bCs w:val="1"/>
          <w:color w:val="000000"/>
        </w:rPr>
        <w:t>Money Laundering Laws</w:t>
      </w:r>
      <w:r>
        <w:rPr>
          <w:rFonts w:ascii="Arial" w:cs="Arial" w:eastAsia="Arial" w:hAnsi="Arial"/>
          <w:sz w:val="18"/>
          <w:szCs w:val="18"/>
          <w:color w:val="000000"/>
        </w:rPr>
        <w:t>”)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192" w:lineRule="exact"/>
        <w:rPr>
          <w:sz w:val="20"/>
          <w:szCs w:val="20"/>
          <w:color w:val="auto"/>
        </w:rPr>
      </w:pPr>
    </w:p>
    <w:p>
      <w:pPr>
        <w:jc w:val="both"/>
        <w:ind w:firstLine="1304"/>
        <w:spacing w:after="0" w:line="259" w:lineRule="auto"/>
        <w:tabs>
          <w:tab w:leader="none" w:pos="1574" w:val="left"/>
        </w:tabs>
        <w:numPr>
          <w:ilvl w:val="0"/>
          <w:numId w:val="13"/>
        </w:numPr>
        <w:rPr>
          <w:rFonts w:ascii="Arial" w:cs="Arial" w:eastAsia="Arial" w:hAnsi="Arial"/>
          <w:sz w:val="18"/>
          <w:szCs w:val="18"/>
          <w:color w:val="010000"/>
        </w:rPr>
      </w:pPr>
      <w:r>
        <w:rPr>
          <w:rFonts w:ascii="Arial" w:cs="Arial" w:eastAsia="Arial" w:hAnsi="Arial"/>
          <w:sz w:val="18"/>
          <w:szCs w:val="18"/>
          <w:color w:val="auto"/>
        </w:rPr>
        <w:t>Neither the Company nor any of its Subsidiaries is currently subject to any U.S. sanctions administered by the Office of Foreign Assets Control of the U.S. Treasury Department (“</w:t>
      </w:r>
      <w:r>
        <w:rPr>
          <w:rFonts w:ascii="Arial" w:cs="Arial" w:eastAsia="Arial" w:hAnsi="Arial"/>
          <w:sz w:val="18"/>
          <w:szCs w:val="18"/>
          <w:b w:val="1"/>
          <w:bCs w:val="1"/>
          <w:color w:val="auto"/>
        </w:rPr>
        <w:t>OFAC</w:t>
      </w:r>
      <w:r>
        <w:rPr>
          <w:rFonts w:ascii="Arial" w:cs="Arial" w:eastAsia="Arial" w:hAnsi="Arial"/>
          <w:sz w:val="18"/>
          <w:szCs w:val="18"/>
          <w:color w:val="auto"/>
        </w:rPr>
        <w:t>”); and the Company will not directly or indirectly use the proceeds of this Offering, or lend, contribute or otherwise make available such proceeds to any Subsidiary, joint venture partner or other person or entity, for the purpose of financing the activities of any person currently subject to any U.S. sanctions administered by OFAC.</w:t>
      </w:r>
    </w:p>
    <w:p>
      <w:pPr>
        <w:spacing w:after="0" w:line="186" w:lineRule="exact"/>
        <w:rPr>
          <w:rFonts w:ascii="Arial" w:cs="Arial" w:eastAsia="Arial" w:hAnsi="Arial"/>
          <w:sz w:val="18"/>
          <w:szCs w:val="18"/>
          <w:color w:val="010000"/>
        </w:rPr>
      </w:pPr>
    </w:p>
    <w:p>
      <w:pPr>
        <w:ind w:firstLine="1304"/>
        <w:spacing w:after="0" w:line="308" w:lineRule="auto"/>
        <w:tabs>
          <w:tab w:leader="none" w:pos="1561" w:val="left"/>
        </w:tabs>
        <w:numPr>
          <w:ilvl w:val="0"/>
          <w:numId w:val="13"/>
        </w:numPr>
        <w:rPr>
          <w:rFonts w:ascii="Arial" w:cs="Arial" w:eastAsia="Arial" w:hAnsi="Arial"/>
          <w:sz w:val="17"/>
          <w:szCs w:val="17"/>
          <w:color w:val="010000"/>
        </w:rPr>
      </w:pPr>
      <w:r>
        <w:rPr>
          <w:rFonts w:ascii="Arial" w:cs="Arial" w:eastAsia="Arial" w:hAnsi="Arial"/>
          <w:sz w:val="17"/>
          <w:szCs w:val="17"/>
          <w:color w:val="auto"/>
        </w:rPr>
        <w:t>No person or entity has the right to require registration of any securities of the Company or any of its Subsidiaries under the Securities Act because of the filing or effectiveness of the Registration Statement, except as set forth therein or in the General Disclosure Package.</w:t>
      </w:r>
    </w:p>
    <w:p>
      <w:pPr>
        <w:spacing w:after="0" w:line="146" w:lineRule="exact"/>
        <w:rPr>
          <w:rFonts w:ascii="Arial" w:cs="Arial" w:eastAsia="Arial" w:hAnsi="Arial"/>
          <w:sz w:val="17"/>
          <w:szCs w:val="17"/>
          <w:color w:val="010000"/>
        </w:rPr>
      </w:pPr>
    </w:p>
    <w:p>
      <w:pPr>
        <w:jc w:val="both"/>
        <w:ind w:firstLine="1304"/>
        <w:spacing w:after="0" w:line="259" w:lineRule="auto"/>
        <w:tabs>
          <w:tab w:leader="none" w:pos="1641" w:val="left"/>
        </w:tabs>
        <w:numPr>
          <w:ilvl w:val="0"/>
          <w:numId w:val="13"/>
        </w:numPr>
        <w:rPr>
          <w:rFonts w:ascii="Arial" w:cs="Arial" w:eastAsia="Arial" w:hAnsi="Arial"/>
          <w:sz w:val="18"/>
          <w:szCs w:val="18"/>
          <w:color w:val="010000"/>
        </w:rPr>
      </w:pPr>
      <w:r>
        <w:rPr>
          <w:rFonts w:ascii="Arial" w:cs="Arial" w:eastAsia="Arial" w:hAnsi="Arial"/>
          <w:sz w:val="18"/>
          <w:szCs w:val="18"/>
          <w:color w:val="auto"/>
        </w:rPr>
        <w:t>Neither the Company nor any of its Subsidiaries is a party to any contract, agreement or understanding with any person (other than this Agreement) that would give rise to a valid claim against the Company or the Underwriters for a brokerage commission, finder’s fee or like payment in connection with the Offering or any transaction contemplated by this Agreement, the Registration Statement, the General Disclosure Package or the Prospectus.</w:t>
      </w:r>
    </w:p>
    <w:p>
      <w:pPr>
        <w:spacing w:after="0" w:line="18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010000"/>
        </w:rPr>
        <w:t>(ll)</w:t>
      </w:r>
      <w:r>
        <w:rPr>
          <w:rFonts w:ascii="Arial" w:cs="Arial" w:eastAsia="Arial" w:hAnsi="Arial"/>
          <w:sz w:val="18"/>
          <w:szCs w:val="18"/>
          <w:color w:val="000000"/>
        </w:rPr>
        <w:t>No forward-looking statement (within the meaning of Section 27A of the Securities Act and Section 21E of the Exchange Act)</w:t>
      </w:r>
      <w:r>
        <w:rPr>
          <w:rFonts w:ascii="Arial" w:cs="Arial" w:eastAsia="Arial" w:hAnsi="Arial"/>
          <w:sz w:val="18"/>
          <w:szCs w:val="18"/>
          <w:color w:val="010000"/>
        </w:rPr>
        <w:t xml:space="preserve"> </w:t>
      </w:r>
      <w:r>
        <w:rPr>
          <w:rFonts w:ascii="Arial" w:cs="Arial" w:eastAsia="Arial" w:hAnsi="Arial"/>
          <w:sz w:val="18"/>
          <w:szCs w:val="18"/>
          <w:color w:val="000000"/>
        </w:rPr>
        <w:t>contained in either the General Disclosure Package or the Prospectus has been made or reaffirmed without a reasonable basis or has been disclosed other than in good faith.</w:t>
      </w:r>
    </w:p>
    <w:p>
      <w:pPr>
        <w:spacing w:after="0" w:line="184" w:lineRule="exact"/>
        <w:rPr>
          <w:sz w:val="20"/>
          <w:szCs w:val="20"/>
          <w:color w:val="auto"/>
        </w:rPr>
      </w:pPr>
    </w:p>
    <w:p>
      <w:pPr>
        <w:jc w:val="both"/>
        <w:ind w:firstLine="1304"/>
        <w:spacing w:after="0" w:line="291" w:lineRule="auto"/>
        <w:tabs>
          <w:tab w:leader="none" w:pos="1754" w:val="left"/>
        </w:tabs>
        <w:numPr>
          <w:ilvl w:val="1"/>
          <w:numId w:val="14"/>
        </w:numPr>
        <w:rPr>
          <w:rFonts w:ascii="Arial" w:cs="Arial" w:eastAsia="Arial" w:hAnsi="Arial"/>
          <w:sz w:val="16"/>
          <w:szCs w:val="16"/>
          <w:color w:val="010000"/>
        </w:rPr>
      </w:pPr>
      <w:r>
        <w:rPr>
          <w:rFonts w:ascii="Arial" w:cs="Arial" w:eastAsia="Arial" w:hAnsi="Arial"/>
          <w:sz w:val="16"/>
          <w:szCs w:val="16"/>
          <w:color w:val="auto"/>
        </w:rPr>
        <w:t>The Company is subject to, and in compliance in all material respects with, the reporting requirements of Section 13 or Section 15(d) of the Exchange Act. As of the filing date of the Registration Statement and as of any update of the Registration Statement pursuant to Section 10(a)</w:t>
      </w:r>
    </w:p>
    <w:p>
      <w:pPr>
        <w:ind w:firstLine="8"/>
        <w:spacing w:after="0" w:line="260" w:lineRule="auto"/>
        <w:tabs>
          <w:tab w:leader="none" w:pos="26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of the Securities Act (including the filing of any Annual Report on Form 10-K), the Company was eligible to file a “shelf” Registration Statement on Form S-3 with the Commission.</w:t>
      </w:r>
    </w:p>
    <w:p>
      <w:pPr>
        <w:spacing w:after="0" w:line="185" w:lineRule="exact"/>
        <w:rPr>
          <w:rFonts w:ascii="Arial" w:cs="Arial" w:eastAsia="Arial" w:hAnsi="Arial"/>
          <w:sz w:val="18"/>
          <w:szCs w:val="18"/>
          <w:color w:val="auto"/>
        </w:rPr>
      </w:pPr>
    </w:p>
    <w:p>
      <w:pPr>
        <w:ind w:right="20" w:firstLine="1304"/>
        <w:spacing w:after="0" w:line="277" w:lineRule="auto"/>
        <w:tabs>
          <w:tab w:leader="none" w:pos="1654" w:val="left"/>
        </w:tabs>
        <w:numPr>
          <w:ilvl w:val="1"/>
          <w:numId w:val="15"/>
        </w:numPr>
        <w:rPr>
          <w:rFonts w:ascii="Arial" w:cs="Arial" w:eastAsia="Arial" w:hAnsi="Arial"/>
          <w:sz w:val="18"/>
          <w:szCs w:val="18"/>
          <w:color w:val="010000"/>
        </w:rPr>
      </w:pPr>
      <w:r>
        <w:rPr>
          <w:rFonts w:ascii="Arial" w:cs="Arial" w:eastAsia="Arial" w:hAnsi="Arial"/>
          <w:sz w:val="18"/>
          <w:szCs w:val="18"/>
          <w:color w:val="auto"/>
        </w:rPr>
        <w:t>The Company is in compliance in all material respects with all applicable provisions of the Sarbanes-Oxley Act of 2002 and all applicable rules and regulations promulgated thereunder or is implementing the provisions thereof that are currently in effect.</w:t>
      </w:r>
    </w:p>
    <w:p>
      <w:pPr>
        <w:spacing w:after="0" w:line="170"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010000"/>
        </w:rPr>
        <w:t>(oo)</w:t>
      </w:r>
      <w:r>
        <w:rPr>
          <w:rFonts w:ascii="Arial" w:cs="Arial" w:eastAsia="Arial" w:hAnsi="Arial"/>
          <w:sz w:val="18"/>
          <w:szCs w:val="18"/>
          <w:color w:val="000000"/>
        </w:rPr>
        <w:t>The statistical and market-related data included in the General Disclosure Package are based on or derived from sources that the</w:t>
      </w:r>
      <w:r>
        <w:rPr>
          <w:rFonts w:ascii="Arial" w:cs="Arial" w:eastAsia="Arial" w:hAnsi="Arial"/>
          <w:sz w:val="18"/>
          <w:szCs w:val="18"/>
          <w:color w:val="010000"/>
        </w:rPr>
        <w:t xml:space="preserve"> </w:t>
      </w:r>
      <w:r>
        <w:rPr>
          <w:rFonts w:ascii="Arial" w:cs="Arial" w:eastAsia="Arial" w:hAnsi="Arial"/>
          <w:sz w:val="18"/>
          <w:szCs w:val="18"/>
          <w:color w:val="000000"/>
        </w:rPr>
        <w:t>Company believes to be reliable and accurate, and such data agree with the sources from which they are derived.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5" w:name="page16"/>
    <w:bookmarkEnd w:id="15"/>
    <w:p>
      <w:pPr>
        <w:jc w:val="both"/>
        <w:ind w:firstLine="1296"/>
        <w:spacing w:after="0" w:line="255" w:lineRule="auto"/>
        <w:rPr>
          <w:sz w:val="20"/>
          <w:szCs w:val="20"/>
          <w:color w:val="auto"/>
        </w:rPr>
      </w:pPr>
      <w:r>
        <w:rPr>
          <w:rFonts w:ascii="Arial" w:cs="Arial" w:eastAsia="Arial" w:hAnsi="Arial"/>
          <w:sz w:val="18"/>
          <w:szCs w:val="18"/>
          <w:color w:val="010000"/>
        </w:rPr>
        <w:t>(pp)</w:t>
      </w:r>
      <w:r>
        <w:rPr>
          <w:rFonts w:ascii="Arial" w:cs="Arial" w:eastAsia="Arial" w:hAnsi="Arial"/>
          <w:sz w:val="18"/>
          <w:szCs w:val="18"/>
          <w:color w:val="000000"/>
        </w:rPr>
        <w:t>Except as otherwise disclosed in the General Disclosure Package, each of the Company and its Subsidiaries possesses such valid and</w:t>
      </w:r>
      <w:r>
        <w:rPr>
          <w:rFonts w:ascii="Arial" w:cs="Arial" w:eastAsia="Arial" w:hAnsi="Arial"/>
          <w:sz w:val="18"/>
          <w:szCs w:val="18"/>
          <w:color w:val="010000"/>
        </w:rPr>
        <w:t xml:space="preserve"> </w:t>
      </w:r>
      <w:r>
        <w:rPr>
          <w:rFonts w:ascii="Arial" w:cs="Arial" w:eastAsia="Arial" w:hAnsi="Arial"/>
          <w:sz w:val="18"/>
          <w:szCs w:val="18"/>
          <w:color w:val="000000"/>
        </w:rPr>
        <w:t>current material certificates, authorizations or permits issued by the appropriate state, federal or foreign regulatory agencies or bodies necessary to conduct their respective businesses, and neither the Company nor any Subsidiary of the Company has received, or has any reason to believe that it will receive, any notice of proceedings relating to the revocation or modification of, or non-compliance with, any such certificate, authorization or permit which, individually or in the aggregate, if the subject of an unfavorable decision, ruling or finding, would reasonably be expected to result in a Material Adverse Effect.</w:t>
      </w:r>
    </w:p>
    <w:p>
      <w:pPr>
        <w:spacing w:after="0" w:line="192" w:lineRule="exact"/>
        <w:rPr>
          <w:sz w:val="20"/>
          <w:szCs w:val="20"/>
          <w:color w:val="auto"/>
        </w:rPr>
      </w:pPr>
    </w:p>
    <w:p>
      <w:pPr>
        <w:jc w:val="both"/>
        <w:ind w:firstLine="1304"/>
        <w:spacing w:after="0" w:line="286" w:lineRule="auto"/>
        <w:tabs>
          <w:tab w:leader="none" w:pos="1641" w:val="left"/>
        </w:tabs>
        <w:numPr>
          <w:ilvl w:val="0"/>
          <w:numId w:val="16"/>
        </w:numPr>
        <w:rPr>
          <w:rFonts w:ascii="Arial" w:cs="Arial" w:eastAsia="Arial" w:hAnsi="Arial"/>
          <w:sz w:val="17"/>
          <w:szCs w:val="17"/>
          <w:color w:val="010000"/>
        </w:rPr>
      </w:pPr>
      <w:r>
        <w:rPr>
          <w:rFonts w:ascii="Arial" w:cs="Arial" w:eastAsia="Arial" w:hAnsi="Arial"/>
          <w:sz w:val="17"/>
          <w:szCs w:val="17"/>
          <w:color w:val="auto"/>
        </w:rPr>
        <w:t>Each of the Company and its Subsidiaries has filed all material federal, state and foreign income and franchise tax returns or have properly requested extensions thereof and have paid all material taxes required to be paid by any of them and, if due and payable, any related or similar assessment, fine or penalty levied against any of them except as may be being contested in good faith and by appropriate proceedings.</w:t>
      </w:r>
    </w:p>
    <w:p>
      <w:pPr>
        <w:spacing w:after="0" w:line="165" w:lineRule="exact"/>
        <w:rPr>
          <w:rFonts w:ascii="Arial" w:cs="Arial" w:eastAsia="Arial" w:hAnsi="Arial"/>
          <w:sz w:val="17"/>
          <w:szCs w:val="17"/>
          <w:color w:val="010000"/>
        </w:rPr>
      </w:pPr>
    </w:p>
    <w:p>
      <w:pPr>
        <w:jc w:val="both"/>
        <w:ind w:firstLine="1304"/>
        <w:spacing w:after="0" w:line="263" w:lineRule="auto"/>
        <w:tabs>
          <w:tab w:leader="none" w:pos="1594" w:val="left"/>
        </w:tabs>
        <w:numPr>
          <w:ilvl w:val="0"/>
          <w:numId w:val="16"/>
        </w:numPr>
        <w:rPr>
          <w:rFonts w:ascii="Arial" w:cs="Arial" w:eastAsia="Arial" w:hAnsi="Arial"/>
          <w:sz w:val="18"/>
          <w:szCs w:val="18"/>
          <w:color w:val="010000"/>
        </w:rPr>
      </w:pPr>
      <w:r>
        <w:rPr>
          <w:rFonts w:ascii="Arial" w:cs="Arial" w:eastAsia="Arial" w:hAnsi="Arial"/>
          <w:sz w:val="18"/>
          <w:szCs w:val="18"/>
          <w:color w:val="auto"/>
        </w:rPr>
        <w:t>Except as set forth in the General Disclosure Package, neither the Company nor any Subsidiary directly or indirectly controls, is controlled by, or is under common control with, or is an associated person (within the meaning of Article I, Section 1(ee) of the By-laws of FINRA) of, any member firm of FINRA.</w:t>
      </w:r>
    </w:p>
    <w:p>
      <w:pPr>
        <w:spacing w:after="0" w:line="183" w:lineRule="exact"/>
        <w:rPr>
          <w:rFonts w:ascii="Arial" w:cs="Arial" w:eastAsia="Arial" w:hAnsi="Arial"/>
          <w:sz w:val="18"/>
          <w:szCs w:val="18"/>
          <w:color w:val="010000"/>
        </w:rPr>
      </w:pPr>
    </w:p>
    <w:p>
      <w:pPr>
        <w:ind w:right="20" w:firstLine="1304"/>
        <w:spacing w:after="0" w:line="277" w:lineRule="auto"/>
        <w:tabs>
          <w:tab w:leader="none" w:pos="1614" w:val="left"/>
        </w:tabs>
        <w:numPr>
          <w:ilvl w:val="0"/>
          <w:numId w:val="16"/>
        </w:numPr>
        <w:rPr>
          <w:rFonts w:ascii="Arial" w:cs="Arial" w:eastAsia="Arial" w:hAnsi="Arial"/>
          <w:sz w:val="18"/>
          <w:szCs w:val="18"/>
          <w:color w:val="010000"/>
        </w:rPr>
      </w:pPr>
      <w:r>
        <w:rPr>
          <w:rFonts w:ascii="Arial" w:cs="Arial" w:eastAsia="Arial" w:hAnsi="Arial"/>
          <w:sz w:val="18"/>
          <w:szCs w:val="18"/>
          <w:color w:val="auto"/>
        </w:rPr>
        <w:t>No approval of the stockholders of the Company under the rules and regulations of Nasdaq (including Rule 5635 of the Nasdaq Capital Rules) is required for the Company to issue and deliver the Notes.</w:t>
      </w:r>
    </w:p>
    <w:p>
      <w:pPr>
        <w:spacing w:after="0" w:line="170" w:lineRule="exact"/>
        <w:rPr>
          <w:rFonts w:ascii="Arial" w:cs="Arial" w:eastAsia="Arial" w:hAnsi="Arial"/>
          <w:sz w:val="18"/>
          <w:szCs w:val="18"/>
          <w:color w:val="010000"/>
        </w:rPr>
      </w:pPr>
    </w:p>
    <w:p>
      <w:pPr>
        <w:jc w:val="both"/>
        <w:ind w:firstLine="1304"/>
        <w:spacing w:after="0" w:line="259" w:lineRule="auto"/>
        <w:tabs>
          <w:tab w:leader="none" w:pos="1588" w:val="left"/>
        </w:tabs>
        <w:numPr>
          <w:ilvl w:val="0"/>
          <w:numId w:val="16"/>
        </w:numPr>
        <w:rPr>
          <w:rFonts w:ascii="Arial" w:cs="Arial" w:eastAsia="Arial" w:hAnsi="Arial"/>
          <w:sz w:val="18"/>
          <w:szCs w:val="18"/>
          <w:color w:val="010000"/>
        </w:rPr>
      </w:pPr>
      <w:r>
        <w:rPr>
          <w:rFonts w:ascii="Arial" w:cs="Arial" w:eastAsia="Arial" w:hAnsi="Arial"/>
          <w:sz w:val="18"/>
          <w:szCs w:val="18"/>
          <w:color w:val="auto"/>
        </w:rPr>
        <w:t>Except as described in the General Disclosure Package, the Company has not sold, issued or distributed any securities of the Company during the six-month period preceding the date hereof, including any sales pursuant to Rule 144A under, or Regulation D or S of, the Securities Act, other than shares of Common Stock issued pursuant to employee benefit plans, qualified equity compensation plans or other employee compensation plans or pursuant to outstanding options, rights or warrants.</w:t>
      </w:r>
    </w:p>
    <w:p>
      <w:pPr>
        <w:spacing w:after="0" w:line="186" w:lineRule="exact"/>
        <w:rPr>
          <w:rFonts w:ascii="Arial" w:cs="Arial" w:eastAsia="Arial" w:hAnsi="Arial"/>
          <w:sz w:val="18"/>
          <w:szCs w:val="18"/>
          <w:color w:val="010000"/>
        </w:rPr>
      </w:pPr>
    </w:p>
    <w:p>
      <w:pPr>
        <w:jc w:val="both"/>
        <w:ind w:firstLine="1304"/>
        <w:spacing w:after="0" w:line="255" w:lineRule="auto"/>
        <w:tabs>
          <w:tab w:leader="none" w:pos="1654" w:val="left"/>
        </w:tabs>
        <w:numPr>
          <w:ilvl w:val="0"/>
          <w:numId w:val="16"/>
        </w:numPr>
        <w:rPr>
          <w:rFonts w:ascii="Arial" w:cs="Arial" w:eastAsia="Arial" w:hAnsi="Arial"/>
          <w:sz w:val="18"/>
          <w:szCs w:val="18"/>
          <w:color w:val="010000"/>
        </w:rPr>
      </w:pPr>
      <w:r>
        <w:rPr>
          <w:rFonts w:ascii="Arial" w:cs="Arial" w:eastAsia="Arial" w:hAnsi="Arial"/>
          <w:sz w:val="18"/>
          <w:szCs w:val="18"/>
          <w:color w:val="auto"/>
        </w:rPr>
        <w:t>Except as otherwise disclosed in the General Disclosure Package, each of the Company and its Subsidiaries maintains insurance issued by nationally recognized insurers covering their respective properties, operations, personnel and businesses, with policies in such amounts and with such deductibles and covering such risks as the Company reasonably deems adequate. The Company has no reason to believe that it or any of its Subsidiaries will not be able (i) to renew its existing insurance coverage as and when such policies expire or (ii) to obtain comparable coverage from similar institutions as may be necessary or appropriate to conduct its business as now conducted and at a cost that would not result in a Material Adverse Effect.</w:t>
      </w:r>
    </w:p>
    <w:p>
      <w:pPr>
        <w:spacing w:after="0" w:line="192" w:lineRule="exact"/>
        <w:rPr>
          <w:rFonts w:ascii="Arial" w:cs="Arial" w:eastAsia="Arial" w:hAnsi="Arial"/>
          <w:sz w:val="18"/>
          <w:szCs w:val="18"/>
          <w:color w:val="010000"/>
        </w:rPr>
      </w:pPr>
    </w:p>
    <w:p>
      <w:pPr>
        <w:jc w:val="both"/>
        <w:ind w:firstLine="1304"/>
        <w:spacing w:after="0" w:line="259" w:lineRule="auto"/>
        <w:tabs>
          <w:tab w:leader="none" w:pos="1668" w:val="left"/>
        </w:tabs>
        <w:numPr>
          <w:ilvl w:val="0"/>
          <w:numId w:val="16"/>
        </w:numPr>
        <w:rPr>
          <w:rFonts w:ascii="Arial" w:cs="Arial" w:eastAsia="Arial" w:hAnsi="Arial"/>
          <w:sz w:val="18"/>
          <w:szCs w:val="18"/>
          <w:color w:val="010000"/>
        </w:rPr>
      </w:pPr>
      <w:r>
        <w:rPr>
          <w:rFonts w:ascii="Arial" w:cs="Arial" w:eastAsia="Arial" w:hAnsi="Arial"/>
          <w:sz w:val="18"/>
          <w:szCs w:val="18"/>
          <w:color w:val="auto"/>
        </w:rPr>
        <w:t>The Company nor, to the Company’s knowledge, any of its respective directors, officers or affiliates has not taken, directly or indirectly, any action designed to or that might be reasonably expected to cause or result in stabilization or manipulation of the price of any “reference security” (as defined in Rule 100 of Regulation M under the 1934 Act (“</w:t>
      </w:r>
      <w:r>
        <w:rPr>
          <w:rFonts w:ascii="Arial" w:cs="Arial" w:eastAsia="Arial" w:hAnsi="Arial"/>
          <w:sz w:val="18"/>
          <w:szCs w:val="18"/>
          <w:b w:val="1"/>
          <w:bCs w:val="1"/>
          <w:color w:val="auto"/>
        </w:rPr>
        <w:t>Regulation M</w:t>
      </w:r>
      <w:r>
        <w:rPr>
          <w:rFonts w:ascii="Arial" w:cs="Arial" w:eastAsia="Arial" w:hAnsi="Arial"/>
          <w:sz w:val="18"/>
          <w:szCs w:val="18"/>
          <w:color w:val="auto"/>
        </w:rPr>
        <w:t>”)), whether to facilitate the sale or resale of the Notes or otherwise, and has taken no action which would directly or indirectly violate Regulation M.</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6" w:name="page17"/>
    <w:bookmarkEnd w:id="16"/>
    <w:p>
      <w:pPr>
        <w:jc w:val="both"/>
        <w:ind w:firstLine="1304"/>
        <w:spacing w:after="0" w:line="259" w:lineRule="auto"/>
        <w:tabs>
          <w:tab w:leader="none" w:pos="1721" w:val="left"/>
        </w:tabs>
        <w:numPr>
          <w:ilvl w:val="1"/>
          <w:numId w:val="17"/>
        </w:numPr>
        <w:rPr>
          <w:rFonts w:ascii="Arial" w:cs="Arial" w:eastAsia="Arial" w:hAnsi="Arial"/>
          <w:sz w:val="18"/>
          <w:szCs w:val="18"/>
          <w:color w:val="010000"/>
        </w:rPr>
      </w:pPr>
      <w:r>
        <w:rPr>
          <w:rFonts w:ascii="Arial" w:cs="Arial" w:eastAsia="Arial" w:hAnsi="Arial"/>
          <w:sz w:val="18"/>
          <w:szCs w:val="18"/>
          <w:color w:val="auto"/>
        </w:rPr>
        <w:t xml:space="preserve">The Company has not distributed and will not distribute, prior to the later of (i) the expiration or termination of the option granted to the Underwriters in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and (ii) the completion of distribution of the Notes, any offering material in connection with the offering and sale of the Notes other than a preliminary prospectus, the Pricing Prospectus, the Prospectus, any free writing prospectus reviewed and consented to by the Representative, or the Registration Statement.</w:t>
      </w:r>
    </w:p>
    <w:p>
      <w:pPr>
        <w:spacing w:after="0" w:line="186" w:lineRule="exact"/>
        <w:rPr>
          <w:rFonts w:ascii="Arial" w:cs="Arial" w:eastAsia="Arial" w:hAnsi="Arial"/>
          <w:sz w:val="18"/>
          <w:szCs w:val="18"/>
          <w:color w:val="010000"/>
        </w:rPr>
      </w:pPr>
    </w:p>
    <w:p>
      <w:pPr>
        <w:ind w:firstLine="1304"/>
        <w:spacing w:after="0" w:line="277" w:lineRule="auto"/>
        <w:tabs>
          <w:tab w:leader="none" w:pos="1641" w:val="left"/>
        </w:tabs>
        <w:numPr>
          <w:ilvl w:val="1"/>
          <w:numId w:val="17"/>
        </w:numPr>
        <w:rPr>
          <w:rFonts w:ascii="Arial" w:cs="Arial" w:eastAsia="Arial" w:hAnsi="Arial"/>
          <w:sz w:val="18"/>
          <w:szCs w:val="18"/>
          <w:color w:val="010000"/>
        </w:rPr>
      </w:pPr>
      <w:r>
        <w:rPr>
          <w:rFonts w:ascii="Arial" w:cs="Arial" w:eastAsia="Arial" w:hAnsi="Arial"/>
          <w:sz w:val="18"/>
          <w:szCs w:val="18"/>
          <w:color w:val="auto"/>
        </w:rPr>
        <w:t>Any certificate signed by or on behalf of the Company and delivered to the Representative or to counsel for the Underwriters shall be deemed to be a representation and warranty by the Company to the Underwriters as to the matters covered thereby.</w:t>
      </w:r>
    </w:p>
    <w:p>
      <w:pPr>
        <w:spacing w:after="0" w:line="166" w:lineRule="exact"/>
        <w:rPr>
          <w:rFonts w:ascii="Arial" w:cs="Arial" w:eastAsia="Arial" w:hAnsi="Arial"/>
          <w:sz w:val="18"/>
          <w:szCs w:val="18"/>
          <w:color w:val="010000"/>
        </w:rPr>
      </w:pPr>
    </w:p>
    <w:p>
      <w:pPr>
        <w:ind w:left="840" w:hanging="184"/>
        <w:spacing w:after="0"/>
        <w:tabs>
          <w:tab w:leader="none" w:pos="8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The Closing</w:t>
      </w:r>
      <w:r>
        <w:rPr>
          <w:rFonts w:ascii="Arial" w:cs="Arial" w:eastAsia="Arial" w:hAnsi="Arial"/>
          <w:sz w:val="18"/>
          <w:szCs w:val="18"/>
          <w:u w:val="single" w:color="auto"/>
          <w:color w:val="auto"/>
        </w:rPr>
        <w:t>.</w:t>
      </w:r>
    </w:p>
    <w:p>
      <w:pPr>
        <w:spacing w:after="0" w:line="229" w:lineRule="exact"/>
        <w:rPr>
          <w:rFonts w:ascii="Arial" w:cs="Arial" w:eastAsia="Arial" w:hAnsi="Arial"/>
          <w:sz w:val="18"/>
          <w:szCs w:val="18"/>
          <w:b w:val="1"/>
          <w:bCs w:val="1"/>
          <w:color w:val="auto"/>
        </w:rPr>
      </w:pPr>
    </w:p>
    <w:p>
      <w:pPr>
        <w:jc w:val="both"/>
        <w:ind w:firstLine="1304"/>
        <w:spacing w:after="0" w:line="275" w:lineRule="auto"/>
        <w:tabs>
          <w:tab w:leader="none" w:pos="1540" w:val="left"/>
        </w:tabs>
        <w:numPr>
          <w:ilvl w:val="1"/>
          <w:numId w:val="18"/>
        </w:numPr>
        <w:rPr>
          <w:rFonts w:ascii="Arial" w:cs="Arial" w:eastAsia="Arial" w:hAnsi="Arial"/>
          <w:sz w:val="17"/>
          <w:szCs w:val="17"/>
          <w:color w:val="010000"/>
        </w:rPr>
      </w:pPr>
      <w:r>
        <w:rPr>
          <w:rFonts w:ascii="Arial" w:cs="Arial" w:eastAsia="Arial" w:hAnsi="Arial"/>
          <w:sz w:val="17"/>
          <w:szCs w:val="17"/>
          <w:color w:val="auto"/>
        </w:rPr>
        <w:t>Payment of the purchase price for the Firm Notes shall be made to the Company by Federal Funds wire transfer against delivery of such Firm Notes to or as designated by the Representative through the facilities of DTC for the respective accounts of the Underwriters. Such payment and delivery shall be made at 10:00 A.M., Eastern Standard Time, on April 20, 2021 (such date, the “</w:t>
      </w:r>
      <w:r>
        <w:rPr>
          <w:rFonts w:ascii="Arial" w:cs="Arial" w:eastAsia="Arial" w:hAnsi="Arial"/>
          <w:sz w:val="17"/>
          <w:szCs w:val="17"/>
          <w:b w:val="1"/>
          <w:bCs w:val="1"/>
          <w:color w:val="auto"/>
        </w:rPr>
        <w:t>Closing Date</w:t>
      </w:r>
      <w:r>
        <w:rPr>
          <w:rFonts w:ascii="Arial" w:cs="Arial" w:eastAsia="Arial" w:hAnsi="Arial"/>
          <w:sz w:val="17"/>
          <w:szCs w:val="17"/>
          <w:color w:val="auto"/>
        </w:rPr>
        <w:t>”). The time at which such payment and delivery are to be made is hereinafter sometimes called the “</w:t>
      </w:r>
      <w:r>
        <w:rPr>
          <w:rFonts w:ascii="Arial" w:cs="Arial" w:eastAsia="Arial" w:hAnsi="Arial"/>
          <w:sz w:val="17"/>
          <w:szCs w:val="17"/>
          <w:b w:val="1"/>
          <w:bCs w:val="1"/>
          <w:color w:val="auto"/>
        </w:rPr>
        <w:t>Time of Purchase</w:t>
      </w:r>
      <w:r>
        <w:rPr>
          <w:rFonts w:ascii="Arial" w:cs="Arial" w:eastAsia="Arial" w:hAnsi="Arial"/>
          <w:sz w:val="17"/>
          <w:szCs w:val="17"/>
          <w:color w:val="auto"/>
        </w:rPr>
        <w:t>.” Electronic transfer of the Firm Notes shall be made at the Time of Purchase in such names and in such denominations as the Representative shall specify.</w:t>
      </w:r>
    </w:p>
    <w:p>
      <w:pPr>
        <w:spacing w:after="0" w:line="176" w:lineRule="exact"/>
        <w:rPr>
          <w:rFonts w:ascii="Arial" w:cs="Arial" w:eastAsia="Arial" w:hAnsi="Arial"/>
          <w:sz w:val="17"/>
          <w:szCs w:val="17"/>
          <w:color w:val="010000"/>
        </w:rPr>
      </w:pPr>
    </w:p>
    <w:p>
      <w:pPr>
        <w:jc w:val="both"/>
        <w:ind w:firstLine="1304"/>
        <w:spacing w:after="0" w:line="263" w:lineRule="auto"/>
        <w:tabs>
          <w:tab w:leader="none" w:pos="1551" w:val="left"/>
        </w:tabs>
        <w:numPr>
          <w:ilvl w:val="1"/>
          <w:numId w:val="18"/>
        </w:numPr>
        <w:rPr>
          <w:rFonts w:ascii="Arial" w:cs="Arial" w:eastAsia="Arial" w:hAnsi="Arial"/>
          <w:sz w:val="18"/>
          <w:szCs w:val="18"/>
          <w:color w:val="010000"/>
        </w:rPr>
      </w:pPr>
      <w:r>
        <w:rPr>
          <w:rFonts w:ascii="Arial" w:cs="Arial" w:eastAsia="Arial" w:hAnsi="Arial"/>
          <w:sz w:val="18"/>
          <w:szCs w:val="18"/>
          <w:color w:val="auto"/>
        </w:rPr>
        <w:t>Payment of the purchase price for the Additional Notes shall be made at the Additional Time of Purchase in the same manner and at the same office and time of day as the payment for the Firm Notes. Electronic transfer of the Additional Notes shall be made at the Additional Time of Purchase in such names and in such denominations as the Representative shall specify.</w:t>
      </w:r>
    </w:p>
    <w:p>
      <w:pPr>
        <w:spacing w:after="0" w:line="183" w:lineRule="exact"/>
        <w:rPr>
          <w:rFonts w:ascii="Arial" w:cs="Arial" w:eastAsia="Arial" w:hAnsi="Arial"/>
          <w:sz w:val="18"/>
          <w:szCs w:val="18"/>
          <w:color w:val="010000"/>
        </w:rPr>
      </w:pPr>
    </w:p>
    <w:p>
      <w:pPr>
        <w:jc w:val="both"/>
        <w:ind w:firstLine="1304"/>
        <w:spacing w:after="0" w:line="263" w:lineRule="auto"/>
        <w:tabs>
          <w:tab w:leader="none" w:pos="1540" w:val="left"/>
        </w:tabs>
        <w:numPr>
          <w:ilvl w:val="1"/>
          <w:numId w:val="18"/>
        </w:numPr>
        <w:rPr>
          <w:rFonts w:ascii="Arial" w:cs="Arial" w:eastAsia="Arial" w:hAnsi="Arial"/>
          <w:sz w:val="18"/>
          <w:szCs w:val="18"/>
          <w:color w:val="010000"/>
        </w:rPr>
      </w:pPr>
      <w:r>
        <w:rPr>
          <w:rFonts w:ascii="Arial" w:cs="Arial" w:eastAsia="Arial" w:hAnsi="Arial"/>
          <w:sz w:val="18"/>
          <w:szCs w:val="18"/>
          <w:color w:val="auto"/>
        </w:rPr>
        <w:t xml:space="preserve">Delivery of the documents required to be delivered to the Underwriters pursuant to </w:t>
      </w:r>
      <w:r>
        <w:rPr>
          <w:rFonts w:ascii="Arial" w:cs="Arial" w:eastAsia="Arial" w:hAnsi="Arial"/>
          <w:sz w:val="18"/>
          <w:szCs w:val="18"/>
          <w:u w:val="single" w:color="auto"/>
          <w:color w:val="auto"/>
        </w:rPr>
        <w:t>Sections 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w:t>
      </w:r>
      <w:r>
        <w:rPr>
          <w:rFonts w:ascii="Arial" w:cs="Arial" w:eastAsia="Arial" w:hAnsi="Arial"/>
          <w:sz w:val="18"/>
          <w:szCs w:val="18"/>
          <w:color w:val="auto"/>
        </w:rPr>
        <w:t xml:space="preserve"> hereof shall be at 10:00 A.M., Eastern Standard Time, on April 20, 2021, on the Closing Date or the Additional Closing Date, as the case may be, at the offices of Duane Morris LLP, 1540 Broadway, New York, New York 10036.</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7" w:name="page18"/>
    <w:bookmarkEnd w:id="17"/>
    <w:p>
      <w:pPr>
        <w:ind w:left="840" w:hanging="184"/>
        <w:spacing w:after="0"/>
        <w:tabs>
          <w:tab w:leader="none" w:pos="8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Further Covenants and Agreements of the Company</w:t>
      </w:r>
      <w:r>
        <w:rPr>
          <w:rFonts w:ascii="Arial" w:cs="Arial" w:eastAsia="Arial" w:hAnsi="Arial"/>
          <w:sz w:val="18"/>
          <w:szCs w:val="18"/>
          <w:u w:val="single" w:color="auto"/>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covenants and agrees with the Underwriters as follows:</w:t>
      </w:r>
    </w:p>
    <w:p>
      <w:pPr>
        <w:spacing w:after="0" w:line="225" w:lineRule="exact"/>
        <w:rPr>
          <w:sz w:val="20"/>
          <w:szCs w:val="20"/>
          <w:color w:val="auto"/>
        </w:rPr>
      </w:pPr>
    </w:p>
    <w:p>
      <w:pPr>
        <w:jc w:val="both"/>
        <w:ind w:firstLine="1304"/>
        <w:spacing w:after="0" w:line="285" w:lineRule="auto"/>
        <w:tabs>
          <w:tab w:leader="none" w:pos="1540" w:val="left"/>
        </w:tabs>
        <w:numPr>
          <w:ilvl w:val="0"/>
          <w:numId w:val="20"/>
        </w:numPr>
        <w:rPr>
          <w:rFonts w:ascii="Arial" w:cs="Arial" w:eastAsia="Arial" w:hAnsi="Arial"/>
          <w:sz w:val="16"/>
          <w:szCs w:val="16"/>
          <w:color w:val="010000"/>
        </w:rPr>
      </w:pPr>
      <w:r>
        <w:rPr>
          <w:rFonts w:ascii="Arial" w:cs="Arial" w:eastAsia="Arial" w:hAnsi="Arial"/>
          <w:sz w:val="16"/>
          <w:szCs w:val="16"/>
          <w:color w:val="auto"/>
        </w:rPr>
        <w:t>To prepare the Rule 462(b) Registration Statement, if necessary, in a form approved by the Representative, and file such Rule 462(b) Registration Statement with the Commission on the date hereof; to prepare the Prospectus in a form approved by the Representative, containing information previously omitted at the time of effectiveness of the Registration Statement in reliance on rules 430A, 430B and 430C and to file such Prospectus pursuant to Rule 424(b) of the Rules and Regulations not later than the second business day following the execution and delivery of this Agreement or, if applicable, such earlier time as may be required by Rule 430A of the Rules and Regulations; to notify the Representative promptly of the Company’s intention to file or prepare any supplement or amendment to any Registration Statement or to the Prospectus in connection with this Offering and to provide a draft of any such amendment or supplement to the Registration Statement, the General Disclosure Package or the Prospectus to the Representative, for review within an amount of time that is reasonably practical under the circumstances and prior to filing, and to file no such amendment or supplement to which the Representative shall have reasonably objected in writing; to advise the Representative, promptly after it receives notice thereof, of the time when any amendment to any Registration Statement has been filed in connection with the Offering or becomes effective or any supplement to the General Disclosure Package or the Prospectus or any amended Prospectus has been filed and to furnish the Representative with copies thereof; to file within the time periods prescribed by the Exchange Act, including any extension thereof, all material required to be filed by the Company with the Commission pursuant to Rule 433(d) or 163(b)(2), as the case may be; to advise the Representative, promptly after it receives notice thereof, of the issuance by the Commission of any stop order or of any order preventing or suspending the use of any Issuer Free Writing Prospectus or the Prospectus, of the suspension of the qualification of the Notes for offering or sale in any jurisdiction, of the initiation or threatening of any proceeding for any such purpose, or of any request by the Commission for the amending or supplementing of the Registration Statement, the General Disclosure Package or the Prospectus or for additional information; and, in the event of the issuance of any stop order or of any order preventing or suspending the use of any Issuer Free Writing Prospectus or the Prospectus or suspending any such qualification, and promptly to use its best efforts to obtain the withdrawal of such order.</w:t>
      </w:r>
    </w:p>
    <w:p>
      <w:pPr>
        <w:spacing w:after="0" w:line="171" w:lineRule="exact"/>
        <w:rPr>
          <w:rFonts w:ascii="Arial" w:cs="Arial" w:eastAsia="Arial" w:hAnsi="Arial"/>
          <w:sz w:val="16"/>
          <w:szCs w:val="16"/>
          <w:color w:val="010000"/>
        </w:rPr>
      </w:pPr>
    </w:p>
    <w:p>
      <w:pPr>
        <w:ind w:firstLine="1304"/>
        <w:spacing w:after="0" w:line="308" w:lineRule="auto"/>
        <w:tabs>
          <w:tab w:leader="none" w:pos="1551" w:val="left"/>
        </w:tabs>
        <w:numPr>
          <w:ilvl w:val="0"/>
          <w:numId w:val="20"/>
        </w:numPr>
        <w:rPr>
          <w:rFonts w:ascii="Arial" w:cs="Arial" w:eastAsia="Arial" w:hAnsi="Arial"/>
          <w:sz w:val="17"/>
          <w:szCs w:val="17"/>
          <w:color w:val="010000"/>
        </w:rPr>
      </w:pPr>
      <w:r>
        <w:rPr>
          <w:rFonts w:ascii="Arial" w:cs="Arial" w:eastAsia="Arial" w:hAnsi="Arial"/>
          <w:sz w:val="17"/>
          <w:szCs w:val="17"/>
          <w:color w:val="auto"/>
        </w:rPr>
        <w:t xml:space="preserve">To prepare a final term sheet for the Notes, containing solely a description of final terms of the Notes and the offering thereof, in the form approved by you and attached as </w:t>
      </w:r>
      <w:r>
        <w:rPr>
          <w:rFonts w:ascii="Arial" w:cs="Arial" w:eastAsia="Arial" w:hAnsi="Arial"/>
          <w:sz w:val="17"/>
          <w:szCs w:val="17"/>
          <w:u w:val="single" w:color="auto"/>
          <w:color w:val="auto"/>
        </w:rPr>
        <w:t>Schedule D</w:t>
      </w:r>
      <w:r>
        <w:rPr>
          <w:rFonts w:ascii="Arial" w:cs="Arial" w:eastAsia="Arial" w:hAnsi="Arial"/>
          <w:sz w:val="17"/>
          <w:szCs w:val="17"/>
          <w:color w:val="auto"/>
        </w:rPr>
        <w:t xml:space="preserve"> hereto and to file such term sheet pursuant to, and within the time required by, Rule 433(d).</w:t>
      </w:r>
    </w:p>
    <w:p>
      <w:pPr>
        <w:spacing w:after="0" w:line="146" w:lineRule="exact"/>
        <w:rPr>
          <w:rFonts w:ascii="Arial" w:cs="Arial" w:eastAsia="Arial" w:hAnsi="Arial"/>
          <w:sz w:val="17"/>
          <w:szCs w:val="17"/>
          <w:color w:val="010000"/>
        </w:rPr>
      </w:pPr>
    </w:p>
    <w:p>
      <w:pPr>
        <w:jc w:val="both"/>
        <w:ind w:firstLine="1304"/>
        <w:spacing w:after="0" w:line="269" w:lineRule="auto"/>
        <w:tabs>
          <w:tab w:leader="none" w:pos="1540" w:val="left"/>
        </w:tabs>
        <w:numPr>
          <w:ilvl w:val="0"/>
          <w:numId w:val="20"/>
        </w:numPr>
        <w:rPr>
          <w:rFonts w:ascii="Arial" w:cs="Arial" w:eastAsia="Arial" w:hAnsi="Arial"/>
          <w:sz w:val="17"/>
          <w:szCs w:val="17"/>
          <w:color w:val="010000"/>
        </w:rPr>
      </w:pPr>
      <w:r>
        <w:rPr>
          <w:rFonts w:ascii="Arial" w:cs="Arial" w:eastAsia="Arial" w:hAnsi="Arial"/>
          <w:sz w:val="17"/>
          <w:szCs w:val="17"/>
          <w:color w:val="auto"/>
        </w:rPr>
        <w:t>That, unless it obtains the prior consent of the Representative, it has not made and will not make any offer relating to the Notes that would constitute a “free writing prospectus” as defined in Rule 405 of the Rules and Regulations unless the prior written consent of the Representative has been received (each, a “</w:t>
      </w:r>
      <w:r>
        <w:rPr>
          <w:rFonts w:ascii="Arial" w:cs="Arial" w:eastAsia="Arial" w:hAnsi="Arial"/>
          <w:sz w:val="17"/>
          <w:szCs w:val="17"/>
          <w:b w:val="1"/>
          <w:bCs w:val="1"/>
          <w:color w:val="auto"/>
        </w:rPr>
        <w:t>Permitted Free Writing Prospectus</w:t>
      </w:r>
      <w:r>
        <w:rPr>
          <w:rFonts w:ascii="Arial" w:cs="Arial" w:eastAsia="Arial" w:hAnsi="Arial"/>
          <w:sz w:val="17"/>
          <w:szCs w:val="17"/>
          <w:color w:val="auto"/>
        </w:rPr>
        <w:t xml:space="preserve">”), other than a free writing prospectus containing the information contained in the final term sheet prepared and filed pursuant to </w:t>
      </w:r>
      <w:r>
        <w:rPr>
          <w:rFonts w:ascii="Arial" w:cs="Arial" w:eastAsia="Arial" w:hAnsi="Arial"/>
          <w:sz w:val="17"/>
          <w:szCs w:val="17"/>
          <w:u w:val="single" w:color="auto"/>
          <w:color w:val="auto"/>
        </w:rPr>
        <w:t>Section 4(b)</w:t>
      </w:r>
      <w:r>
        <w:rPr>
          <w:rFonts w:ascii="Arial" w:cs="Arial" w:eastAsia="Arial" w:hAnsi="Arial"/>
          <w:sz w:val="17"/>
          <w:szCs w:val="17"/>
          <w:color w:val="auto"/>
        </w:rPr>
        <w:t xml:space="preserve"> hereof; provided that the prior written consent of the Representative shall be deemed to have been given in respect of the Free Writing Prospectuses included in </w:t>
      </w:r>
      <w:r>
        <w:rPr>
          <w:rFonts w:ascii="Arial" w:cs="Arial" w:eastAsia="Arial" w:hAnsi="Arial"/>
          <w:sz w:val="17"/>
          <w:szCs w:val="17"/>
          <w:u w:val="single" w:color="auto"/>
          <w:color w:val="auto"/>
        </w:rPr>
        <w:t>Schedule C</w:t>
      </w:r>
      <w:r>
        <w:rPr>
          <w:rFonts w:ascii="Arial" w:cs="Arial" w:eastAsia="Arial" w:hAnsi="Arial"/>
          <w:sz w:val="17"/>
          <w:szCs w:val="17"/>
          <w:color w:val="auto"/>
        </w:rPr>
        <w:t xml:space="preserve"> hereto and any electronic road show, if any. The Company shall furnish to the Representative, a reasonable amount of time prior to the proposed time of filing or use thereof, a copy of each proposed free writing prospectus or any amendment or supplement thereto to be prepared by or on behalf of, used by, or referred to by the Company. The Company represents that it has treated and agrees that it will treat each Permitted Free Writing Prospectus as an Issuer Free Writing Prospectus, and that it has and will comply with the requirements of Rules 164 and 433 of the Rules and Regulations applicable to any Issuer Free Writing Prospectus, including the requirements relating to timely filing with the Commission, legending and record keeping.</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8" w:name="page19"/>
    <w:bookmarkEnd w:id="18"/>
    <w:p>
      <w:pPr>
        <w:jc w:val="both"/>
        <w:ind w:firstLine="1304"/>
        <w:spacing w:after="0" w:line="270" w:lineRule="auto"/>
        <w:tabs>
          <w:tab w:leader="none" w:pos="1564" w:val="left"/>
        </w:tabs>
        <w:numPr>
          <w:ilvl w:val="0"/>
          <w:numId w:val="21"/>
        </w:numPr>
        <w:rPr>
          <w:rFonts w:ascii="Arial" w:cs="Arial" w:eastAsia="Arial" w:hAnsi="Arial"/>
          <w:sz w:val="17"/>
          <w:szCs w:val="17"/>
          <w:color w:val="010000"/>
        </w:rPr>
      </w:pPr>
      <w:r>
        <w:rPr>
          <w:rFonts w:ascii="Arial" w:cs="Arial" w:eastAsia="Arial" w:hAnsi="Arial"/>
          <w:sz w:val="17"/>
          <w:szCs w:val="17"/>
          <w:color w:val="auto"/>
        </w:rPr>
        <w:t>If at any time when a Prospectus relating to the Notes is required to be delivered under the Securities Act, any event occurs or condition exists as a result of which the Prospectus, as then amended or supplemented, would include any untrue statement of a material fact or omit to state a material fact necessary in order to make the statements therein, in light of the circumstances under which they were made, not misleading, or the Registration Statement, as then amended or supplemented, would include any untrue statement of a material fact or omit to state a material fact necessary to make the statements therein not misleading, or if for any other reason it is necessary at any time to amend or supplement any Registration Statement or the Prospectus to comply with the Securities Act or the Exchange Act, the Company will promptly notify the Representative, and upon the Representative’s request, the Company will promptly prepare and file with the Commission, at the Company’s expense, an amendment to the Registration Statement or an amendment or supplement to the Prospectus that corrects such statement or omission or effects such compliance. The Company consents to the use of the Prospectus or any amendment or supplement thereto by the Underwriters.</w:t>
      </w:r>
    </w:p>
    <w:p>
      <w:pPr>
        <w:spacing w:after="0" w:line="180" w:lineRule="exact"/>
        <w:rPr>
          <w:rFonts w:ascii="Arial" w:cs="Arial" w:eastAsia="Arial" w:hAnsi="Arial"/>
          <w:sz w:val="17"/>
          <w:szCs w:val="17"/>
          <w:color w:val="010000"/>
        </w:rPr>
      </w:pPr>
    </w:p>
    <w:p>
      <w:pPr>
        <w:jc w:val="both"/>
        <w:ind w:firstLine="1304"/>
        <w:spacing w:after="0" w:line="279" w:lineRule="auto"/>
        <w:tabs>
          <w:tab w:leader="none" w:pos="1567" w:val="left"/>
        </w:tabs>
        <w:numPr>
          <w:ilvl w:val="0"/>
          <w:numId w:val="21"/>
        </w:numPr>
        <w:rPr>
          <w:rFonts w:ascii="Arial" w:cs="Arial" w:eastAsia="Arial" w:hAnsi="Arial"/>
          <w:sz w:val="17"/>
          <w:szCs w:val="17"/>
          <w:color w:val="010000"/>
        </w:rPr>
      </w:pPr>
      <w:r>
        <w:rPr>
          <w:rFonts w:ascii="Arial" w:cs="Arial" w:eastAsia="Arial" w:hAnsi="Arial"/>
          <w:sz w:val="17"/>
          <w:szCs w:val="17"/>
          <w:color w:val="auto"/>
        </w:rPr>
        <w:t>To the extent not available on the Commission’s EDGAR system, to make generally available to its security holders as soon as practicable, but in any event not later than eighteen (18) months after the effective date of each Registration Statement (as defined in Rule 158(c) of the Rules and Regulations), an earnings statement of the Company and its consolidated Subsidiaries (which need not be audited) complying with Section 11(a) of the Securities Act and the Rules and Regulations (including, at the option of the Company, Rule 158).</w:t>
      </w:r>
    </w:p>
    <w:p>
      <w:pPr>
        <w:spacing w:after="0" w:line="171" w:lineRule="exact"/>
        <w:rPr>
          <w:rFonts w:ascii="Arial" w:cs="Arial" w:eastAsia="Arial" w:hAnsi="Arial"/>
          <w:sz w:val="17"/>
          <w:szCs w:val="17"/>
          <w:color w:val="010000"/>
        </w:rPr>
      </w:pPr>
    </w:p>
    <w:p>
      <w:pPr>
        <w:jc w:val="both"/>
        <w:ind w:right="20" w:firstLine="1304"/>
        <w:spacing w:after="0" w:line="257" w:lineRule="auto"/>
        <w:tabs>
          <w:tab w:leader="none" w:pos="1521" w:val="left"/>
        </w:tabs>
        <w:numPr>
          <w:ilvl w:val="0"/>
          <w:numId w:val="21"/>
        </w:numPr>
        <w:rPr>
          <w:rFonts w:ascii="Arial" w:cs="Arial" w:eastAsia="Arial" w:hAnsi="Arial"/>
          <w:sz w:val="18"/>
          <w:szCs w:val="18"/>
          <w:color w:val="010000"/>
        </w:rPr>
      </w:pPr>
      <w:r>
        <w:rPr>
          <w:rFonts w:ascii="Arial" w:cs="Arial" w:eastAsia="Arial" w:hAnsi="Arial"/>
          <w:sz w:val="18"/>
          <w:szCs w:val="18"/>
          <w:color w:val="auto"/>
        </w:rPr>
        <w:t xml:space="preserve">To take promptly from time to time such actions as the Representative may reasonably request to qualify the Notes for offering and sale under the securities or Blue Sky laws of such jurisdictions (domestic or foreign) as the Representative may designate and to continue such qualifications in effect, and to comply with such laws, for so long as required to permit the offer and sale of Notes in such jurisdictions;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and its Subsidiaries shall not be obligated to qualify as foreign corporations in any jurisdiction in which they are not so qualified or to file a general consent to service of process in any jurisdiction.</w:t>
      </w:r>
    </w:p>
    <w:p>
      <w:pPr>
        <w:spacing w:after="0" w:line="187" w:lineRule="exact"/>
        <w:rPr>
          <w:rFonts w:ascii="Arial" w:cs="Arial" w:eastAsia="Arial" w:hAnsi="Arial"/>
          <w:sz w:val="18"/>
          <w:szCs w:val="18"/>
          <w:color w:val="010000"/>
        </w:rPr>
      </w:pPr>
    </w:p>
    <w:p>
      <w:pPr>
        <w:jc w:val="both"/>
        <w:ind w:firstLine="1304"/>
        <w:spacing w:after="0" w:line="263" w:lineRule="auto"/>
        <w:tabs>
          <w:tab w:leader="none" w:pos="1564" w:val="left"/>
        </w:tabs>
        <w:numPr>
          <w:ilvl w:val="0"/>
          <w:numId w:val="21"/>
        </w:numPr>
        <w:rPr>
          <w:rFonts w:ascii="Arial" w:cs="Arial" w:eastAsia="Arial" w:hAnsi="Arial"/>
          <w:sz w:val="18"/>
          <w:szCs w:val="18"/>
          <w:color w:val="010000"/>
        </w:rPr>
      </w:pPr>
      <w:r>
        <w:rPr>
          <w:rFonts w:ascii="Arial" w:cs="Arial" w:eastAsia="Arial" w:hAnsi="Arial"/>
          <w:sz w:val="18"/>
          <w:szCs w:val="18"/>
          <w:color w:val="auto"/>
        </w:rPr>
        <w:t>To supply the Underwriters with copies of all correspondence to and from, and all documents issued to and by, the Commission in connection with the registration of the Notes under the Securities Act or the Registration Statement or the Prospectus, or any amendment or supplement thereto or document incorporated by reference therein.</w:t>
      </w:r>
    </w:p>
    <w:p>
      <w:pPr>
        <w:spacing w:after="0" w:line="183" w:lineRule="exact"/>
        <w:rPr>
          <w:rFonts w:ascii="Arial" w:cs="Arial" w:eastAsia="Arial" w:hAnsi="Arial"/>
          <w:sz w:val="18"/>
          <w:szCs w:val="18"/>
          <w:color w:val="010000"/>
        </w:rPr>
      </w:pPr>
    </w:p>
    <w:p>
      <w:pPr>
        <w:jc w:val="both"/>
        <w:ind w:firstLine="1304"/>
        <w:spacing w:after="0" w:line="263" w:lineRule="auto"/>
        <w:tabs>
          <w:tab w:leader="none" w:pos="1564" w:val="left"/>
        </w:tabs>
        <w:numPr>
          <w:ilvl w:val="0"/>
          <w:numId w:val="21"/>
        </w:numPr>
        <w:rPr>
          <w:rFonts w:ascii="Arial" w:cs="Arial" w:eastAsia="Arial" w:hAnsi="Arial"/>
          <w:sz w:val="18"/>
          <w:szCs w:val="18"/>
          <w:color w:val="010000"/>
        </w:rPr>
      </w:pPr>
      <w:r>
        <w:rPr>
          <w:rFonts w:ascii="Arial" w:cs="Arial" w:eastAsia="Arial" w:hAnsi="Arial"/>
          <w:sz w:val="18"/>
          <w:szCs w:val="18"/>
          <w:color w:val="auto"/>
        </w:rPr>
        <w:t>Prior to the Time of Purchase and the Additional Time of Purchase, if any, not to issue any press release or other communication directly or indirectly or hold any press conference (other than the Company’s customary quarterly press release and conference call) without the prior written consent of the Representative (which consent shall not be unreasonably withheld).</w:t>
      </w:r>
    </w:p>
    <w:p>
      <w:pPr>
        <w:spacing w:after="0" w:line="183" w:lineRule="exact"/>
        <w:rPr>
          <w:rFonts w:ascii="Arial" w:cs="Arial" w:eastAsia="Arial" w:hAnsi="Arial"/>
          <w:sz w:val="18"/>
          <w:szCs w:val="18"/>
          <w:color w:val="010000"/>
        </w:rPr>
      </w:pPr>
    </w:p>
    <w:p>
      <w:pPr>
        <w:jc w:val="both"/>
        <w:ind w:firstLine="1304"/>
        <w:spacing w:after="0" w:line="296" w:lineRule="auto"/>
        <w:tabs>
          <w:tab w:leader="none" w:pos="1511" w:val="left"/>
        </w:tabs>
        <w:numPr>
          <w:ilvl w:val="0"/>
          <w:numId w:val="21"/>
        </w:numPr>
        <w:rPr>
          <w:rFonts w:ascii="Arial" w:cs="Arial" w:eastAsia="Arial" w:hAnsi="Arial"/>
          <w:sz w:val="16"/>
          <w:szCs w:val="16"/>
          <w:color w:val="010000"/>
        </w:rPr>
      </w:pPr>
      <w:r>
        <w:rPr>
          <w:rFonts w:ascii="Arial" w:cs="Arial" w:eastAsia="Arial" w:hAnsi="Arial"/>
          <w:sz w:val="16"/>
          <w:szCs w:val="16"/>
          <w:color w:val="auto"/>
        </w:rPr>
        <w:t>Until the Representative shall have notified the Company of the completion of the Offering, that the Company will not, and will cause its affiliated purchasers (as defined in Regulation M under the Exchange Act) not to, either alone or with one or more other persons, and except to the extent expressly set forth in the General Disclosure Package as part of the offering contemplated hereby, bid for or purchase, for any account in which it or any of its affiliated purchasers has a beneficial interest, any Notes, or attempt to induce any person to purchase any Notes; and not to, and to cause its affiliated purchasers not to, make bids or purchase for the purpose of creating actual, or apparent, active trading in or of raising the price of the Notes.</w:t>
      </w:r>
    </w:p>
    <w:p>
      <w:pPr>
        <w:spacing w:after="0" w:line="161" w:lineRule="exact"/>
        <w:rPr>
          <w:rFonts w:ascii="Arial" w:cs="Arial" w:eastAsia="Arial" w:hAnsi="Arial"/>
          <w:sz w:val="16"/>
          <w:szCs w:val="16"/>
          <w:color w:val="010000"/>
        </w:rPr>
      </w:pPr>
    </w:p>
    <w:p>
      <w:pPr>
        <w:ind w:firstLine="1304"/>
        <w:spacing w:after="0" w:line="277" w:lineRule="auto"/>
        <w:tabs>
          <w:tab w:leader="none" w:pos="1511" w:val="left"/>
        </w:tabs>
        <w:numPr>
          <w:ilvl w:val="0"/>
          <w:numId w:val="21"/>
        </w:numPr>
        <w:rPr>
          <w:rFonts w:ascii="Arial" w:cs="Arial" w:eastAsia="Arial" w:hAnsi="Arial"/>
          <w:sz w:val="18"/>
          <w:szCs w:val="18"/>
          <w:color w:val="010000"/>
        </w:rPr>
      </w:pPr>
      <w:r>
        <w:rPr>
          <w:rFonts w:ascii="Arial" w:cs="Arial" w:eastAsia="Arial" w:hAnsi="Arial"/>
          <w:sz w:val="18"/>
          <w:szCs w:val="18"/>
          <w:color w:val="auto"/>
        </w:rPr>
        <w:t>To apply the net proceeds from the sale of the Notes as set forth in the Registration Statement, the General Disclosure Package and the Prospectus under the heading “Use of Proceeds.”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9" w:name="page20"/>
    <w:bookmarkEnd w:id="19"/>
    <w:p>
      <w:pPr>
        <w:jc w:val="both"/>
        <w:ind w:firstLine="1304"/>
        <w:spacing w:after="0" w:line="296" w:lineRule="auto"/>
        <w:tabs>
          <w:tab w:leader="none" w:pos="1551" w:val="left"/>
        </w:tabs>
        <w:numPr>
          <w:ilvl w:val="1"/>
          <w:numId w:val="22"/>
        </w:numPr>
        <w:rPr>
          <w:rFonts w:ascii="Arial" w:cs="Arial" w:eastAsia="Arial" w:hAnsi="Arial"/>
          <w:sz w:val="16"/>
          <w:szCs w:val="16"/>
          <w:color w:val="010000"/>
        </w:rPr>
      </w:pPr>
      <w:r>
        <w:rPr>
          <w:rFonts w:ascii="Arial" w:cs="Arial" w:eastAsia="Arial" w:hAnsi="Arial"/>
          <w:sz w:val="16"/>
          <w:szCs w:val="16"/>
          <w:color w:val="auto"/>
        </w:rPr>
        <w:t>Not to sell, offer to sell, contract or agree to sell, hypothecate, pledge, grant any option to purchase or otherwise dispose of or agree to dispose of, directly or indirectly, any debt securities issued or guaranteed by the Company or any securities convertible into or exchangeable or exercisable for debt securities issued or guaranteed by the Company or file or cause to be declared effective a registration statement under the Securities Act with respect to any of the foregoing for a period of 30 days after the date hereof without the prior written consent of the Representative, which may not be unreasonably withheld. The foregoing sentence shall not apply to the registration of the Notes and the sales to the Underwriters pursuant to this Agreement.</w:t>
      </w:r>
    </w:p>
    <w:p>
      <w:pPr>
        <w:spacing w:after="0" w:line="161" w:lineRule="exact"/>
        <w:rPr>
          <w:rFonts w:ascii="Arial" w:cs="Arial" w:eastAsia="Arial" w:hAnsi="Arial"/>
          <w:sz w:val="16"/>
          <w:szCs w:val="16"/>
          <w:color w:val="010000"/>
        </w:rPr>
      </w:pPr>
    </w:p>
    <w:p>
      <w:pPr>
        <w:ind w:right="20" w:firstLine="1304"/>
        <w:spacing w:after="0" w:line="277" w:lineRule="auto"/>
        <w:tabs>
          <w:tab w:leader="none" w:pos="1524" w:val="left"/>
        </w:tabs>
        <w:numPr>
          <w:ilvl w:val="1"/>
          <w:numId w:val="22"/>
        </w:numPr>
        <w:rPr>
          <w:rFonts w:ascii="Arial" w:cs="Arial" w:eastAsia="Arial" w:hAnsi="Arial"/>
          <w:sz w:val="18"/>
          <w:szCs w:val="18"/>
          <w:color w:val="010000"/>
        </w:rPr>
      </w:pPr>
      <w:r>
        <w:rPr>
          <w:rFonts w:ascii="Arial" w:cs="Arial" w:eastAsia="Arial" w:hAnsi="Arial"/>
          <w:sz w:val="18"/>
          <w:szCs w:val="18"/>
          <w:color w:val="auto"/>
        </w:rPr>
        <w:t>To cooperate with the Representative and use its commercially reasonable efforts to permit the offered Securities to be eligible for clearance and settlement through the facilities of DTC.</w:t>
      </w:r>
    </w:p>
    <w:p>
      <w:pPr>
        <w:spacing w:after="0" w:line="170" w:lineRule="exact"/>
        <w:rPr>
          <w:rFonts w:ascii="Arial" w:cs="Arial" w:eastAsia="Arial" w:hAnsi="Arial"/>
          <w:sz w:val="18"/>
          <w:szCs w:val="18"/>
          <w:color w:val="010000"/>
        </w:rPr>
      </w:pPr>
    </w:p>
    <w:p>
      <w:pPr>
        <w:ind w:left="1600" w:hanging="296"/>
        <w:spacing w:after="0"/>
        <w:tabs>
          <w:tab w:leader="none" w:pos="1600" w:val="left"/>
        </w:tabs>
        <w:numPr>
          <w:ilvl w:val="1"/>
          <w:numId w:val="22"/>
        </w:numPr>
        <w:rPr>
          <w:rFonts w:ascii="Arial" w:cs="Arial" w:eastAsia="Arial" w:hAnsi="Arial"/>
          <w:sz w:val="16"/>
          <w:szCs w:val="16"/>
          <w:color w:val="010000"/>
        </w:rPr>
      </w:pPr>
      <w:r>
        <w:rPr>
          <w:rFonts w:ascii="Arial" w:cs="Arial" w:eastAsia="Arial" w:hAnsi="Arial"/>
          <w:sz w:val="16"/>
          <w:szCs w:val="16"/>
          <w:color w:val="auto"/>
        </w:rPr>
        <w:t>To use its reasonable best efforts to list, effect and maintain, subject to notice of issuance, the Notes on the Nasdaq Global Market.</w:t>
      </w:r>
    </w:p>
    <w:p>
      <w:pPr>
        <w:spacing w:after="0" w:line="248" w:lineRule="exact"/>
        <w:rPr>
          <w:rFonts w:ascii="Arial" w:cs="Arial" w:eastAsia="Arial" w:hAnsi="Arial"/>
          <w:sz w:val="16"/>
          <w:szCs w:val="16"/>
          <w:color w:val="010000"/>
        </w:rPr>
      </w:pPr>
    </w:p>
    <w:p>
      <w:pPr>
        <w:jc w:val="both"/>
        <w:ind w:firstLine="1304"/>
        <w:spacing w:after="0" w:line="263" w:lineRule="auto"/>
        <w:tabs>
          <w:tab w:leader="none" w:pos="1551" w:val="left"/>
        </w:tabs>
        <w:numPr>
          <w:ilvl w:val="1"/>
          <w:numId w:val="22"/>
        </w:numPr>
        <w:rPr>
          <w:rFonts w:ascii="Arial" w:cs="Arial" w:eastAsia="Arial" w:hAnsi="Arial"/>
          <w:sz w:val="18"/>
          <w:szCs w:val="18"/>
          <w:color w:val="010000"/>
        </w:rPr>
      </w:pPr>
      <w:r>
        <w:rPr>
          <w:rFonts w:ascii="Arial" w:cs="Arial" w:eastAsia="Arial" w:hAnsi="Arial"/>
          <w:sz w:val="18"/>
          <w:szCs w:val="18"/>
          <w:color w:val="auto"/>
        </w:rPr>
        <w:t>Until the Representative shall have notified the Company of the completion of the offering of the Notes, the Company will not take directly or indirectly any action designed, or that might reasonably be expected to cause or result in, or that will constitute, stabilization or manipulation of the price of any security of the Company to facilitate the sale or resale of any of the Notes.</w:t>
      </w:r>
    </w:p>
    <w:p>
      <w:pPr>
        <w:spacing w:after="0" w:line="183" w:lineRule="exact"/>
        <w:rPr>
          <w:rFonts w:ascii="Arial" w:cs="Arial" w:eastAsia="Arial" w:hAnsi="Arial"/>
          <w:sz w:val="18"/>
          <w:szCs w:val="18"/>
          <w:color w:val="010000"/>
        </w:rPr>
      </w:pPr>
    </w:p>
    <w:p>
      <w:pPr>
        <w:jc w:val="both"/>
        <w:ind w:firstLine="1304"/>
        <w:spacing w:after="0" w:line="263" w:lineRule="auto"/>
        <w:tabs>
          <w:tab w:leader="none" w:pos="1551" w:val="left"/>
        </w:tabs>
        <w:numPr>
          <w:ilvl w:val="1"/>
          <w:numId w:val="22"/>
        </w:numPr>
        <w:rPr>
          <w:rFonts w:ascii="Arial" w:cs="Arial" w:eastAsia="Arial" w:hAnsi="Arial"/>
          <w:sz w:val="18"/>
          <w:szCs w:val="18"/>
          <w:color w:val="010000"/>
        </w:rPr>
      </w:pPr>
      <w:r>
        <w:rPr>
          <w:rFonts w:ascii="Arial" w:cs="Arial" w:eastAsia="Arial" w:hAnsi="Arial"/>
          <w:sz w:val="18"/>
          <w:szCs w:val="18"/>
          <w:color w:val="auto"/>
        </w:rPr>
        <w:t>To use its reasonable best efforts to do and perform all things required to be done or performed under this Agreement by the Company prior to the Time of Purchase or the Additional Time of Purchase, as applicable and to satisfy all conditions precedent to the delivery of the Notes to be delivered at such time.</w:t>
      </w:r>
    </w:p>
    <w:p>
      <w:pPr>
        <w:spacing w:after="0" w:line="179" w:lineRule="exact"/>
        <w:rPr>
          <w:rFonts w:ascii="Arial" w:cs="Arial" w:eastAsia="Arial" w:hAnsi="Arial"/>
          <w:sz w:val="18"/>
          <w:szCs w:val="18"/>
          <w:color w:val="010000"/>
        </w:rPr>
      </w:pPr>
    </w:p>
    <w:p>
      <w:pPr>
        <w:ind w:left="840" w:hanging="184"/>
        <w:spacing w:after="0"/>
        <w:tabs>
          <w:tab w:leader="none" w:pos="8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Payment of Expenses</w:t>
      </w:r>
      <w:r>
        <w:rPr>
          <w:rFonts w:ascii="Arial" w:cs="Arial" w:eastAsia="Arial" w:hAnsi="Arial"/>
          <w:sz w:val="18"/>
          <w:szCs w:val="18"/>
          <w:u w:val="single" w:color="auto"/>
          <w:color w:val="auto"/>
        </w:rPr>
        <w:t>.</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The Company agrees to pay, or reimburse if paid by the Underwriters, whether or not the transactions contemplated hereby are consummated or this Agreement is terminated: (a) the costs incident to the authorization, issuance, sale and delivery of the Notes to the Underwriters and any taxes payable in that connection; (b) the costs incident to the registration of the Notes under the Securities Act; (c) the costs incident to the preparation, printing and distribution of the Registration Statement, the Base Prospectus, any Issuer Free Writing Prospectus, the General Disclosure Package, the Prospectus, any amendments, supplements and exhibits thereto or any document incorporated by reference therein; (d) the reasonable and documented fees and expenses of counsel to the Underwriters incurred in connection with securing any required review by FINRA and any filings made with FINRA; (e) all costs and expenses incident to listing the Notes on the Nasdaq Global Market; (f) the fees and expenses of counsel for the Underwriters incurred in connection with qualifying the Notes under the securities laws of the several jurisdictions as provided in </w:t>
      </w:r>
      <w:r>
        <w:rPr>
          <w:rFonts w:ascii="Arial" w:cs="Arial" w:eastAsia="Arial" w:hAnsi="Arial"/>
          <w:sz w:val="17"/>
          <w:szCs w:val="17"/>
          <w:u w:val="single" w:color="auto"/>
          <w:color w:val="auto"/>
        </w:rPr>
        <w:t>Section 4(e)</w:t>
      </w:r>
      <w:r>
        <w:rPr>
          <w:rFonts w:ascii="Arial" w:cs="Arial" w:eastAsia="Arial" w:hAnsi="Arial"/>
          <w:sz w:val="17"/>
          <w:szCs w:val="17"/>
          <w:color w:val="auto"/>
        </w:rPr>
        <w:t xml:space="preserve"> and of preparing, printing and distributing wrappers and blue sky memoranda; (g) the fees and expenses of the Trustee and any transfer agent, registrar or depository with respect to the Notes; (h) the expenses and application fees incurred in connection with the approval of the Notes for book-entry transfer by DTC; (i) the reasonable fees and disbursements of counsel to the Underwriters in an aggregate amount not to exceed $50,000 and (j) all other costs and expenses of the Company incident to the offering of the Notes by, or the performance of the obligations of, the Company under this Agreement (including, without limitation, the fees and expenses of the Company’s counsel and the Company’s independent accountants and the travel and other reasonable expenses incurred by Company personnel in connection with any “road show”).</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0" w:name="page21"/>
    <w:bookmarkEnd w:id="20"/>
    <w:p>
      <w:pPr>
        <w:jc w:val="both"/>
        <w:ind w:firstLine="656"/>
        <w:spacing w:after="0" w:line="277" w:lineRule="auto"/>
        <w:tabs>
          <w:tab w:leader="none" w:pos="841" w:val="left"/>
        </w:tabs>
        <w:numPr>
          <w:ilvl w:val="1"/>
          <w:numId w:val="2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Conditions to the Obligations of the Underwriters, and the Sale of the Notes</w:t>
      </w:r>
      <w:r>
        <w:rPr>
          <w:rFonts w:ascii="Arial" w:cs="Arial" w:eastAsia="Arial" w:hAnsi="Arial"/>
          <w:sz w:val="17"/>
          <w:szCs w:val="17"/>
          <w:u w:val="single" w:color="auto"/>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The obligations of the Underwriters hereunder,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closing of the sale of the Notes, are subject to the accuracy, when made and as of the Applicable Time and at the Time of Purchase or the Additional Time of Purchase, as the case may be, of the representations and warranties of the Company contained herein (except for inaccuracies that would not result in a Material Adverse Effect), to the accuracy of the statements of the Company made in any certificates pursuant to the provisions hereof, to the performance by the Company, in all material respects, of its obligations hereunder, and to each of the following additional terms and conditions:</w:t>
      </w:r>
    </w:p>
    <w:p>
      <w:pPr>
        <w:spacing w:after="0" w:line="171" w:lineRule="exact"/>
        <w:rPr>
          <w:rFonts w:ascii="Arial" w:cs="Arial" w:eastAsia="Arial" w:hAnsi="Arial"/>
          <w:sz w:val="17"/>
          <w:szCs w:val="17"/>
          <w:b w:val="1"/>
          <w:bCs w:val="1"/>
          <w:color w:val="auto"/>
        </w:rPr>
      </w:pPr>
    </w:p>
    <w:p>
      <w:pPr>
        <w:jc w:val="both"/>
        <w:ind w:firstLine="1304"/>
        <w:spacing w:after="0" w:line="290" w:lineRule="auto"/>
        <w:tabs>
          <w:tab w:leader="none" w:pos="1540" w:val="left"/>
        </w:tabs>
        <w:numPr>
          <w:ilvl w:val="2"/>
          <w:numId w:val="24"/>
        </w:numPr>
        <w:rPr>
          <w:rFonts w:ascii="Arial" w:cs="Arial" w:eastAsia="Arial" w:hAnsi="Arial"/>
          <w:sz w:val="16"/>
          <w:szCs w:val="16"/>
          <w:color w:val="010000"/>
        </w:rPr>
      </w:pPr>
      <w:r>
        <w:rPr>
          <w:rFonts w:ascii="Arial" w:cs="Arial" w:eastAsia="Arial" w:hAnsi="Arial"/>
          <w:sz w:val="16"/>
          <w:szCs w:val="16"/>
          <w:color w:val="auto"/>
        </w:rPr>
        <w:t xml:space="preserve">No stop order suspending the effectiveness of the Registration Statement or any part thereof, preventing or suspending the use of the Base Prospectus, the Prospectus or any Permitted Free Writing Prospectus or any part thereof shall have been issued and no proceedings for that purpose or pursuant to Section 8A under the Securities Act shall have been initiated by the Commission, and all requests for additional information on the part of the Commission (to be included or incorporated by reference in the Registration Statement or the Prospectus or otherwise) shall have been complied with; the Rule 462(b) Registration Statement, if any, each Issuer Free Writing Prospectus, if any, and the Prospectus shall have been filed with the Commission within the applicable time period prescribed for such filing by, and in compliance with, the Rules and Regulations and in accordance with </w:t>
      </w:r>
      <w:r>
        <w:rPr>
          <w:rFonts w:ascii="Arial" w:cs="Arial" w:eastAsia="Arial" w:hAnsi="Arial"/>
          <w:sz w:val="16"/>
          <w:szCs w:val="16"/>
          <w:u w:val="single" w:color="auto"/>
          <w:color w:val="auto"/>
        </w:rPr>
        <w:t>Section 4(a)</w:t>
      </w:r>
      <w:r>
        <w:rPr>
          <w:rFonts w:ascii="Arial" w:cs="Arial" w:eastAsia="Arial" w:hAnsi="Arial"/>
          <w:sz w:val="16"/>
          <w:szCs w:val="16"/>
          <w:color w:val="auto"/>
        </w:rPr>
        <w:t>, and the Rule 462(b) Registration Statement, if any, shall have become effective immediately upon its filing with the Commission; and FINRA shall have raised no objection to the fairness and reasonableness of the terms of this Agreement or the transactions contemplated hereby.</w:t>
      </w:r>
    </w:p>
    <w:p>
      <w:pPr>
        <w:spacing w:after="0" w:line="165" w:lineRule="exact"/>
        <w:rPr>
          <w:rFonts w:ascii="Arial" w:cs="Arial" w:eastAsia="Arial" w:hAnsi="Arial"/>
          <w:sz w:val="16"/>
          <w:szCs w:val="16"/>
          <w:color w:val="010000"/>
        </w:rPr>
      </w:pPr>
    </w:p>
    <w:p>
      <w:pPr>
        <w:jc w:val="both"/>
        <w:ind w:firstLine="1304"/>
        <w:spacing w:after="0" w:line="301" w:lineRule="auto"/>
        <w:tabs>
          <w:tab w:leader="none" w:pos="1551" w:val="left"/>
        </w:tabs>
        <w:numPr>
          <w:ilvl w:val="2"/>
          <w:numId w:val="24"/>
        </w:numPr>
        <w:rPr>
          <w:rFonts w:ascii="Arial" w:cs="Arial" w:eastAsia="Arial" w:hAnsi="Arial"/>
          <w:sz w:val="16"/>
          <w:szCs w:val="16"/>
          <w:color w:val="010000"/>
        </w:rPr>
      </w:pPr>
      <w:r>
        <w:rPr>
          <w:rFonts w:ascii="Arial" w:cs="Arial" w:eastAsia="Arial" w:hAnsi="Arial"/>
          <w:sz w:val="16"/>
          <w:szCs w:val="16"/>
          <w:color w:val="auto"/>
        </w:rPr>
        <w:t>The Registration Statement or any amendment or supplement thereto shall not contain an untrue statement of a material fact or omit to state a material fact required to be stated therein or necessary to make the statements therein not misleading, and none of the General Disclosure Package, any Issuer Free Writing Prospectus or the Prospectus, or any amendment or supplement thereto, shall contain an untrue statement of a material fact or omit to state a material fact necessary in order to make the statements therein, in the light of the circumstances in which they were made, not misleading.</w:t>
      </w:r>
    </w:p>
    <w:p>
      <w:pPr>
        <w:spacing w:after="0" w:line="157" w:lineRule="exact"/>
        <w:rPr>
          <w:rFonts w:ascii="Arial" w:cs="Arial" w:eastAsia="Arial" w:hAnsi="Arial"/>
          <w:sz w:val="16"/>
          <w:szCs w:val="16"/>
          <w:color w:val="010000"/>
        </w:rPr>
      </w:pPr>
    </w:p>
    <w:p>
      <w:pPr>
        <w:jc w:val="both"/>
        <w:ind w:firstLine="1304"/>
        <w:spacing w:after="0" w:line="287" w:lineRule="auto"/>
        <w:tabs>
          <w:tab w:leader="none" w:pos="1540" w:val="left"/>
        </w:tabs>
        <w:numPr>
          <w:ilvl w:val="2"/>
          <w:numId w:val="24"/>
        </w:numPr>
        <w:rPr>
          <w:rFonts w:ascii="Arial" w:cs="Arial" w:eastAsia="Arial" w:hAnsi="Arial"/>
          <w:sz w:val="16"/>
          <w:szCs w:val="16"/>
          <w:color w:val="010000"/>
        </w:rPr>
      </w:pPr>
      <w:r>
        <w:rPr>
          <w:rFonts w:ascii="Arial" w:cs="Arial" w:eastAsia="Arial" w:hAnsi="Arial"/>
          <w:sz w:val="16"/>
          <w:szCs w:val="16"/>
          <w:color w:val="auto"/>
        </w:rPr>
        <w:t>The Company shall have furnished to the Representative a certificate, dated the Closing Date or the Additional Closing Date, as the case may be, of its Chief Executive Officer and its Chief Financial Officer stating that (i) since the effective date of the Registration Statement, no event has occurred which should have been set forth in a supplement or amendment to the Registration Statement, the General Disclosure Package or the Prospectus,</w:t>
      </w:r>
    </w:p>
    <w:p>
      <w:pPr>
        <w:spacing w:after="0" w:line="2" w:lineRule="exact"/>
        <w:rPr>
          <w:rFonts w:ascii="Arial" w:cs="Arial" w:eastAsia="Arial" w:hAnsi="Arial"/>
          <w:sz w:val="16"/>
          <w:szCs w:val="16"/>
          <w:color w:val="010000"/>
        </w:rPr>
      </w:pPr>
    </w:p>
    <w:p>
      <w:pPr>
        <w:jc w:val="both"/>
        <w:ind w:firstLine="8"/>
        <w:spacing w:after="0" w:line="288" w:lineRule="auto"/>
        <w:tabs>
          <w:tab w:leader="none" w:pos="271" w:val="left"/>
        </w:tabs>
        <w:numPr>
          <w:ilvl w:val="0"/>
          <w:numId w:val="25"/>
        </w:numPr>
        <w:rPr>
          <w:rFonts w:ascii="Arial" w:cs="Arial" w:eastAsia="Arial" w:hAnsi="Arial"/>
          <w:sz w:val="16"/>
          <w:szCs w:val="16"/>
          <w:color w:val="auto"/>
        </w:rPr>
      </w:pPr>
      <w:r>
        <w:rPr>
          <w:rFonts w:ascii="Arial" w:cs="Arial" w:eastAsia="Arial" w:hAnsi="Arial"/>
          <w:sz w:val="16"/>
          <w:szCs w:val="16"/>
          <w:color w:val="auto"/>
        </w:rPr>
        <w:t>to the best of their knowledge after reasonable investigation, as of such date, the representations and warranties of the Company in this Agreement are true and correct, except for inaccuracies that would not result in a Material Adverse Effect, and the Company has complied, in all material respects, with all agreements and satisfied all conditions on its part to be performed or satisfied hereunder at or prior to such date, and (iii) there has not been, subsequent to the date of the most recent audited financial statements included or incorporated by reference in the General Disclosure Package, any material adverse change in the financial position or results of operations of the Company and its Subsidiaries, taken as a whole, or any change or development that, individually or in the aggregate, would reasonably be expected to involve a material adverse change in or affecting the condition (financial or otherwise), results of operations, business or assets of the Company and its Subsidiaries, taken as a whole, except as set forth in the Prospectus.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1" w:name="page22"/>
    <w:bookmarkEnd w:id="21"/>
    <w:p>
      <w:pPr>
        <w:jc w:val="both"/>
        <w:ind w:firstLine="1304"/>
        <w:spacing w:after="0" w:line="271" w:lineRule="auto"/>
        <w:tabs>
          <w:tab w:leader="none" w:pos="1564" w:val="left"/>
        </w:tabs>
        <w:numPr>
          <w:ilvl w:val="0"/>
          <w:numId w:val="26"/>
        </w:numPr>
        <w:rPr>
          <w:rFonts w:ascii="Arial" w:cs="Arial" w:eastAsia="Arial" w:hAnsi="Arial"/>
          <w:sz w:val="17"/>
          <w:szCs w:val="17"/>
          <w:color w:val="010000"/>
        </w:rPr>
      </w:pPr>
      <w:r>
        <w:rPr>
          <w:rFonts w:ascii="Arial" w:cs="Arial" w:eastAsia="Arial" w:hAnsi="Arial"/>
          <w:sz w:val="17"/>
          <w:szCs w:val="17"/>
          <w:color w:val="auto"/>
        </w:rPr>
        <w:t xml:space="preserve">Since the date of the latest audited financial statements with respect to the Company and its Subsidiaries included in the General Disclosure Package or incorporated by reference in the General Disclosure Package as of the date hereof, (i) neither the Company nor any of its Subsidiaries shall have sustained any loss or interference with its business from fire, explosion, flood or other calamity, whether or not covered by insurance, or from any labor dispute or court or governmental action, order or decree, otherwise than as set forth in the General Disclosure Package, and (ii) there shall not have been any change in the capital stock of the Company or any change in the long-term debt of the Company and its Subsidiaries, taken as a whole, or any change or any development in or affecting the business, general affairs, management, financial position, stockholders’ equity or results of operations of the Company and its Subsidiaries, taken as a whole, otherwise than as set forth in the General Disclosure Package, the effect of which, in any such case described in clause (i) or (ii) of this </w:t>
      </w:r>
      <w:r>
        <w:rPr>
          <w:rFonts w:ascii="Arial" w:cs="Arial" w:eastAsia="Arial" w:hAnsi="Arial"/>
          <w:sz w:val="17"/>
          <w:szCs w:val="17"/>
          <w:u w:val="single" w:color="auto"/>
          <w:color w:val="auto"/>
        </w:rPr>
        <w:t>Section 6(e)</w:t>
      </w:r>
      <w:r>
        <w:rPr>
          <w:rFonts w:ascii="Arial" w:cs="Arial" w:eastAsia="Arial" w:hAnsi="Arial"/>
          <w:sz w:val="17"/>
          <w:szCs w:val="17"/>
          <w:color w:val="auto"/>
        </w:rPr>
        <w:t>, would result in a Material Adverse Effect.</w:t>
      </w:r>
    </w:p>
    <w:p>
      <w:pPr>
        <w:spacing w:after="0" w:line="178" w:lineRule="exact"/>
        <w:rPr>
          <w:rFonts w:ascii="Arial" w:cs="Arial" w:eastAsia="Arial" w:hAnsi="Arial"/>
          <w:sz w:val="17"/>
          <w:szCs w:val="17"/>
          <w:color w:val="010000"/>
        </w:rPr>
      </w:pPr>
    </w:p>
    <w:p>
      <w:pPr>
        <w:jc w:val="both"/>
        <w:ind w:firstLine="1304"/>
        <w:spacing w:after="0" w:line="259" w:lineRule="auto"/>
        <w:tabs>
          <w:tab w:leader="none" w:pos="1554" w:val="left"/>
        </w:tabs>
        <w:numPr>
          <w:ilvl w:val="0"/>
          <w:numId w:val="26"/>
        </w:numPr>
        <w:rPr>
          <w:rFonts w:ascii="Arial" w:cs="Arial" w:eastAsia="Arial" w:hAnsi="Arial"/>
          <w:sz w:val="18"/>
          <w:szCs w:val="18"/>
          <w:color w:val="010000"/>
        </w:rPr>
      </w:pPr>
      <w:r>
        <w:rPr>
          <w:rFonts w:ascii="Arial" w:cs="Arial" w:eastAsia="Arial" w:hAnsi="Arial"/>
          <w:sz w:val="18"/>
          <w:szCs w:val="18"/>
          <w:color w:val="auto"/>
        </w:rPr>
        <w:t>No action shall have been taken and no law, statute, rule, regulation or order shall have been enacted, adopted or issued by any governmental agency or body which would prevent the issuance or sale of the Notes or result in a Material Adverse Effect; and no injunction, restraining order or order of any other nature by any United States federal or state court of competent jurisdiction shall have been issued which would prevent the issuance or sale of the Notes or result in a Material Adverse Effect.</w:t>
      </w:r>
    </w:p>
    <w:p>
      <w:pPr>
        <w:spacing w:after="0" w:line="186" w:lineRule="exact"/>
        <w:rPr>
          <w:rFonts w:ascii="Arial" w:cs="Arial" w:eastAsia="Arial" w:hAnsi="Arial"/>
          <w:sz w:val="18"/>
          <w:szCs w:val="18"/>
          <w:color w:val="010000"/>
        </w:rPr>
      </w:pPr>
    </w:p>
    <w:p>
      <w:pPr>
        <w:jc w:val="both"/>
        <w:ind w:firstLine="1304"/>
        <w:spacing w:after="0" w:line="286" w:lineRule="auto"/>
        <w:tabs>
          <w:tab w:leader="none" w:pos="1521" w:val="left"/>
        </w:tabs>
        <w:numPr>
          <w:ilvl w:val="0"/>
          <w:numId w:val="26"/>
        </w:numPr>
        <w:rPr>
          <w:rFonts w:ascii="Arial" w:cs="Arial" w:eastAsia="Arial" w:hAnsi="Arial"/>
          <w:sz w:val="16"/>
          <w:szCs w:val="16"/>
          <w:color w:val="010000"/>
        </w:rPr>
      </w:pPr>
      <w:r>
        <w:rPr>
          <w:rFonts w:ascii="Arial" w:cs="Arial" w:eastAsia="Arial" w:hAnsi="Arial"/>
          <w:sz w:val="16"/>
          <w:szCs w:val="16"/>
          <w:color w:val="auto"/>
        </w:rPr>
        <w:t>Subsequent to the execution and delivery of this Agreement there shall not have occurred any of the following: (i) trading in securities generally on the New York Stock Exchange or the Nasdaq Stock Market or in the over-the-counter market, or trading in any securities of the Company on any exchange or in the over-the-counter market, shall have been suspended or materially limited, or minimum or maximum prices or maximum range for prices shall have been established on any such exchange or such market by the Commission, by such exchange or market or by any other regulatory body or governmental authority having jurisdiction; (ii) a banking moratorium shall have been declared by United States federal or state authorities or a material disruption has occurred in commercial banking or securities settlement or clearance services in the United States; (iii) the United States shall have become engaged in hostilities, or the subject of an act of terrorism, or there shall have been an outbreak of or escalation in hostilities involving the United States, or there shall have been a declaration of a national emergency or war by the United States; (iv) if there has been, in the judgment of the Representative, since the time of execution of this Agreement or since the respective dates as of which information is given in the Registration Statement, the General Disclosure Package or the Prospectus, any material adverse change in the condition, financial or otherwise, or in the earnings, business affairs or business prospects of the Company and its subsidiaries, considered as one enterprise, whether or not arising in the ordinary course of business, or (iv) there shall have occurred such a material adverse change in general economic, political or financial conditions (or the effect of international conditions on the financial markets in the United States shall be such) as to make it, in the reasonable judgment of the Underwriter, impracticable or inadvisable to proceed with the sale or delivery of the Notes on the terms and in the manner contemplated in the General Disclosure Package and the Prospectus.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2" w:name="page23"/>
    <w:bookmarkEnd w:id="22"/>
    <w:p>
      <w:pPr>
        <w:jc w:val="both"/>
        <w:ind w:firstLine="1304"/>
        <w:spacing w:after="0" w:line="263" w:lineRule="auto"/>
        <w:tabs>
          <w:tab w:leader="none" w:pos="1551" w:val="left"/>
        </w:tabs>
        <w:numPr>
          <w:ilvl w:val="0"/>
          <w:numId w:val="27"/>
        </w:numPr>
        <w:rPr>
          <w:rFonts w:ascii="Arial" w:cs="Arial" w:eastAsia="Arial" w:hAnsi="Arial"/>
          <w:sz w:val="18"/>
          <w:szCs w:val="18"/>
          <w:color w:val="010000"/>
        </w:rPr>
      </w:pPr>
      <w:r>
        <w:rPr>
          <w:rFonts w:ascii="Arial" w:cs="Arial" w:eastAsia="Arial" w:hAnsi="Arial"/>
          <w:sz w:val="18"/>
          <w:szCs w:val="18"/>
          <w:color w:val="auto"/>
        </w:rPr>
        <w:t>The Underwriters shall have received (i) an opinion and negative assurance letter of Waller Lansden Dortch &amp; Davis, LLP, counsel for the Company, and (ii) Polsinelli PC, intellectual property counsel for the Company, each dated the Closing Date or the Additional Closing Date, as the case may be, covering such matters as the Underwriters shall reasonably request.</w:t>
      </w:r>
    </w:p>
    <w:p>
      <w:pPr>
        <w:spacing w:after="0" w:line="183" w:lineRule="exact"/>
        <w:rPr>
          <w:rFonts w:ascii="Arial" w:cs="Arial" w:eastAsia="Arial" w:hAnsi="Arial"/>
          <w:sz w:val="18"/>
          <w:szCs w:val="18"/>
          <w:color w:val="010000"/>
        </w:rPr>
      </w:pPr>
    </w:p>
    <w:p>
      <w:pPr>
        <w:ind w:right="20" w:firstLine="1304"/>
        <w:spacing w:after="0" w:line="277" w:lineRule="auto"/>
        <w:tabs>
          <w:tab w:leader="none" w:pos="1564" w:val="left"/>
        </w:tabs>
        <w:numPr>
          <w:ilvl w:val="0"/>
          <w:numId w:val="27"/>
        </w:numPr>
        <w:rPr>
          <w:rFonts w:ascii="Arial" w:cs="Arial" w:eastAsia="Arial" w:hAnsi="Arial"/>
          <w:sz w:val="18"/>
          <w:szCs w:val="18"/>
          <w:color w:val="010000"/>
        </w:rPr>
      </w:pPr>
      <w:r>
        <w:rPr>
          <w:rFonts w:ascii="Arial" w:cs="Arial" w:eastAsia="Arial" w:hAnsi="Arial"/>
          <w:sz w:val="18"/>
          <w:szCs w:val="18"/>
          <w:color w:val="auto"/>
        </w:rPr>
        <w:t>The Underwriters shall have received the favorable opinion of Duane Morris LLP, counsel for the Underwriters, dated the Closing Date or the Additional Closing Date, as the case may be, and covering such matters as the Underwriters shall reasonably request.</w:t>
      </w:r>
    </w:p>
    <w:p>
      <w:pPr>
        <w:spacing w:after="0" w:line="170" w:lineRule="exact"/>
        <w:rPr>
          <w:rFonts w:ascii="Arial" w:cs="Arial" w:eastAsia="Arial" w:hAnsi="Arial"/>
          <w:sz w:val="18"/>
          <w:szCs w:val="18"/>
          <w:color w:val="010000"/>
        </w:rPr>
      </w:pPr>
    </w:p>
    <w:p>
      <w:pPr>
        <w:jc w:val="both"/>
        <w:ind w:firstLine="1304"/>
        <w:spacing w:after="0" w:line="259" w:lineRule="auto"/>
        <w:tabs>
          <w:tab w:leader="none" w:pos="1511" w:val="left"/>
        </w:tabs>
        <w:numPr>
          <w:ilvl w:val="0"/>
          <w:numId w:val="27"/>
        </w:numPr>
        <w:rPr>
          <w:rFonts w:ascii="Arial" w:cs="Arial" w:eastAsia="Arial" w:hAnsi="Arial"/>
          <w:sz w:val="18"/>
          <w:szCs w:val="18"/>
          <w:color w:val="010000"/>
        </w:rPr>
      </w:pPr>
      <w:r>
        <w:rPr>
          <w:rFonts w:ascii="Arial" w:cs="Arial" w:eastAsia="Arial" w:hAnsi="Arial"/>
          <w:sz w:val="18"/>
          <w:szCs w:val="18"/>
          <w:color w:val="auto"/>
        </w:rPr>
        <w:t>The Underwriters shall have received from KMJ Corbin &amp; Company LLP letters dated, respectively, the date hereof, the Closing Date and, if applicable, the Additional Closing Date, in form and substance satisfactory to the Representative containing statements and information of the type ordinarily included in accountants’ “comfort letters” to underwriters with respect to the financial statements and certain financial information contained in the General Disclosure Package, the Prospectus and the Registration Statement.</w:t>
      </w:r>
    </w:p>
    <w:p>
      <w:pPr>
        <w:spacing w:after="0" w:line="186" w:lineRule="exact"/>
        <w:rPr>
          <w:rFonts w:ascii="Arial" w:cs="Arial" w:eastAsia="Arial" w:hAnsi="Arial"/>
          <w:sz w:val="18"/>
          <w:szCs w:val="18"/>
          <w:color w:val="010000"/>
        </w:rPr>
      </w:pPr>
    </w:p>
    <w:p>
      <w:pPr>
        <w:ind w:firstLine="1304"/>
        <w:spacing w:after="0" w:line="308" w:lineRule="auto"/>
        <w:tabs>
          <w:tab w:leader="none" w:pos="1511" w:val="left"/>
        </w:tabs>
        <w:numPr>
          <w:ilvl w:val="0"/>
          <w:numId w:val="27"/>
        </w:numPr>
        <w:rPr>
          <w:rFonts w:ascii="Arial" w:cs="Arial" w:eastAsia="Arial" w:hAnsi="Arial"/>
          <w:sz w:val="17"/>
          <w:szCs w:val="17"/>
          <w:color w:val="010000"/>
        </w:rPr>
      </w:pPr>
      <w:r>
        <w:rPr>
          <w:rFonts w:ascii="Arial" w:cs="Arial" w:eastAsia="Arial" w:hAnsi="Arial"/>
          <w:sz w:val="17"/>
          <w:szCs w:val="17"/>
          <w:color w:val="auto"/>
        </w:rPr>
        <w:t>The Company shall have furnished to the Representative such further certificates and documents as the Representative may reasonably require for the purpose of enabling the Underwriters to pass upon the issuance and sale of the Notes as herein contemplated.</w:t>
      </w:r>
    </w:p>
    <w:p>
      <w:pPr>
        <w:spacing w:after="0" w:line="146" w:lineRule="exact"/>
        <w:rPr>
          <w:rFonts w:ascii="Arial" w:cs="Arial" w:eastAsia="Arial" w:hAnsi="Arial"/>
          <w:sz w:val="17"/>
          <w:szCs w:val="17"/>
          <w:color w:val="010000"/>
        </w:rPr>
      </w:pPr>
    </w:p>
    <w:p>
      <w:pPr>
        <w:ind w:left="1560" w:hanging="256"/>
        <w:spacing w:after="0"/>
        <w:tabs>
          <w:tab w:leader="none" w:pos="1560" w:val="left"/>
        </w:tabs>
        <w:numPr>
          <w:ilvl w:val="0"/>
          <w:numId w:val="27"/>
        </w:numPr>
        <w:rPr>
          <w:rFonts w:ascii="Arial" w:cs="Arial" w:eastAsia="Arial" w:hAnsi="Arial"/>
          <w:sz w:val="18"/>
          <w:szCs w:val="18"/>
          <w:color w:val="010000"/>
        </w:rPr>
      </w:pPr>
      <w:r>
        <w:rPr>
          <w:rFonts w:ascii="Arial" w:cs="Arial" w:eastAsia="Arial" w:hAnsi="Arial"/>
          <w:sz w:val="18"/>
          <w:szCs w:val="18"/>
          <w:color w:val="auto"/>
        </w:rPr>
        <w:t>The Company and the Trustee shall have executed and delivered the First Supplemental Indenture and the Notes.</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If any condition specified in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is not satisfied when and as required to be satisfied, this Agreement may be terminated in the absolute discretion of the Representative by notice to the Company at any time on or prior to the Closing Date and, with respect to the Additional Notes, at any time on or prior to the applicable Additional Closing Date, which termination shall be without liability on the part of any party to any other party (except to the extent provided in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hereof), except that </w:t>
      </w:r>
      <w:r>
        <w:rPr>
          <w:rFonts w:ascii="Arial" w:cs="Arial" w:eastAsia="Arial" w:hAnsi="Arial"/>
          <w:sz w:val="16"/>
          <w:szCs w:val="16"/>
          <w:u w:val="single" w:color="auto"/>
          <w:color w:val="auto"/>
        </w:rPr>
        <w:t>Sections 5</w:t>
      </w:r>
      <w:r>
        <w:rPr>
          <w:rFonts w:ascii="Arial" w:cs="Arial" w:eastAsia="Arial" w:hAnsi="Arial"/>
          <w:sz w:val="16"/>
          <w:szCs w:val="16"/>
          <w:color w:val="auto"/>
        </w:rPr>
        <w:t xml:space="preserve">, </w:t>
      </w:r>
      <w:r>
        <w:rPr>
          <w:rFonts w:ascii="Arial" w:cs="Arial" w:eastAsia="Arial" w:hAnsi="Arial"/>
          <w:sz w:val="16"/>
          <w:szCs w:val="16"/>
          <w:u w:val="single" w:color="auto"/>
          <w:color w:val="auto"/>
        </w:rPr>
        <w:t>6</w:t>
      </w:r>
      <w:r>
        <w:rPr>
          <w:rFonts w:ascii="Arial" w:cs="Arial" w:eastAsia="Arial" w:hAnsi="Arial"/>
          <w:sz w:val="16"/>
          <w:szCs w:val="16"/>
          <w:color w:val="auto"/>
        </w:rPr>
        <w:t xml:space="preserve">, </w:t>
      </w:r>
      <w:r>
        <w:rPr>
          <w:rFonts w:ascii="Arial" w:cs="Arial" w:eastAsia="Arial" w:hAnsi="Arial"/>
          <w:sz w:val="16"/>
          <w:szCs w:val="16"/>
          <w:u w:val="single" w:color="auto"/>
          <w:color w:val="auto"/>
        </w:rPr>
        <w:t>8</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w:t>
      </w:r>
      <w:r>
        <w:rPr>
          <w:rFonts w:ascii="Arial" w:cs="Arial" w:eastAsia="Arial" w:hAnsi="Arial"/>
          <w:sz w:val="16"/>
          <w:szCs w:val="16"/>
          <w:color w:val="auto"/>
        </w:rPr>
        <w:t xml:space="preserve"> shall at all times be effective and shall survive such termination.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3" w:name="page24"/>
    <w:bookmarkEnd w:id="23"/>
    <w:p>
      <w:pPr>
        <w:ind w:left="840" w:hanging="184"/>
        <w:spacing w:after="0"/>
        <w:tabs>
          <w:tab w:leader="none" w:pos="8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Increase in Underwriters’ Commitments</w:t>
      </w:r>
      <w:r>
        <w:rPr>
          <w:rFonts w:ascii="Arial" w:cs="Arial" w:eastAsia="Arial" w:hAnsi="Arial"/>
          <w:sz w:val="18"/>
          <w:szCs w:val="18"/>
          <w:u w:val="single" w:color="auto"/>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hereof, if any Underwriter shall default in its obligation to take up and pay for the Firm Notes to be purchased by it hereunder (otherwise than for a failure of a condition set forth in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hereof) and if the aggregate principal amount of Firm Notes which all Underwriters so defaulting shall have agreed but failed to take up and pay for does not exceed 10% of the total aggregate principal amount of Firm Notes, the non-defaulting Underwriters shall take up and pay for (in addition to the aggregate principal amount of Firm Notes they are obligated to purchase pursuant to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hereof) the aggregate principal amount of Firm Notes agreed to be purchased by all such defaulting Underwriters, as hereinafter provided. Such Notes shall be taken up and paid for by such non-defaulting Underwriters in such amount or amounts as the Representative may designate with the consent of each Underwriter so designated or, in the event no such designation is made, such Notes shall be taken up and paid for by all non-defaulting Underwriters pro rata in proportion to the aggregate principal amount of Firm Notes set opposite the names of such non-defaulting Underwriters in </w:t>
      </w:r>
      <w:r>
        <w:rPr>
          <w:rFonts w:ascii="Arial" w:cs="Arial" w:eastAsia="Arial" w:hAnsi="Arial"/>
          <w:sz w:val="18"/>
          <w:szCs w:val="18"/>
          <w:u w:val="single" w:color="auto"/>
          <w:color w:val="auto"/>
        </w:rPr>
        <w:t>Schedule A.</w:t>
      </w:r>
    </w:p>
    <w:p>
      <w:pPr>
        <w:spacing w:after="0" w:line="19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Without relieving any defaulting Underwriter from its obligations hereunder, the Company agrees with the non-defaulting Underwriters that it will not sell any Firm Notes hereunder unless all of the Firm Notes are purchased by the Underwriters (or by substituted Underwriters selected by the Representative with the approval of the Company or selected by the Company with the Representative’s approval).</w:t>
      </w:r>
    </w:p>
    <w:p>
      <w:pPr>
        <w:spacing w:after="0" w:line="16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If a new Underwriter is or Underwriters are substituted by the Representative or by the Company for a defaulting Underwriter or Underwriters in accordance with the foregoing provision, the Company or the Representative shall have the right to postpone the time of purchase for a period not exceeding five business days in order that any necessary changes in the General Disclosure Package and other documents that may be effected.</w:t>
      </w:r>
    </w:p>
    <w:p>
      <w:pPr>
        <w:spacing w:after="0" w:line="16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The term Underwriter as used in this Agreement shall refer to and include any Underwriter substituted under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with like effect as if such substituted Underwriter had originally been named in </w:t>
      </w:r>
      <w:r>
        <w:rPr>
          <w:rFonts w:ascii="Arial" w:cs="Arial" w:eastAsia="Arial" w:hAnsi="Arial"/>
          <w:sz w:val="18"/>
          <w:szCs w:val="18"/>
          <w:u w:val="single" w:color="auto"/>
          <w:color w:val="auto"/>
        </w:rPr>
        <w:t>Schedule A</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If the aggregate principal amount of Firm Notes which the defaulting Underwriter or Underwriters agreed to purchase exceeds 10% of the total aggregate principal amount of Firm Notes which all Underwriters agreed to purchase hereunder, and if neither the non-defaulting Underwriters nor the Company shall make arrangements within the five business day-period stated above for the purchase of all the Firm Notes which the defaulting Underwriter or Underwriters agreed to purchase hereunder, then this Agreement shall terminate without further act or deed and without any liability on the part of the Company to any non-defaulting Underwriter (except as provided in </w:t>
      </w:r>
      <w:r>
        <w:rPr>
          <w:rFonts w:ascii="Arial" w:cs="Arial" w:eastAsia="Arial" w:hAnsi="Arial"/>
          <w:sz w:val="18"/>
          <w:szCs w:val="18"/>
          <w:u w:val="single" w:color="auto"/>
          <w:color w:val="auto"/>
        </w:rPr>
        <w:t>Section 8</w:t>
      </w:r>
      <w:r>
        <w:rPr>
          <w:rFonts w:ascii="Arial" w:cs="Arial" w:eastAsia="Arial" w:hAnsi="Arial"/>
          <w:sz w:val="18"/>
          <w:szCs w:val="18"/>
          <w:color w:val="auto"/>
        </w:rPr>
        <w:t>) and without any liability on the part of any non-defaulting Underwriter to the Company. Nothing in this paragraph, and no action taken hereunder, shall relieve any defaulting Underwriter from liability in respect of any default of such Underwriter under this Agreement.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4" w:name="page25"/>
    <w:bookmarkEnd w:id="24"/>
    <w:p>
      <w:pPr>
        <w:ind w:left="840" w:hanging="184"/>
        <w:spacing w:after="0"/>
        <w:tabs>
          <w:tab w:leader="none" w:pos="840" w:val="left"/>
        </w:tabs>
        <w:numPr>
          <w:ilvl w:val="1"/>
          <w:numId w:val="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Indemnification and Contribution</w:t>
      </w:r>
      <w:r>
        <w:rPr>
          <w:rFonts w:ascii="Arial" w:cs="Arial" w:eastAsia="Arial" w:hAnsi="Arial"/>
          <w:sz w:val="18"/>
          <w:szCs w:val="18"/>
          <w:u w:val="single" w:color="auto"/>
          <w:color w:val="auto"/>
        </w:rPr>
        <w:t>.</w:t>
      </w:r>
    </w:p>
    <w:p>
      <w:pPr>
        <w:spacing w:after="0" w:line="229" w:lineRule="exact"/>
        <w:rPr>
          <w:rFonts w:ascii="Arial" w:cs="Arial" w:eastAsia="Arial" w:hAnsi="Arial"/>
          <w:sz w:val="18"/>
          <w:szCs w:val="18"/>
          <w:b w:val="1"/>
          <w:bCs w:val="1"/>
          <w:color w:val="auto"/>
        </w:rPr>
      </w:pPr>
    </w:p>
    <w:p>
      <w:pPr>
        <w:jc w:val="both"/>
        <w:ind w:firstLine="1304"/>
        <w:spacing w:after="0" w:line="284" w:lineRule="auto"/>
        <w:tabs>
          <w:tab w:leader="none" w:pos="1540" w:val="left"/>
        </w:tabs>
        <w:numPr>
          <w:ilvl w:val="2"/>
          <w:numId w:val="29"/>
        </w:numPr>
        <w:rPr>
          <w:rFonts w:ascii="Arial" w:cs="Arial" w:eastAsia="Arial" w:hAnsi="Arial"/>
          <w:sz w:val="16"/>
          <w:szCs w:val="16"/>
          <w:color w:val="010000"/>
        </w:rPr>
      </w:pPr>
      <w:r>
        <w:rPr>
          <w:rFonts w:ascii="Arial" w:cs="Arial" w:eastAsia="Arial" w:hAnsi="Arial"/>
          <w:sz w:val="16"/>
          <w:szCs w:val="16"/>
          <w:color w:val="auto"/>
        </w:rPr>
        <w:t>The Company agrees to indemnify and hold harmless each Underwriter, its respective affiliates and each of their respective directors, officers, members, employees, representatives and agents and their respective affiliates, and each person, if any, who controls such Underwriter within the meaning of Section 15 of the Securities Act or Section 20 of the Exchange Act (collectively the “</w:t>
      </w:r>
      <w:r>
        <w:rPr>
          <w:rFonts w:ascii="Arial" w:cs="Arial" w:eastAsia="Arial" w:hAnsi="Arial"/>
          <w:sz w:val="16"/>
          <w:szCs w:val="16"/>
          <w:b w:val="1"/>
          <w:bCs w:val="1"/>
          <w:color w:val="auto"/>
        </w:rPr>
        <w:t>Underwriter Indemnified Parties</w:t>
      </w:r>
      <w:r>
        <w:rPr>
          <w:rFonts w:ascii="Arial" w:cs="Arial" w:eastAsia="Arial" w:hAnsi="Arial"/>
          <w:sz w:val="16"/>
          <w:szCs w:val="16"/>
          <w:color w:val="auto"/>
        </w:rPr>
        <w:t>,” and each, an “</w:t>
      </w:r>
      <w:r>
        <w:rPr>
          <w:rFonts w:ascii="Arial" w:cs="Arial" w:eastAsia="Arial" w:hAnsi="Arial"/>
          <w:sz w:val="16"/>
          <w:szCs w:val="16"/>
          <w:b w:val="1"/>
          <w:bCs w:val="1"/>
          <w:color w:val="auto"/>
        </w:rPr>
        <w:t>Underwriter Indemnified Party</w:t>
      </w:r>
      <w:r>
        <w:rPr>
          <w:rFonts w:ascii="Arial" w:cs="Arial" w:eastAsia="Arial" w:hAnsi="Arial"/>
          <w:sz w:val="16"/>
          <w:szCs w:val="16"/>
          <w:color w:val="auto"/>
        </w:rPr>
        <w:t>”) against any loss, claim, damage, expense or liability whatsoever (or any action, investigation or proceeding in respect thereof), joint or several, to which such Underwriter Indemnified Party may become subject, under the Securities Act or otherwise, insofar as such loss, claim, damage, expense, liability, action, investigation or proceeding arises out of or is based upon (A) any untrue statement or alleged untrue statement of a material fact contained in any Issuer Free Writing Prospectus, any “issuer information” filed or required to be filed pursuant to Rule 433(d) of the Rules and Regulations, any Registration Statement or the Prospectus, or in any amendment or supplement thereto or document incorporated by reference therein,</w:t>
      </w:r>
    </w:p>
    <w:p>
      <w:pPr>
        <w:jc w:val="both"/>
        <w:ind w:firstLine="8"/>
        <w:spacing w:after="0" w:line="267" w:lineRule="auto"/>
        <w:tabs>
          <w:tab w:leader="none" w:pos="292" w:val="left"/>
        </w:tabs>
        <w:numPr>
          <w:ilvl w:val="0"/>
          <w:numId w:val="30"/>
        </w:numPr>
        <w:rPr>
          <w:rFonts w:ascii="Arial" w:cs="Arial" w:eastAsia="Arial" w:hAnsi="Arial"/>
          <w:sz w:val="17"/>
          <w:szCs w:val="17"/>
          <w:color w:val="auto"/>
        </w:rPr>
      </w:pPr>
      <w:r>
        <w:rPr>
          <w:rFonts w:ascii="Arial" w:cs="Arial" w:eastAsia="Arial" w:hAnsi="Arial"/>
          <w:sz w:val="17"/>
          <w:szCs w:val="17"/>
          <w:color w:val="auto"/>
        </w:rPr>
        <w:t xml:space="preserve">the omission or alleged omission to state in any Issuer Free Writing Prospectus, any “issuer information” filed or required to be filed pursuant to Rule 433(d) of the Rules and Regulations, any Registration Statement or the Prospectus, or in any amendment or supplement thereto or document incorporated by reference therein, a material fact required to be stated therein or necessary to make the statements therein not misleading, or (C) any breach of the representations and warranties of the Company contained herein or failure of the Company to perform its obligations hereunder or pursuant to any law, and shall reimburse the Underwriter Indemnified Party promptly upon demand for any legal fees or other expenses reasonably incurred by such Underwriter Indemnified Party in connection with investigating, or preparing to defend, or defending against, or appearing as a third party witness in respect of, or otherwise incurred in connection with, any such loss, claim, damage, expense, liability, action, investigation or proceeding, as such fees and expenses are incurred;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Company shall not be liable in any such case to the extent that any such loss, claim, damage, expense or liability arises out of or is based upon an untrue statement or alleged untrue statement in, or omission or alleged omission from, any Registration Statement or the Prospectus, or any such amendment or supplement thereto, or any Issuer Free Writing Prospectus made in reliance upon and in conformity with written information concerning the Underwriters furnished to the Company by or on behalf of the Underwriters specifically for use therein, which information the parties hereto agree is limited to the Underwriter’s Information. This indemnity agreement is not exclusive and will be in addition to any liability, which the Company may otherwise have and shall not limit any rights or remedies which may otherwise be available at law or in equity to each Underwriter Indemnified Party.</w:t>
      </w:r>
    </w:p>
    <w:p>
      <w:pPr>
        <w:spacing w:after="0" w:line="181" w:lineRule="exact"/>
        <w:rPr>
          <w:rFonts w:ascii="Arial" w:cs="Arial" w:eastAsia="Arial" w:hAnsi="Arial"/>
          <w:sz w:val="17"/>
          <w:szCs w:val="17"/>
          <w:color w:val="auto"/>
        </w:rPr>
      </w:pPr>
    </w:p>
    <w:p>
      <w:pPr>
        <w:jc w:val="both"/>
        <w:ind w:firstLine="1304"/>
        <w:spacing w:after="0" w:line="285" w:lineRule="auto"/>
        <w:tabs>
          <w:tab w:leader="none" w:pos="1564" w:val="left"/>
        </w:tabs>
        <w:numPr>
          <w:ilvl w:val="2"/>
          <w:numId w:val="30"/>
        </w:numPr>
        <w:rPr>
          <w:rFonts w:ascii="Arial" w:cs="Arial" w:eastAsia="Arial" w:hAnsi="Arial"/>
          <w:sz w:val="16"/>
          <w:szCs w:val="16"/>
          <w:color w:val="010000"/>
        </w:rPr>
      </w:pPr>
      <w:r>
        <w:rPr>
          <w:rFonts w:ascii="Arial" w:cs="Arial" w:eastAsia="Arial" w:hAnsi="Arial"/>
          <w:sz w:val="16"/>
          <w:szCs w:val="16"/>
          <w:color w:val="auto"/>
        </w:rPr>
        <w:t>Each Underwriter severally and not jointly agrees to indemnify and hold harmless the Company and its directors, its officers who signed the Registration Statement and each person, if any, who controls the Company within the meaning of Section 15 of the Securities Act or Section 20 of the Exchange Act (collectively the “</w:t>
      </w:r>
      <w:r>
        <w:rPr>
          <w:rFonts w:ascii="Arial" w:cs="Arial" w:eastAsia="Arial" w:hAnsi="Arial"/>
          <w:sz w:val="16"/>
          <w:szCs w:val="16"/>
          <w:b w:val="1"/>
          <w:bCs w:val="1"/>
          <w:color w:val="auto"/>
        </w:rPr>
        <w:t>Company Indemnified Parties</w:t>
      </w:r>
      <w:r>
        <w:rPr>
          <w:rFonts w:ascii="Arial" w:cs="Arial" w:eastAsia="Arial" w:hAnsi="Arial"/>
          <w:sz w:val="16"/>
          <w:szCs w:val="16"/>
          <w:color w:val="auto"/>
        </w:rPr>
        <w:t>” and each a “</w:t>
      </w:r>
      <w:r>
        <w:rPr>
          <w:rFonts w:ascii="Arial" w:cs="Arial" w:eastAsia="Arial" w:hAnsi="Arial"/>
          <w:sz w:val="16"/>
          <w:szCs w:val="16"/>
          <w:b w:val="1"/>
          <w:bCs w:val="1"/>
          <w:color w:val="auto"/>
        </w:rPr>
        <w:t>Company Indemnified Party</w:t>
      </w:r>
      <w:r>
        <w:rPr>
          <w:rFonts w:ascii="Arial" w:cs="Arial" w:eastAsia="Arial" w:hAnsi="Arial"/>
          <w:sz w:val="16"/>
          <w:szCs w:val="16"/>
          <w:color w:val="auto"/>
        </w:rPr>
        <w:t>”) against any loss, claim, damage, expense or liability whatsoever (or any action, investigation or proceeding in respect thereof), joint or several, to which such Company Indemnified Party may become subject, under the Securities Act or otherwise, insofar as such loss, claim, damage, expense, liability, action, investigation or proceeding arises out of or is based upon (i) any untrue statement or alleged untrue statement of a material fact contained in any Issuer Free Writing Prospectus, any “issuer information” filed or required to be filed pursuant to Rule 433(d) of the Rules and Regulations, any Registration Statement or the Prospectus, or in any amendment or supplement thereto, or (ii) the omission or alleged omission to state in any Issuer Free Writing Prospectus, any “issuer information” filed or required to be filed pursuant to Rule 433(d) of the Rules and Regulations, any Registration Statement or the Prospectus, or in any amendment or supplement thereto, a material fact required to be stated therein or necessary to make the statements therein not misleading, but in each case only to the extent that the untrue statement or alleged untrue statement or omission or alleged omission was made in reliance upon and in conformity with written information furnished to the Company by or on behalf of such Underwriter specifically for use therein, which information the parties hereto agree is limited to the Underwriter’s Information, and shall reimburse the Company Indemnified Parties for any legal or other expenses reasonably incurred by such party in connection with investigating or preparing to defend or defending against or appearing as third party witness in connection with any such loss, claim, damage, liability, action, investigation or proceeding, as such fees and expenses are incurred. This indemnity agreement is not exclusive and will be in addition to any liability which such Underwriter might otherwise have and shall not limit any rights or remedies which may otherwise be available under this Agreement, at law or in equity to the Company Indemnified Parties.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5" w:name="page26"/>
    <w:bookmarkEnd w:id="25"/>
    <w:p>
      <w:pPr>
        <w:jc w:val="both"/>
        <w:ind w:firstLine="1304"/>
        <w:spacing w:after="0" w:line="283" w:lineRule="auto"/>
        <w:tabs>
          <w:tab w:leader="none" w:pos="1554" w:val="left"/>
        </w:tabs>
        <w:numPr>
          <w:ilvl w:val="0"/>
          <w:numId w:val="31"/>
        </w:numPr>
        <w:rPr>
          <w:rFonts w:ascii="Arial" w:cs="Arial" w:eastAsia="Arial" w:hAnsi="Arial"/>
          <w:sz w:val="16"/>
          <w:szCs w:val="16"/>
          <w:color w:val="010000"/>
        </w:rPr>
      </w:pPr>
      <w:r>
        <w:rPr>
          <w:rFonts w:ascii="Arial" w:cs="Arial" w:eastAsia="Arial" w:hAnsi="Arial"/>
          <w:sz w:val="16"/>
          <w:szCs w:val="16"/>
          <w:color w:val="auto"/>
        </w:rPr>
        <w:t xml:space="preserve">Promptly after receipt by an indemnified party under this Section 8 of notice of the commencement of any action, the indemnified party shall, if a claim in respect thereof is to be made against an indemnifying party under this Section 8, notify such indemnifying party in writing of the commencement of that 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failure to notify the indemnifying party shall not relieve it from any liability which it may have under this Section 8 except to the extent it has been materially prejudiced by such failure;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the failure to notify an indemnifying party shall not relieve it from any liability which it may have to an indemnified party otherwise than under this Section 8. If any such action shall be brought against an indemnified party, and it shall notify the indemnifying party thereof, the indemnifying party shall be entitled to participate therein and, to the extent that it wishes, jointly with any other similarly notified indemnifying party, to assume the defense of such action with counsel reasonably satisfactory to the indemnified party (which counsel shall not, except with the written consent of the indemnified party, be counsel to the indemnifying party). After notice from the indemnifying party to the indemnified party of its election to assume the defense of such action and approval by the indemnified party of counsel as set forth herein, except as provided herein, the indemnifying party shall not be liable to the indemnified party under Section 8 for any legal or other expenses subsequently incurred by the indemnified party in connection with the defense of such action other than reasonable costs of investigation;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any indemnified party shall have the right to employ separate counsel in any such action and to participate in the defense of such action but the fees and expenses of such counsel (other than reasonable costs of investigation which shall remain the expense of the Company) shall be at the expense of such indemnified party unless (i) in the case of an Underwriter Indemnified Party, the employment thereof has been specifically authorized in writing by the Company in the case of a claim for indemnification under </w:t>
      </w:r>
      <w:r>
        <w:rPr>
          <w:rFonts w:ascii="Arial" w:cs="Arial" w:eastAsia="Arial" w:hAnsi="Arial"/>
          <w:sz w:val="16"/>
          <w:szCs w:val="16"/>
          <w:u w:val="single" w:color="auto"/>
          <w:color w:val="auto"/>
        </w:rPr>
        <w:t>Section 8(a)</w:t>
      </w:r>
      <w:r>
        <w:rPr>
          <w:rFonts w:ascii="Arial" w:cs="Arial" w:eastAsia="Arial" w:hAnsi="Arial"/>
          <w:sz w:val="16"/>
          <w:szCs w:val="16"/>
          <w:color w:val="auto"/>
        </w:rPr>
        <w:t xml:space="preserve">, or (ii) such indemnified party shall have been advised by its counsel that there may be one or more legal defenses available to it which are different from or additional to those available to the indemnifying party, or (iii) the indemnifying party has failed to assume the defense of such action and employ counsel reasonably satisfactory to the indemnified party within a reasonable period of time after notice of the commencement of the action or the indemnifying party does not diligently defend the action after assumption of the defense, in which case, if such indemnified party notifies the indemnifying party in writing that it elects to employ separate counsel at the expense of the indemnifying party, the indemnifying party shall not have the right to assume the defense of (or, in the case of a failure to diligently defend the action after assumption of the defense, to continue to defend) such action on behalf of such indemnified party and the indemnifying party shall be responsible for legal or other expenses subsequently incurred by such indemnified party in connection with the defense of such 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indemnifying party shall not, in connection with any one such action or separate but substantially similar or related actions in the same jurisdiction arising out of the same general allegations or circumstances, be liable for the reasonable fees and expenses of more than one separate firm of attorneys at any time for all such indemnified parties (in addition to any local counsel), which firm shall be designated in writing by the Underwriter if the indemnified parties under this Section 8 consist of any Underwriter Indemnified Party or by the Company if the indemnified parties under this Section 8 consist of any Company Indemnified Parties. Subject to this Section 8(d), the amount payable by an indemnifying party under Section 8 shall include, but not be limited to, (x) reasonable legal fees and expenses of counsel to the indemnified party and any other expenses in investigating, or preparing to defend or defending against, or appearing as a third party witness in respect of, or otherwise incurred in connection with, any action, investigation, proceeding or claim, and (y) all amounts paid in settlement of any of the foregoing. No indemnifying party shall, without the prior written consent of the indemnified parties, settle or compromise or consent to the entry of judgment with respect to any pending or threatened action or any claim whatsoever, in respect of which indemnification or contribution could be sought under this Section 8 (whether or not the indemnified parties are actual or potential parties thereto), unless such settlement, compromise or consent (i) includes an unconditional release of each indemnified party in form and substance reasonably satisfactory to such indemnified party from all liability arising out of such action or claim and (ii) does not include a statement as to or an admission of fault, culpability or a failure to act by or on behalf of any indemnified party. Subject to the provisions of the following sentence, no indemnifying party shall be liable for settlement of any pending or threatened action or any claim whatsoever that is effected without its written consent (which consent shall not be unreasonably withheld or delayed), but if settled with its written consent, or if its consent has been unreasonably withheld or delayed, or if there be a judgment for the plaintiff in any such matter, the indemnifying party agrees to indemnify and hold harmless any indemnified party from and against any loss or liability by reason of such settlement or judgment. In addition, if at any time an indemnified party shall have requested that an indemnifying party reimburse the indemnified party for reasonable fees and expenses of counsel, such indemnifying party agrees that it shall be liable for any settlement of the nature contemplated herein effected without its written consent if (i) such settlement is entered into more than forty-five (45) days after receipt by such indemnifying party of the request for reimbursement, (ii) such indemnifying party shall have received notice of the terms of such settlement at least thirty (30) days prior to such settlement being entered into and (iii) such indemnifying party shall not have reimbursed such indemnified party in accordance with such request prior to the date of such settlement.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6" w:name="page27"/>
    <w:bookmarkEnd w:id="26"/>
    <w:p>
      <w:pPr>
        <w:jc w:val="both"/>
        <w:ind w:firstLine="1304"/>
        <w:spacing w:after="0" w:line="286" w:lineRule="auto"/>
        <w:tabs>
          <w:tab w:leader="none" w:pos="1551" w:val="left"/>
        </w:tabs>
        <w:numPr>
          <w:ilvl w:val="0"/>
          <w:numId w:val="32"/>
        </w:numPr>
        <w:rPr>
          <w:rFonts w:ascii="Arial" w:cs="Arial" w:eastAsia="Arial" w:hAnsi="Arial"/>
          <w:sz w:val="16"/>
          <w:szCs w:val="16"/>
          <w:color w:val="010000"/>
        </w:rPr>
      </w:pPr>
      <w:r>
        <w:rPr>
          <w:rFonts w:ascii="Arial" w:cs="Arial" w:eastAsia="Arial" w:hAnsi="Arial"/>
          <w:sz w:val="16"/>
          <w:szCs w:val="16"/>
          <w:color w:val="auto"/>
        </w:rPr>
        <w:t xml:space="preserve">If the indemnification provided for in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is unavailable or insufficient to hold harmless an indemnified party under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8(a)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8(b)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8(c)</w:t>
      </w:r>
      <w:r>
        <w:rPr>
          <w:rFonts w:ascii="Arial" w:cs="Arial" w:eastAsia="Arial" w:hAnsi="Arial"/>
          <w:sz w:val="16"/>
          <w:szCs w:val="16"/>
          <w:color w:val="auto"/>
        </w:rPr>
        <w:t xml:space="preserve">, then each applicable indemnifying party shall, in lieu of indemnifying such indemnified party, contribute to the amount paid, payable or otherwise incurred by such indemnified party as a result of such loss, claim, damage, expense or liability (or any action, investigation or proceeding in respect thereof), as incurred, (i) in such proportion as shall be appropriate to reflect the relative benefits received by the Company on the one hand and the Underwriters on the other hand from the Offering, or (ii) if the allocation provided by clause (i) of this </w:t>
      </w:r>
      <w:r>
        <w:rPr>
          <w:rFonts w:ascii="Arial" w:cs="Arial" w:eastAsia="Arial" w:hAnsi="Arial"/>
          <w:sz w:val="16"/>
          <w:szCs w:val="16"/>
          <w:u w:val="single" w:color="auto"/>
          <w:color w:val="auto"/>
        </w:rPr>
        <w:t>Section 8(d)</w:t>
      </w:r>
      <w:r>
        <w:rPr>
          <w:rFonts w:ascii="Arial" w:cs="Arial" w:eastAsia="Arial" w:hAnsi="Arial"/>
          <w:sz w:val="16"/>
          <w:szCs w:val="16"/>
          <w:color w:val="auto"/>
        </w:rPr>
        <w:t xml:space="preserve"> is not permitted by applicable law, in such proportion as is appropriate to reflect not only the relative benefits referred to in clause (i) of this </w:t>
      </w:r>
      <w:r>
        <w:rPr>
          <w:rFonts w:ascii="Arial" w:cs="Arial" w:eastAsia="Arial" w:hAnsi="Arial"/>
          <w:sz w:val="16"/>
          <w:szCs w:val="16"/>
          <w:u w:val="single" w:color="auto"/>
          <w:color w:val="auto"/>
        </w:rPr>
        <w:t>Section 8(d)</w:t>
      </w:r>
      <w:r>
        <w:rPr>
          <w:rFonts w:ascii="Arial" w:cs="Arial" w:eastAsia="Arial" w:hAnsi="Arial"/>
          <w:sz w:val="16"/>
          <w:szCs w:val="16"/>
          <w:color w:val="auto"/>
        </w:rPr>
        <w:t xml:space="preserve"> but also the relative fault of the Company on the one hand and each of the respective Underwriters on the other with respect to the statements, omissions, acts or failures to act which resulted in such loss, claim, damage, expense or liability (or any action, investigation or proceeding in respect thereof) as well as any other relevant equitable considerations. The relative benefits received by the Company on the one hand and the Underwriters on the other hand with respect to such Offering shall be deemed to be in the same proportion as the total net proceeds from the Offering pursuant to this Agreement (before deducting expenses) received by the Company bear to the total compensation received by the Underwriter in connection with the Offering, in each case as set forth in the table on the cover page of the Prospectus. The relative fault of the Company on the one hand and the Underwriters on the other hand shall be determined by reference to, among other things, whether the untrue or alleged untrue statement of a material fact or the omission or alleged omission to state a material fact relates to information supplied by the Company on the one hand or the Underwriters on the other hand, the intent of the parties and their relative knowledge, access to information and opportunity to correct or prevent such untrue statement, omission, act or failure to act.</w:t>
      </w:r>
    </w:p>
    <w:p>
      <w:pPr>
        <w:spacing w:after="0" w:line="16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The Company and the Underwriters agree that it would not be just and equitable if contributions pursuant to this </w:t>
      </w:r>
      <w:r>
        <w:rPr>
          <w:rFonts w:ascii="Arial" w:cs="Arial" w:eastAsia="Arial" w:hAnsi="Arial"/>
          <w:sz w:val="17"/>
          <w:szCs w:val="17"/>
          <w:u w:val="single" w:color="auto"/>
          <w:color w:val="auto"/>
        </w:rPr>
        <w:t>Section 8(d)</w:t>
      </w:r>
      <w:r>
        <w:rPr>
          <w:rFonts w:ascii="Arial" w:cs="Arial" w:eastAsia="Arial" w:hAnsi="Arial"/>
          <w:sz w:val="17"/>
          <w:szCs w:val="17"/>
          <w:color w:val="auto"/>
        </w:rPr>
        <w:t xml:space="preserve"> were to be determined by pro rata allocation or by any other method of allocation that does not take into account the equitable considerations referred to herein. The amount paid or payable by an indemnified party as a result of the loss, claim, damage, expense, liability, action, investigation or proceeding referred to above in this </w:t>
      </w:r>
      <w:r>
        <w:rPr>
          <w:rFonts w:ascii="Arial" w:cs="Arial" w:eastAsia="Arial" w:hAnsi="Arial"/>
          <w:sz w:val="17"/>
          <w:szCs w:val="17"/>
          <w:u w:val="single" w:color="auto"/>
          <w:color w:val="auto"/>
        </w:rPr>
        <w:t>Section 8(d)</w:t>
      </w:r>
      <w:r>
        <w:rPr>
          <w:rFonts w:ascii="Arial" w:cs="Arial" w:eastAsia="Arial" w:hAnsi="Arial"/>
          <w:sz w:val="17"/>
          <w:szCs w:val="17"/>
          <w:color w:val="auto"/>
        </w:rPr>
        <w:t xml:space="preserve"> shall be deemed to include, for purposes of this </w:t>
      </w:r>
      <w:r>
        <w:rPr>
          <w:rFonts w:ascii="Arial" w:cs="Arial" w:eastAsia="Arial" w:hAnsi="Arial"/>
          <w:sz w:val="17"/>
          <w:szCs w:val="17"/>
          <w:u w:val="single" w:color="auto"/>
          <w:color w:val="auto"/>
        </w:rPr>
        <w:t>Section 8(d)</w:t>
      </w:r>
      <w:r>
        <w:rPr>
          <w:rFonts w:ascii="Arial" w:cs="Arial" w:eastAsia="Arial" w:hAnsi="Arial"/>
          <w:sz w:val="17"/>
          <w:szCs w:val="17"/>
          <w:color w:val="auto"/>
        </w:rPr>
        <w:t xml:space="preserve">, any legal or other expenses reasonably incurred by such indemnified party in connection with investigating, preparing to defend or defending against or appearing as a third party witness in respect of, or otherwise incurred in connection with, any such loss, claim, damage, expense, liability, action, investigation or proceeding. Notwithstanding the provisions of this </w:t>
      </w:r>
      <w:r>
        <w:rPr>
          <w:rFonts w:ascii="Arial" w:cs="Arial" w:eastAsia="Arial" w:hAnsi="Arial"/>
          <w:sz w:val="17"/>
          <w:szCs w:val="17"/>
          <w:u w:val="single" w:color="auto"/>
          <w:color w:val="auto"/>
        </w:rPr>
        <w:t>Section 8(d)</w:t>
      </w:r>
      <w:r>
        <w:rPr>
          <w:rFonts w:ascii="Arial" w:cs="Arial" w:eastAsia="Arial" w:hAnsi="Arial"/>
          <w:sz w:val="17"/>
          <w:szCs w:val="17"/>
          <w:color w:val="auto"/>
        </w:rPr>
        <w:t>, no Underwriter shall be required to contribute any amount in excess of the total compensation received by such Underwriter hereunder less the amount of any damages which such Underwriter has otherwise paid or become liable to pay by reason of any untrue or alleged untrue statement, omission or alleged omission, act or alleged act or failure to act or alleged failure to act.</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 person guilty of fraudulent misrepresentation (within the meaning of Section 10(f) of the Securities Act) shall be entitled to contribution from any person who was not guilty of such fraudulent misrepresentation.</w:t>
      </w:r>
    </w:p>
    <w:p>
      <w:pPr>
        <w:spacing w:after="0" w:line="166" w:lineRule="exact"/>
        <w:rPr>
          <w:sz w:val="20"/>
          <w:szCs w:val="20"/>
          <w:color w:val="auto"/>
        </w:rPr>
      </w:pPr>
    </w:p>
    <w:p>
      <w:pPr>
        <w:ind w:left="840" w:hanging="184"/>
        <w:spacing w:after="0"/>
        <w:tabs>
          <w:tab w:leader="none" w:pos="8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Absence of Fiduciary Relationship</w:t>
      </w:r>
      <w:r>
        <w:rPr>
          <w:rFonts w:ascii="Arial" w:cs="Arial" w:eastAsia="Arial" w:hAnsi="Arial"/>
          <w:sz w:val="18"/>
          <w:szCs w:val="18"/>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acknowledges and agrees that:</w:t>
      </w:r>
    </w:p>
    <w:p>
      <w:pPr>
        <w:spacing w:after="0" w:line="229" w:lineRule="exact"/>
        <w:rPr>
          <w:rFonts w:ascii="Arial" w:cs="Arial" w:eastAsia="Arial" w:hAnsi="Arial"/>
          <w:sz w:val="18"/>
          <w:szCs w:val="18"/>
          <w:b w:val="1"/>
          <w:bCs w:val="1"/>
          <w:color w:val="auto"/>
        </w:rPr>
      </w:pPr>
    </w:p>
    <w:p>
      <w:pPr>
        <w:jc w:val="both"/>
        <w:ind w:firstLine="1304"/>
        <w:spacing w:after="0" w:line="259" w:lineRule="auto"/>
        <w:tabs>
          <w:tab w:leader="none" w:pos="1540" w:val="left"/>
        </w:tabs>
        <w:numPr>
          <w:ilvl w:val="1"/>
          <w:numId w:val="33"/>
        </w:numPr>
        <w:rPr>
          <w:rFonts w:ascii="Arial" w:cs="Arial" w:eastAsia="Arial" w:hAnsi="Arial"/>
          <w:sz w:val="18"/>
          <w:szCs w:val="18"/>
          <w:color w:val="010000"/>
        </w:rPr>
      </w:pPr>
      <w:r>
        <w:rPr>
          <w:rFonts w:ascii="Arial" w:cs="Arial" w:eastAsia="Arial" w:hAnsi="Arial"/>
          <w:sz w:val="18"/>
          <w:szCs w:val="18"/>
          <w:color w:val="auto"/>
        </w:rPr>
        <w:t>the Underwriters’ responsibility to the Company is solely contractual in nature, the Underwriters have been retained solely to act as underwriters in connection with the Offering and no fiduciary, advisory or agency relationship between the Company and any Underwriter has been created in respect of any of the transactions contemplated by this Agreement, irrespective of whether such Underwriter has advised or is advising the Company on other matters;</w:t>
      </w:r>
    </w:p>
    <w:p>
      <w:pPr>
        <w:spacing w:after="0" w:line="186" w:lineRule="exact"/>
        <w:rPr>
          <w:rFonts w:ascii="Arial" w:cs="Arial" w:eastAsia="Arial" w:hAnsi="Arial"/>
          <w:sz w:val="18"/>
          <w:szCs w:val="18"/>
          <w:color w:val="010000"/>
        </w:rPr>
      </w:pPr>
    </w:p>
    <w:p>
      <w:pPr>
        <w:jc w:val="both"/>
        <w:ind w:firstLine="1304"/>
        <w:spacing w:after="0" w:line="263" w:lineRule="auto"/>
        <w:tabs>
          <w:tab w:leader="none" w:pos="1551" w:val="left"/>
        </w:tabs>
        <w:numPr>
          <w:ilvl w:val="1"/>
          <w:numId w:val="33"/>
        </w:numPr>
        <w:rPr>
          <w:rFonts w:ascii="Arial" w:cs="Arial" w:eastAsia="Arial" w:hAnsi="Arial"/>
          <w:sz w:val="18"/>
          <w:szCs w:val="18"/>
          <w:color w:val="010000"/>
        </w:rPr>
      </w:pPr>
      <w:r>
        <w:rPr>
          <w:rFonts w:ascii="Arial" w:cs="Arial" w:eastAsia="Arial" w:hAnsi="Arial"/>
          <w:sz w:val="18"/>
          <w:szCs w:val="18"/>
          <w:color w:val="auto"/>
        </w:rPr>
        <w:t>the price of the Notes set forth in this Agreement was established by the Company following discussions and arms-length negotiations with the Underwriters, and the Company is capable of evaluating and understanding, and understands and accepts, the terms, risks and conditions of the transactions contemplated by this Agreement;</w:t>
      </w:r>
    </w:p>
    <w:p>
      <w:pPr>
        <w:spacing w:after="0" w:line="183" w:lineRule="exact"/>
        <w:rPr>
          <w:rFonts w:ascii="Arial" w:cs="Arial" w:eastAsia="Arial" w:hAnsi="Arial"/>
          <w:sz w:val="18"/>
          <w:szCs w:val="18"/>
          <w:color w:val="010000"/>
        </w:rPr>
      </w:pPr>
    </w:p>
    <w:p>
      <w:pPr>
        <w:ind w:firstLine="1304"/>
        <w:spacing w:after="0" w:line="277" w:lineRule="auto"/>
        <w:tabs>
          <w:tab w:leader="none" w:pos="1567" w:val="left"/>
        </w:tabs>
        <w:numPr>
          <w:ilvl w:val="1"/>
          <w:numId w:val="33"/>
        </w:numPr>
        <w:rPr>
          <w:rFonts w:ascii="Arial" w:cs="Arial" w:eastAsia="Arial" w:hAnsi="Arial"/>
          <w:sz w:val="18"/>
          <w:szCs w:val="18"/>
          <w:color w:val="010000"/>
        </w:rPr>
      </w:pPr>
      <w:r>
        <w:rPr>
          <w:rFonts w:ascii="Arial" w:cs="Arial" w:eastAsia="Arial" w:hAnsi="Arial"/>
          <w:sz w:val="18"/>
          <w:szCs w:val="18"/>
          <w:color w:val="auto"/>
        </w:rPr>
        <w:t>no Underwriter has advised, and no Underwriter is advising, the Company or any other person as to any legal, tax, investment, accounting or regulatory matters in any jurisdiction with respect to the transactions contemplated hereby;</w:t>
      </w:r>
    </w:p>
    <w:p>
      <w:pPr>
        <w:spacing w:after="0" w:line="170" w:lineRule="exact"/>
        <w:rPr>
          <w:rFonts w:ascii="Arial" w:cs="Arial" w:eastAsia="Arial" w:hAnsi="Arial"/>
          <w:sz w:val="18"/>
          <w:szCs w:val="18"/>
          <w:color w:val="010000"/>
        </w:rPr>
      </w:pPr>
    </w:p>
    <w:p>
      <w:pPr>
        <w:jc w:val="both"/>
        <w:ind w:firstLine="1304"/>
        <w:spacing w:after="0" w:line="263" w:lineRule="auto"/>
        <w:tabs>
          <w:tab w:leader="none" w:pos="1564" w:val="left"/>
        </w:tabs>
        <w:numPr>
          <w:ilvl w:val="1"/>
          <w:numId w:val="33"/>
        </w:numPr>
        <w:rPr>
          <w:rFonts w:ascii="Arial" w:cs="Arial" w:eastAsia="Arial" w:hAnsi="Arial"/>
          <w:sz w:val="18"/>
          <w:szCs w:val="18"/>
          <w:color w:val="010000"/>
        </w:rPr>
      </w:pPr>
      <w:r>
        <w:rPr>
          <w:rFonts w:ascii="Arial" w:cs="Arial" w:eastAsia="Arial" w:hAnsi="Arial"/>
          <w:sz w:val="18"/>
          <w:szCs w:val="18"/>
          <w:color w:val="auto"/>
        </w:rPr>
        <w:t>the Company shall consult with its own advisors concerning such matters and shall be responsible for making its own independent investigation and appraisal of the transactions contemplated hereby, and no Underwriter shall have any responsibility or liability to the Company with respect thereto;</w:t>
      </w:r>
    </w:p>
    <w:p>
      <w:pPr>
        <w:spacing w:after="0" w:line="183" w:lineRule="exact"/>
        <w:rPr>
          <w:rFonts w:ascii="Arial" w:cs="Arial" w:eastAsia="Arial" w:hAnsi="Arial"/>
          <w:sz w:val="18"/>
          <w:szCs w:val="18"/>
          <w:color w:val="010000"/>
        </w:rPr>
      </w:pPr>
    </w:p>
    <w:p>
      <w:pPr>
        <w:ind w:left="1540" w:hanging="236"/>
        <w:spacing w:after="0"/>
        <w:tabs>
          <w:tab w:leader="none" w:pos="1540" w:val="left"/>
        </w:tabs>
        <w:numPr>
          <w:ilvl w:val="1"/>
          <w:numId w:val="33"/>
        </w:numPr>
        <w:rPr>
          <w:rFonts w:ascii="Arial" w:cs="Arial" w:eastAsia="Arial" w:hAnsi="Arial"/>
          <w:sz w:val="17"/>
          <w:szCs w:val="17"/>
          <w:color w:val="010000"/>
        </w:rPr>
      </w:pPr>
      <w:r>
        <w:rPr>
          <w:rFonts w:ascii="Arial" w:cs="Arial" w:eastAsia="Arial" w:hAnsi="Arial"/>
          <w:sz w:val="17"/>
          <w:szCs w:val="17"/>
          <w:color w:val="auto"/>
        </w:rPr>
        <w:t>no Underwriter has or will be rendering an opinion to the Company as to the fairness of the terms of the offering of the Notes;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7" w:name="page28"/>
    <w:bookmarkEnd w:id="27"/>
    <w:p>
      <w:pPr>
        <w:jc w:val="both"/>
        <w:ind w:firstLine="1304"/>
        <w:spacing w:after="0" w:line="263" w:lineRule="auto"/>
        <w:tabs>
          <w:tab w:leader="none" w:pos="1521" w:val="left"/>
        </w:tabs>
        <w:numPr>
          <w:ilvl w:val="1"/>
          <w:numId w:val="34"/>
        </w:numPr>
        <w:rPr>
          <w:rFonts w:ascii="Arial" w:cs="Arial" w:eastAsia="Arial" w:hAnsi="Arial"/>
          <w:sz w:val="18"/>
          <w:szCs w:val="18"/>
          <w:color w:val="010000"/>
        </w:rPr>
      </w:pPr>
      <w:r>
        <w:rPr>
          <w:rFonts w:ascii="Arial" w:cs="Arial" w:eastAsia="Arial" w:hAnsi="Arial"/>
          <w:sz w:val="18"/>
          <w:szCs w:val="18"/>
          <w:color w:val="auto"/>
        </w:rPr>
        <w:t>it has been advised that each Underwriter, and its respective affiliates, is engaged in a broad range of transactions which may involve interests that differ from those of the Company and no Underwriter has an obligation to disclose such interests and transactions to the Company by virtue of any fiduciary, advisory or agency relationship; and</w:t>
      </w:r>
    </w:p>
    <w:p>
      <w:pPr>
        <w:spacing w:after="0" w:line="183" w:lineRule="exact"/>
        <w:rPr>
          <w:rFonts w:ascii="Arial" w:cs="Arial" w:eastAsia="Arial" w:hAnsi="Arial"/>
          <w:sz w:val="18"/>
          <w:szCs w:val="18"/>
          <w:color w:val="010000"/>
        </w:rPr>
      </w:pPr>
    </w:p>
    <w:p>
      <w:pPr>
        <w:jc w:val="both"/>
        <w:ind w:firstLine="1304"/>
        <w:spacing w:after="0" w:line="259" w:lineRule="auto"/>
        <w:tabs>
          <w:tab w:leader="none" w:pos="1564" w:val="left"/>
        </w:tabs>
        <w:numPr>
          <w:ilvl w:val="1"/>
          <w:numId w:val="34"/>
        </w:numPr>
        <w:rPr>
          <w:rFonts w:ascii="Arial" w:cs="Arial" w:eastAsia="Arial" w:hAnsi="Arial"/>
          <w:sz w:val="18"/>
          <w:szCs w:val="18"/>
          <w:color w:val="010000"/>
        </w:rPr>
      </w:pPr>
      <w:r>
        <w:rPr>
          <w:rFonts w:ascii="Arial" w:cs="Arial" w:eastAsia="Arial" w:hAnsi="Arial"/>
          <w:sz w:val="18"/>
          <w:szCs w:val="18"/>
          <w:color w:val="auto"/>
        </w:rPr>
        <w:t>it waives, to the fullest extent permitted by law, any claims it may have against any Underwriter for breach of fiduciary duty or alleged breach of fiduciary duty and agrees that each Underwriter shall not have any liability (whether direct or indirect) to the Company in respect of such a fiduciary duty claim or to any person asserting a fiduciary duty claim on behalf of or in right of the Company, including stockholders, employees or creditors of the Company.</w:t>
      </w:r>
    </w:p>
    <w:p>
      <w:pPr>
        <w:spacing w:after="0" w:line="182" w:lineRule="exact"/>
        <w:rPr>
          <w:rFonts w:ascii="Arial" w:cs="Arial" w:eastAsia="Arial" w:hAnsi="Arial"/>
          <w:sz w:val="18"/>
          <w:szCs w:val="18"/>
          <w:color w:val="010000"/>
        </w:rPr>
      </w:pPr>
    </w:p>
    <w:p>
      <w:pPr>
        <w:jc w:val="both"/>
        <w:ind w:firstLine="656"/>
        <w:spacing w:after="0" w:line="255" w:lineRule="auto"/>
        <w:tabs>
          <w:tab w:leader="none" w:pos="918"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Successors; Persons Entitled to Benefit of Agreement</w:t>
      </w:r>
      <w:r>
        <w:rPr>
          <w:rFonts w:ascii="Arial" w:cs="Arial" w:eastAsia="Arial" w:hAnsi="Arial"/>
          <w:sz w:val="18"/>
          <w:szCs w:val="18"/>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inure to the benefit of and be binding upon the Underwriters,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and their respective successors and assigns. Nothing expressed or mentioned in this Agreement is intended or shall be construed to give any person, other than the persons mentioned in the preceding sentence, any legal or equitable right, remedy or claim under or in respect of this Agreement, or any provisions herein contained, this Agreement and all conditions and provisions hereof being intended to be and being for the sole and exclusive benefit of such persons and for the benefit of no other person; except that the representations, warranties, covenants, agreements and indemnities of the Company contained in this Agreement shall also be for the benefit of the Underwriter Indemnified Parties, and the indemnity of the Underwriters shall be for benefit of the Company Indemnified Parties.</w:t>
      </w:r>
    </w:p>
    <w:p>
      <w:pPr>
        <w:spacing w:after="0" w:line="188" w:lineRule="exact"/>
        <w:rPr>
          <w:rFonts w:ascii="Arial" w:cs="Arial" w:eastAsia="Arial" w:hAnsi="Arial"/>
          <w:sz w:val="18"/>
          <w:szCs w:val="18"/>
          <w:b w:val="1"/>
          <w:bCs w:val="1"/>
          <w:color w:val="auto"/>
        </w:rPr>
      </w:pPr>
    </w:p>
    <w:p>
      <w:pPr>
        <w:jc w:val="both"/>
        <w:ind w:firstLine="656"/>
        <w:spacing w:after="0" w:line="256" w:lineRule="auto"/>
        <w:tabs>
          <w:tab w:leader="none" w:pos="908"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Survival of Indemnities, Representations, Warranties, Etc</w:t>
      </w:r>
      <w:r>
        <w:rPr>
          <w:rFonts w:ascii="Arial" w:cs="Arial" w:eastAsia="Arial" w:hAnsi="Arial"/>
          <w:sz w:val="18"/>
          <w:szCs w:val="18"/>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respective indemnities, covenants, agreements, representations, warranties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other statements of the Company and the Underwriters, as set forth in this Agreement or made by them respectively, pursuant to this Agreement, shall remain in full force and effect, regardless of any investigation made by or on behalf of the Underwriters, the Company or any person controlling any of them and shall survive delivery of and payment for the Notes. Notwithstanding any termination of this Agreement, the indemnity and contribution agreements contained in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and the covenants, representations, warranties set forth in this Agreement shall not terminate and shall remain in full force and effect at all times.</w:t>
      </w:r>
    </w:p>
    <w:p>
      <w:pPr>
        <w:spacing w:after="0" w:line="187" w:lineRule="exact"/>
        <w:rPr>
          <w:rFonts w:ascii="Arial" w:cs="Arial" w:eastAsia="Arial" w:hAnsi="Arial"/>
          <w:sz w:val="18"/>
          <w:szCs w:val="18"/>
          <w:b w:val="1"/>
          <w:bCs w:val="1"/>
          <w:color w:val="auto"/>
        </w:rPr>
      </w:pPr>
    </w:p>
    <w:p>
      <w:pPr>
        <w:ind w:left="920" w:hanging="264"/>
        <w:spacing w:after="0"/>
        <w:tabs>
          <w:tab w:leader="none" w:pos="92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All statements, requests, notices and agreements hereunder shall be in writing, and:</w:t>
      </w:r>
    </w:p>
    <w:p>
      <w:pPr>
        <w:spacing w:after="0" w:line="232" w:lineRule="exact"/>
        <w:rPr>
          <w:rFonts w:ascii="Arial" w:cs="Arial" w:eastAsia="Arial" w:hAnsi="Arial"/>
          <w:sz w:val="18"/>
          <w:szCs w:val="18"/>
          <w:b w:val="1"/>
          <w:bCs w:val="1"/>
          <w:color w:val="auto"/>
        </w:rPr>
      </w:pPr>
    </w:p>
    <w:p>
      <w:pPr>
        <w:jc w:val="both"/>
        <w:ind w:firstLine="1304"/>
        <w:spacing w:after="0" w:line="224" w:lineRule="auto"/>
        <w:tabs>
          <w:tab w:leader="none" w:pos="1540" w:val="left"/>
        </w:tabs>
        <w:numPr>
          <w:ilvl w:val="1"/>
          <w:numId w:val="35"/>
        </w:numPr>
        <w:rPr>
          <w:rFonts w:ascii="Arial" w:cs="Arial" w:eastAsia="Arial" w:hAnsi="Arial"/>
          <w:sz w:val="18"/>
          <w:szCs w:val="18"/>
          <w:color w:val="010000"/>
        </w:rPr>
      </w:pPr>
      <w:r>
        <w:rPr>
          <w:rFonts w:ascii="Arial" w:cs="Arial" w:eastAsia="Arial" w:hAnsi="Arial"/>
          <w:sz w:val="18"/>
          <w:szCs w:val="18"/>
          <w:color w:val="auto"/>
        </w:rPr>
        <w:t>if to the Underwriters, shall be delivered or sent by mail, overnight courier or email to B. Riley Securities, Inc., 299 Park Avenue, 21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Floor, New York, New York 10171, Attention: Syndicate Department, with a copy to Duane Morris LLP Attn: James T. Seery, 1540 Broadway, New York, New York 10036.</w:t>
      </w:r>
    </w:p>
    <w:p>
      <w:pPr>
        <w:spacing w:after="0" w:line="203" w:lineRule="exact"/>
        <w:rPr>
          <w:rFonts w:ascii="Arial" w:cs="Arial" w:eastAsia="Arial" w:hAnsi="Arial"/>
          <w:sz w:val="18"/>
          <w:szCs w:val="18"/>
          <w:color w:val="010000"/>
        </w:rPr>
      </w:pPr>
    </w:p>
    <w:p>
      <w:pPr>
        <w:jc w:val="both"/>
        <w:ind w:right="20" w:firstLine="1304"/>
        <w:spacing w:after="0" w:line="263" w:lineRule="auto"/>
        <w:tabs>
          <w:tab w:leader="none" w:pos="1551" w:val="left"/>
        </w:tabs>
        <w:numPr>
          <w:ilvl w:val="1"/>
          <w:numId w:val="35"/>
        </w:numPr>
        <w:rPr>
          <w:rFonts w:ascii="Arial" w:cs="Arial" w:eastAsia="Arial" w:hAnsi="Arial"/>
          <w:sz w:val="18"/>
          <w:szCs w:val="18"/>
          <w:color w:val="010000"/>
        </w:rPr>
      </w:pPr>
      <w:r>
        <w:rPr>
          <w:rFonts w:ascii="Arial" w:cs="Arial" w:eastAsia="Arial" w:hAnsi="Arial"/>
          <w:sz w:val="18"/>
          <w:szCs w:val="18"/>
          <w:color w:val="auto"/>
        </w:rPr>
        <w:t>if to the Company, shall be delivered or sent by mail, overnight courier or email to Harrow Health, Inc., Attention: Mark L. Baum, 102 Woodmont Blvd., Suite 610, Nashville, Tennessee 37205, with a copy to Waller Lansden Dortch &amp; Davis, LLP Attn: James H. Nixon III, Nashville City Center, 511 Union Street, Suite 2700, Nashville, Tennessee 37219.</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8" w:name="page29"/>
    <w:bookmarkEnd w:id="28"/>
    <w:p>
      <w:pPr>
        <w:ind w:left="920" w:hanging="264"/>
        <w:spacing w:after="0"/>
        <w:tabs>
          <w:tab w:leader="none" w:pos="920" w:val="left"/>
        </w:tabs>
        <w:numPr>
          <w:ilvl w:val="0"/>
          <w:numId w:val="3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Definition of Certain Terms</w:t>
      </w:r>
      <w:r>
        <w:rPr>
          <w:rFonts w:ascii="Arial" w:cs="Arial" w:eastAsia="Arial" w:hAnsi="Arial"/>
          <w:sz w:val="16"/>
          <w:szCs w:val="16"/>
          <w:u w:val="single" w:color="auto"/>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For purposes of this Agreement “</w:t>
      </w:r>
      <w:r>
        <w:rPr>
          <w:rFonts w:ascii="Arial" w:cs="Arial" w:eastAsia="Arial" w:hAnsi="Arial"/>
          <w:sz w:val="16"/>
          <w:szCs w:val="16"/>
          <w:b w:val="1"/>
          <w:bCs w:val="1"/>
          <w:color w:val="auto"/>
        </w:rPr>
        <w:t>business day</w:t>
      </w:r>
      <w:r>
        <w:rPr>
          <w:rFonts w:ascii="Arial" w:cs="Arial" w:eastAsia="Arial" w:hAnsi="Arial"/>
          <w:sz w:val="16"/>
          <w:szCs w:val="16"/>
          <w:color w:val="auto"/>
        </w:rPr>
        <w:t>” means any day on which the Nasdaq Stock Market is open for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trading.</w:t>
      </w:r>
    </w:p>
    <w:p>
      <w:pPr>
        <w:spacing w:after="0" w:line="207" w:lineRule="exact"/>
        <w:rPr>
          <w:sz w:val="20"/>
          <w:szCs w:val="20"/>
          <w:color w:val="auto"/>
        </w:rPr>
      </w:pPr>
    </w:p>
    <w:p>
      <w:pPr>
        <w:ind w:left="920" w:hanging="264"/>
        <w:spacing w:after="0"/>
        <w:tabs>
          <w:tab w:leader="none" w:pos="920" w:val="left"/>
        </w:tabs>
        <w:numPr>
          <w:ilvl w:val="0"/>
          <w:numId w:val="3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Governing Law.</w:t>
      </w:r>
      <w:r>
        <w:rPr>
          <w:rFonts w:ascii="Arial" w:cs="Arial" w:eastAsia="Arial" w:hAnsi="Arial"/>
          <w:sz w:val="17"/>
          <w:szCs w:val="17"/>
          <w:b w:val="1"/>
          <w:bCs w:val="1"/>
          <w:color w:val="auto"/>
        </w:rPr>
        <w:t xml:space="preserve"> This Agreement shall be governed by and construed in accordance with the laws of the State of New York.</w:t>
      </w:r>
    </w:p>
    <w:p>
      <w:pPr>
        <w:spacing w:after="0" w:line="236" w:lineRule="exact"/>
        <w:rPr>
          <w:rFonts w:ascii="Arial" w:cs="Arial" w:eastAsia="Arial" w:hAnsi="Arial"/>
          <w:sz w:val="17"/>
          <w:szCs w:val="17"/>
          <w:b w:val="1"/>
          <w:bCs w:val="1"/>
          <w:color w:val="auto"/>
        </w:rPr>
      </w:pPr>
    </w:p>
    <w:p>
      <w:pPr>
        <w:jc w:val="both"/>
        <w:ind w:firstLine="656"/>
        <w:spacing w:after="0" w:line="303" w:lineRule="auto"/>
        <w:tabs>
          <w:tab w:leader="none" w:pos="958" w:val="left"/>
        </w:tabs>
        <w:numPr>
          <w:ilvl w:val="0"/>
          <w:numId w:val="3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Underwriter’s Information</w:t>
      </w:r>
      <w:r>
        <w:rPr>
          <w:rFonts w:ascii="Arial" w:cs="Arial" w:eastAsia="Arial" w:hAnsi="Arial"/>
          <w:sz w:val="16"/>
          <w:szCs w:val="16"/>
          <w:u w:val="single" w:color="auto"/>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parties hereto acknowledge and agree that, for all purposes of this Agreement, the Underwriter’s</w:t>
      </w:r>
      <w:r>
        <w:rPr>
          <w:rFonts w:ascii="Arial" w:cs="Arial" w:eastAsia="Arial" w:hAnsi="Arial"/>
          <w:sz w:val="16"/>
          <w:szCs w:val="16"/>
          <w:b w:val="1"/>
          <w:bCs w:val="1"/>
          <w:color w:val="auto"/>
        </w:rPr>
        <w:t xml:space="preserve"> </w:t>
      </w:r>
      <w:r>
        <w:rPr>
          <w:rFonts w:ascii="Arial" w:cs="Arial" w:eastAsia="Arial" w:hAnsi="Arial"/>
          <w:sz w:val="16"/>
          <w:szCs w:val="16"/>
          <w:color w:val="auto"/>
        </w:rPr>
        <w:t>Information consists solely of the following information in the General Disclosure Package, the Prospectus and in the Registration Statement: the concession figure appearing in the first paragraph under the section entitled “Underwriting – Discounts and Expenses” and the information contained in the second and fourth paragraphs relating to stabilization transactions under the section entitled “Underwriting – Price Stabilization, Short Positions.”</w:t>
      </w:r>
    </w:p>
    <w:p>
      <w:pPr>
        <w:spacing w:after="0" w:line="150" w:lineRule="exact"/>
        <w:rPr>
          <w:rFonts w:ascii="Arial" w:cs="Arial" w:eastAsia="Arial" w:hAnsi="Arial"/>
          <w:sz w:val="16"/>
          <w:szCs w:val="16"/>
          <w:b w:val="1"/>
          <w:bCs w:val="1"/>
          <w:color w:val="auto"/>
        </w:rPr>
      </w:pPr>
    </w:p>
    <w:p>
      <w:pPr>
        <w:jc w:val="both"/>
        <w:ind w:firstLine="656"/>
        <w:spacing w:after="0" w:line="261" w:lineRule="auto"/>
        <w:tabs>
          <w:tab w:leader="none" w:pos="918"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Partial Unenforceability</w:t>
      </w:r>
      <w:r>
        <w:rPr>
          <w:rFonts w:ascii="Arial" w:cs="Arial" w:eastAsia="Arial" w:hAnsi="Arial"/>
          <w:sz w:val="18"/>
          <w:szCs w:val="18"/>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invalidity or unenforceability of any section, paragraph, clause or provision of this Agreement shall not affect</w:t>
      </w:r>
      <w:r>
        <w:rPr>
          <w:rFonts w:ascii="Arial" w:cs="Arial" w:eastAsia="Arial" w:hAnsi="Arial"/>
          <w:sz w:val="18"/>
          <w:szCs w:val="18"/>
          <w:b w:val="1"/>
          <w:bCs w:val="1"/>
          <w:color w:val="auto"/>
        </w:rPr>
        <w:t xml:space="preserve"> </w:t>
      </w:r>
      <w:r>
        <w:rPr>
          <w:rFonts w:ascii="Arial" w:cs="Arial" w:eastAsia="Arial" w:hAnsi="Arial"/>
          <w:sz w:val="18"/>
          <w:szCs w:val="18"/>
          <w:color w:val="auto"/>
        </w:rPr>
        <w:t>the validity or enforceability of any other section, paragraph, clause or provision hereof. If any section, paragraph, clause or provision of this Agreement is for any reason determined to be invalid or unenforceable, there shall be deemed to be made such minor changes (and only such minor changes) as are necessary to make it valid and enforceable.</w:t>
      </w:r>
    </w:p>
    <w:p>
      <w:pPr>
        <w:spacing w:after="0" w:line="179" w:lineRule="exact"/>
        <w:rPr>
          <w:rFonts w:ascii="Arial" w:cs="Arial" w:eastAsia="Arial" w:hAnsi="Arial"/>
          <w:sz w:val="18"/>
          <w:szCs w:val="18"/>
          <w:b w:val="1"/>
          <w:bCs w:val="1"/>
          <w:color w:val="auto"/>
        </w:rPr>
      </w:pPr>
    </w:p>
    <w:p>
      <w:pPr>
        <w:jc w:val="both"/>
        <w:ind w:firstLine="656"/>
        <w:spacing w:after="0" w:line="277" w:lineRule="auto"/>
        <w:tabs>
          <w:tab w:leader="none" w:pos="931" w:val="left"/>
        </w:tabs>
        <w:numPr>
          <w:ilvl w:val="0"/>
          <w:numId w:val="3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General</w:t>
      </w:r>
      <w:r>
        <w:rPr>
          <w:rFonts w:ascii="Arial" w:cs="Arial" w:eastAsia="Arial" w:hAnsi="Arial"/>
          <w:sz w:val="17"/>
          <w:szCs w:val="17"/>
          <w:u w:val="single" w:color="auto"/>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constitutes the entire agreement of the parties to this Agreement and supersedes all prior written or oral and all</w:t>
      </w:r>
      <w:r>
        <w:rPr>
          <w:rFonts w:ascii="Arial" w:cs="Arial" w:eastAsia="Arial" w:hAnsi="Arial"/>
          <w:sz w:val="17"/>
          <w:szCs w:val="17"/>
          <w:b w:val="1"/>
          <w:bCs w:val="1"/>
          <w:color w:val="auto"/>
        </w:rPr>
        <w:t xml:space="preserve"> </w:t>
      </w:r>
      <w:r>
        <w:rPr>
          <w:rFonts w:ascii="Arial" w:cs="Arial" w:eastAsia="Arial" w:hAnsi="Arial"/>
          <w:sz w:val="17"/>
          <w:szCs w:val="17"/>
          <w:color w:val="auto"/>
        </w:rPr>
        <w:t>contemporaneous oral agreements, understandings and negotiations with respect to the subject matter hereof. In this Agreement, the masculine, feminine and neuter genders and the singular and the plural include one another. The section headings in this Agreement are for the convenience of the parties only and will not affect the construction or interpretation of this Agreement. This Agreement may be amended or modified, and the observance of any term of this Agreement may be waived, only by a writing signed by the Company and the Representative.</w:t>
      </w:r>
    </w:p>
    <w:p>
      <w:pPr>
        <w:spacing w:after="0" w:line="167" w:lineRule="exact"/>
        <w:rPr>
          <w:rFonts w:ascii="Arial" w:cs="Arial" w:eastAsia="Arial" w:hAnsi="Arial"/>
          <w:sz w:val="17"/>
          <w:szCs w:val="17"/>
          <w:b w:val="1"/>
          <w:bCs w:val="1"/>
          <w:color w:val="auto"/>
        </w:rPr>
      </w:pPr>
    </w:p>
    <w:p>
      <w:pPr>
        <w:ind w:right="20" w:firstLine="656"/>
        <w:spacing w:after="0" w:line="282" w:lineRule="auto"/>
        <w:tabs>
          <w:tab w:leader="none" w:pos="918"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may be signed in any number of counterparts, each of which shall be an original, with the same effect as if the</w:t>
      </w:r>
      <w:r>
        <w:rPr>
          <w:rFonts w:ascii="Arial" w:cs="Arial" w:eastAsia="Arial" w:hAnsi="Arial"/>
          <w:sz w:val="18"/>
          <w:szCs w:val="18"/>
          <w:b w:val="1"/>
          <w:bCs w:val="1"/>
          <w:color w:val="auto"/>
        </w:rPr>
        <w:t xml:space="preserve"> </w:t>
      </w:r>
      <w:r>
        <w:rPr>
          <w:rFonts w:ascii="Arial" w:cs="Arial" w:eastAsia="Arial" w:hAnsi="Arial"/>
          <w:sz w:val="18"/>
          <w:szCs w:val="18"/>
          <w:color w:val="auto"/>
        </w:rPr>
        <w:t>signatures thereto and hereto were upon the same instrument and such signatures may be delivered by facsimile.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9" w:name="page30"/>
    <w:bookmarkEnd w:id="29"/>
    <w:p>
      <w:pPr>
        <w:jc w:val="both"/>
        <w:ind w:firstLine="648"/>
        <w:spacing w:after="0" w:line="263" w:lineRule="auto"/>
        <w:rPr>
          <w:sz w:val="20"/>
          <w:szCs w:val="20"/>
          <w:color w:val="auto"/>
        </w:rPr>
      </w:pPr>
      <w:r>
        <w:rPr>
          <w:rFonts w:ascii="Arial" w:cs="Arial" w:eastAsia="Arial" w:hAnsi="Arial"/>
          <w:sz w:val="18"/>
          <w:szCs w:val="18"/>
          <w:color w:val="auto"/>
        </w:rPr>
        <w:t>If the foregoing correctly sets forth the understanding between the Company and the several Underwriters, please so indicate in the space provided below for that purpose, whereupon this agreement and your acceptance shall constitute a binding agreement between the Company and the Underwriters, severally.</w:t>
      </w:r>
    </w:p>
    <w:p>
      <w:pPr>
        <w:spacing w:after="0" w:line="18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HARROW HEALTH, INC.</w:t>
      </w:r>
    </w:p>
    <w:p>
      <w:pPr>
        <w:spacing w:after="0" w:line="25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Mark L. Baum</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B. RILEY SECURITIES,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themselves and as Representative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the several Underwriters named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Accepted and agreed to as of the date first above written: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RILEY SECURITIES, INC.</w:t>
      </w:r>
    </w:p>
    <w:p>
      <w:pPr>
        <w:spacing w:after="0" w:line="22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Patrice McNicoll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Patrice McNicoll</w:t>
      </w:r>
    </w:p>
    <w:p>
      <w:pPr>
        <w:spacing w:after="0" w:line="3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Co-Head of Investment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61" w:right="1440"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37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120" w:type="dxa"/>
            <w:vAlign w:val="bottom"/>
            <w:gridSpan w:val="4"/>
          </w:tcPr>
          <w:p>
            <w:pPr>
              <w:jc w:val="center"/>
              <w:ind w:right="2870"/>
              <w:spacing w:after="0"/>
              <w:rPr>
                <w:sz w:val="20"/>
                <w:szCs w:val="20"/>
                <w:color w:val="auto"/>
              </w:rPr>
            </w:pPr>
            <w:r>
              <w:rPr>
                <w:rFonts w:ascii="Arial" w:cs="Arial" w:eastAsia="Arial" w:hAnsi="Arial"/>
                <w:sz w:val="18"/>
                <w:szCs w:val="18"/>
                <w:b w:val="1"/>
                <w:bCs w:val="1"/>
                <w:color w:val="auto"/>
                <w:w w:val="99"/>
              </w:rPr>
              <w:t>SCHEDULE A</w:t>
            </w:r>
          </w:p>
        </w:tc>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53"/>
        </w:trPr>
        <w:tc>
          <w:tcPr>
            <w:tcW w:w="37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Underwriters</w:t>
            </w:r>
          </w:p>
        </w:tc>
        <w:tc>
          <w:tcPr>
            <w:tcW w:w="2960" w:type="dxa"/>
            <w:vAlign w:val="bottom"/>
            <w:gridSpan w:val="3"/>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37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9"/>
              </w:rPr>
              <w:t>Aggregate</w:t>
            </w:r>
          </w:p>
        </w:tc>
      </w:tr>
      <w:tr>
        <w:trPr>
          <w:trHeight w:val="216"/>
        </w:trPr>
        <w:tc>
          <w:tcPr>
            <w:tcW w:w="37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4"/>
              </w:rPr>
              <w:t>Principal</w:t>
            </w:r>
          </w:p>
        </w:tc>
      </w:tr>
      <w:tr>
        <w:trPr>
          <w:trHeight w:val="216"/>
        </w:trPr>
        <w:tc>
          <w:tcPr>
            <w:tcW w:w="37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8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1"/>
              </w:rPr>
              <w:t>Amount of</w:t>
            </w:r>
          </w:p>
        </w:tc>
      </w:tr>
      <w:tr>
        <w:trPr>
          <w:trHeight w:val="216"/>
        </w:trPr>
        <w:tc>
          <w:tcPr>
            <w:tcW w:w="37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8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6"/>
              </w:rPr>
              <w:t>Securities to</w:t>
            </w:r>
          </w:p>
        </w:tc>
      </w:tr>
      <w:tr>
        <w:trPr>
          <w:trHeight w:val="241"/>
        </w:trPr>
        <w:tc>
          <w:tcPr>
            <w:tcW w:w="3760" w:type="dxa"/>
            <w:vAlign w:val="bottom"/>
          </w:tcPr>
          <w:p>
            <w:pPr>
              <w:spacing w:after="0"/>
              <w:rPr>
                <w:sz w:val="20"/>
                <w:szCs w:val="20"/>
                <w:color w:val="auto"/>
              </w:rPr>
            </w:pPr>
            <w:r>
              <w:rPr>
                <w:rFonts w:ascii="Arial" w:cs="Arial" w:eastAsia="Arial" w:hAnsi="Arial"/>
                <w:sz w:val="18"/>
                <w:szCs w:val="18"/>
                <w:b w:val="1"/>
                <w:bCs w:val="1"/>
                <w:color w:val="auto"/>
              </w:rPr>
              <w:t>Underwriters</w:t>
            </w:r>
          </w:p>
        </w:tc>
        <w:tc>
          <w:tcPr>
            <w:tcW w:w="1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8"/>
              </w:rPr>
              <w:t>be Purchased</w:t>
            </w:r>
          </w:p>
        </w:tc>
      </w:tr>
      <w:tr>
        <w:trPr>
          <w:trHeight w:val="216"/>
        </w:trPr>
        <w:tc>
          <w:tcPr>
            <w:tcW w:w="3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 Riley Securities, Inc.</w:t>
            </w:r>
          </w:p>
        </w:tc>
        <w:tc>
          <w:tcPr>
            <w:tcW w:w="1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3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23,625,000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National Securities Corporation</w:t>
            </w:r>
          </w:p>
        </w:tc>
        <w:tc>
          <w:tcPr>
            <w:tcW w:w="1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80" w:type="dxa"/>
            <w:vAlign w:val="bottom"/>
            <w:gridSpan w:val="2"/>
          </w:tcPr>
          <w:p>
            <w:pPr>
              <w:jc w:val="right"/>
              <w:ind w:right="100"/>
              <w:spacing w:after="0"/>
              <w:rPr>
                <w:sz w:val="20"/>
                <w:szCs w:val="20"/>
                <w:color w:val="auto"/>
              </w:rPr>
            </w:pPr>
            <w:r>
              <w:rPr>
                <w:rFonts w:ascii="Arial" w:cs="Arial" w:eastAsia="Arial" w:hAnsi="Arial"/>
                <w:sz w:val="18"/>
                <w:szCs w:val="18"/>
                <w:color w:val="auto"/>
              </w:rPr>
              <w:t>3,375,000</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Ladenburg Thalmann &amp; Co. Inc.</w:t>
            </w:r>
          </w:p>
        </w:tc>
        <w:tc>
          <w:tcPr>
            <w:tcW w:w="1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7,250,000</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William Blair &amp; Company, L.L.C.</w:t>
            </w:r>
          </w:p>
        </w:tc>
        <w:tc>
          <w:tcPr>
            <w:tcW w:w="1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80" w:type="dxa"/>
            <w:vAlign w:val="bottom"/>
            <w:gridSpan w:val="2"/>
          </w:tcPr>
          <w:p>
            <w:pPr>
              <w:jc w:val="right"/>
              <w:ind w:right="100"/>
              <w:spacing w:after="0"/>
              <w:rPr>
                <w:sz w:val="20"/>
                <w:szCs w:val="20"/>
                <w:color w:val="auto"/>
              </w:rPr>
            </w:pPr>
            <w:r>
              <w:rPr>
                <w:rFonts w:ascii="Arial" w:cs="Arial" w:eastAsia="Arial" w:hAnsi="Arial"/>
                <w:sz w:val="18"/>
                <w:szCs w:val="18"/>
                <w:color w:val="auto"/>
              </w:rPr>
              <w:t>6,750,000</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Aegis Capital Corp.</w:t>
            </w:r>
          </w:p>
        </w:tc>
        <w:tc>
          <w:tcPr>
            <w:tcW w:w="1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3,625,000</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Boenning &amp; Scattergood, Inc.</w:t>
            </w:r>
          </w:p>
        </w:tc>
        <w:tc>
          <w:tcPr>
            <w:tcW w:w="1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80" w:type="dxa"/>
            <w:vAlign w:val="bottom"/>
            <w:gridSpan w:val="2"/>
          </w:tcPr>
          <w:p>
            <w:pPr>
              <w:jc w:val="right"/>
              <w:ind w:right="100"/>
              <w:spacing w:after="0"/>
              <w:rPr>
                <w:sz w:val="20"/>
                <w:szCs w:val="20"/>
                <w:color w:val="auto"/>
              </w:rPr>
            </w:pPr>
            <w:r>
              <w:rPr>
                <w:rFonts w:ascii="Arial" w:cs="Arial" w:eastAsia="Arial" w:hAnsi="Arial"/>
                <w:sz w:val="18"/>
                <w:szCs w:val="18"/>
                <w:color w:val="auto"/>
              </w:rPr>
              <w:t>1,750,000</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Maxim Group LLC</w:t>
            </w:r>
          </w:p>
        </w:tc>
        <w:tc>
          <w:tcPr>
            <w:tcW w:w="1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3,625,000</w:t>
            </w:r>
          </w:p>
        </w:tc>
      </w:tr>
      <w:tr>
        <w:trPr>
          <w:trHeight w:val="223"/>
        </w:trPr>
        <w:tc>
          <w:tcPr>
            <w:tcW w:w="376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236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50,000,000</w:t>
            </w:r>
          </w:p>
        </w:tc>
        <w:tc>
          <w:tcPr>
            <w:tcW w:w="100" w:type="dxa"/>
            <w:vAlign w:val="bottom"/>
            <w:shd w:val="clear" w:color="auto" w:fill="CCEEFF"/>
          </w:tcPr>
          <w:p>
            <w:pPr>
              <w:spacing w:after="0"/>
              <w:rPr>
                <w:sz w:val="18"/>
                <w:szCs w:val="18"/>
                <w:color w:val="auto"/>
              </w:rPr>
            </w:pPr>
          </w:p>
        </w:tc>
      </w:tr>
      <w:tr>
        <w:trPr>
          <w:trHeight w:val="223"/>
        </w:trPr>
        <w:tc>
          <w:tcPr>
            <w:tcW w:w="37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r>
    </w:tbl>
    <w:p>
      <w:pPr>
        <w:sectPr>
          <w:pgSz w:w="11900" w:h="16838" w:orient="portrait"/>
          <w:cols w:equalWidth="0" w:num="1">
            <w:col w:w="11240"/>
          </w:cols>
          <w:pgMar w:left="320" w:top="648" w:right="33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u w:val="single" w:color="auto"/>
          <w:color w:val="auto"/>
        </w:rPr>
        <w:t>SCHEDULE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Pricing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aggregate principal amount of the Firm Notes is $50,000,000.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public offering price for the Notes shall be 100% of the aggregate principal amount.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purchase price for the Notes to be paid by the several Underwriters shall be 96.0% of the aggregate principal amount thereof.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interest rate is 8.625%.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maturity date for the Notes shall be April 30, 2026.</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Prior to February 1, 2026, the Company may, at its option, redeem the Notes, in whole at any time or in part from time to time, at a redemption price equal to 100% of the principal amount of the Notes to be redeemed, plus a Make-Whole Amount (as defined in the Prospectus Supplement), if any, plus accrued and unpaid interest to, but excluding, the date of redemption.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may redeem the Notes for cash in whole or in part at any time at its option on or after February 1, 2026 and prior to maturity, at a price equal to 100% of their principal amount, plus accrued and unpaid interest to, but excluding, the date of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u w:val="single" w:color="auto"/>
          <w:color w:val="auto"/>
        </w:rPr>
        <w:t>SCHEDULE 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Free Writing Prospectuses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Final term sheet as prepared pursuant to </w:t>
      </w:r>
      <w:r>
        <w:rPr>
          <w:rFonts w:ascii="Arial" w:cs="Arial" w:eastAsia="Arial" w:hAnsi="Arial"/>
          <w:sz w:val="18"/>
          <w:szCs w:val="18"/>
          <w:u w:val="single" w:color="auto"/>
          <w:color w:val="auto"/>
        </w:rPr>
        <w:t>Section 4(b)</w:t>
      </w:r>
      <w:r>
        <w:rPr>
          <w:rFonts w:ascii="Arial" w:cs="Arial" w:eastAsia="Arial" w:hAnsi="Arial"/>
          <w:sz w:val="18"/>
          <w:szCs w:val="18"/>
          <w:color w:val="auto"/>
        </w:rPr>
        <w:t xml:space="preserve"> hereto and filed as an Issuer Free Writing Prospectus by the Company with the Commission on April 15,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u w:val="single" w:color="auto"/>
          <w:color w:val="auto"/>
        </w:rPr>
        <w:t>SCHEDULE D</w:t>
      </w:r>
    </w:p>
    <w:p>
      <w:pPr>
        <w:spacing w:after="0" w:line="225" w:lineRule="exact"/>
        <w:rPr>
          <w:sz w:val="20"/>
          <w:szCs w:val="20"/>
          <w:color w:val="auto"/>
        </w:rPr>
      </w:pPr>
    </w:p>
    <w:p>
      <w:pPr>
        <w:jc w:val="center"/>
        <w:ind w:left="9180"/>
        <w:spacing w:after="0"/>
        <w:rPr>
          <w:sz w:val="20"/>
          <w:szCs w:val="20"/>
          <w:color w:val="auto"/>
        </w:rPr>
      </w:pPr>
      <w:r>
        <w:rPr>
          <w:rFonts w:ascii="Arial" w:cs="Arial" w:eastAsia="Arial" w:hAnsi="Arial"/>
          <w:sz w:val="16"/>
          <w:szCs w:val="16"/>
          <w:b w:val="1"/>
          <w:bCs w:val="1"/>
          <w:color w:val="auto"/>
        </w:rPr>
        <w:t>Filed pursuant to Rule 433</w:t>
      </w:r>
    </w:p>
    <w:p>
      <w:pPr>
        <w:spacing w:after="0" w:line="50" w:lineRule="exact"/>
        <w:rPr>
          <w:sz w:val="20"/>
          <w:szCs w:val="20"/>
          <w:color w:val="auto"/>
        </w:rPr>
      </w:pPr>
    </w:p>
    <w:p>
      <w:pPr>
        <w:jc w:val="center"/>
        <w:ind w:left="9000"/>
        <w:spacing w:after="0"/>
        <w:rPr>
          <w:sz w:val="20"/>
          <w:szCs w:val="20"/>
          <w:color w:val="auto"/>
        </w:rPr>
      </w:pPr>
      <w:r>
        <w:rPr>
          <w:rFonts w:ascii="Arial" w:cs="Arial" w:eastAsia="Arial" w:hAnsi="Arial"/>
          <w:sz w:val="16"/>
          <w:szCs w:val="16"/>
          <w:b w:val="1"/>
          <w:bCs w:val="1"/>
          <w:color w:val="auto"/>
        </w:rPr>
        <w:t>Registration No. 333- 239669</w:t>
      </w:r>
    </w:p>
    <w:p>
      <w:pPr>
        <w:spacing w:after="0" w:line="32" w:lineRule="exact"/>
        <w:rPr>
          <w:sz w:val="20"/>
          <w:szCs w:val="20"/>
          <w:color w:val="auto"/>
        </w:rPr>
      </w:pPr>
    </w:p>
    <w:p>
      <w:pPr>
        <w:jc w:val="center"/>
        <w:ind w:left="8820"/>
        <w:spacing w:after="0"/>
        <w:rPr>
          <w:sz w:val="20"/>
          <w:szCs w:val="20"/>
          <w:color w:val="auto"/>
        </w:rPr>
      </w:pPr>
      <w:r>
        <w:rPr>
          <w:rFonts w:ascii="Arial" w:cs="Arial" w:eastAsia="Arial" w:hAnsi="Arial"/>
          <w:sz w:val="16"/>
          <w:szCs w:val="16"/>
          <w:b w:val="1"/>
          <w:bCs w:val="1"/>
          <w:color w:val="auto"/>
        </w:rPr>
        <w:t>Issuer Free Writing Prospectus</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Supplementing the Preliminary Prospectus Supplement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dated April 14, 2021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$50,000,000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8.625% Senior Notes Due 2026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Final Term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April 15, 2021</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This pricing term sheet is qualified in its entirety by reference to the Preliminary Prospectus Supplement, dated April 14, 2021 (the “Preliminary Prospectus Supplement”). The information in this pricing term sheet supplements the Preliminary Prospectus Supplement and updates and supersedes the information in the Preliminary Prospectus Supplement to the extent it is inconsistent with the information in the Preliminary Prospectus Supplement. Terms used and not defined herein have the meanings assigned in the Preliminary Prospectus Supplement.</w:t>
      </w:r>
    </w:p>
    <w:p>
      <w:pPr>
        <w:sectPr>
          <w:pgSz w:w="11900" w:h="16838" w:orient="portrait"/>
          <w:cols w:equalWidth="0" w:num="1">
            <w:col w:w="11240"/>
          </w:cols>
          <w:pgMar w:left="320" w:top="661" w:right="339" w:bottom="884" w:gutter="0" w:footer="0" w:header="0"/>
        </w:sectPr>
      </w:pP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Issuer: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Type: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Trade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Settlement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Listing: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Size: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Maturity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Annual Coupon: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Interest Payment Dates: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Price to the Public: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Day Count: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Optional Redemption:</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Harrow Health,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8.625% Senior Notes Due 2026 (the “Notes”)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 Registered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16,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20,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Expected Nasdaq “HROWL”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$50,000,000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$5,000,000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30, 2026</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The Notes have received a “BB” rating from Egan-Jones Ratings Co., an independent, unaffiliated rating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agency. Ratings are not a recommendation to purchase, hold or sell notes, inasmuch as the ratings do not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comment as to market price or suitability for a particular investor. The ratings are based upon current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information furnished to the rating agency by the Issuer and information obtained by the rating agency from</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other sources. The ratings are only accurate as of the date thereof and may be changed, superseded or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withdrawn as a result of changes in, or unavailability of, such information, and therefore a prospective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purchaser should check the current ratings before purchasing the Notes. Each rating should be evaluated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independently of any other rating.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8.625%, paid quarterly in arrears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31, April 30, July 31 and October 31, commencing July 31, 2021, and at maturity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30/360</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Prior to February 1, 2026, the Issuer may, at its option, redeem the Notes, in whole at any time or in part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from time to time, at a redemption price equal to 100% of the principal amount of the Notes to be redeemed,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plus a Make-Whole Amount, if any, plus accrued and unpaid interest to, but excluding, the date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redemption.</w:t>
      </w:r>
    </w:p>
    <w:p>
      <w:pPr>
        <w:spacing w:after="0" w:line="200" w:lineRule="exact"/>
        <w:rPr>
          <w:sz w:val="20"/>
          <w:szCs w:val="20"/>
          <w:color w:val="auto"/>
        </w:rPr>
      </w:pPr>
    </w:p>
    <w:p>
      <w:pPr>
        <w:sectPr>
          <w:pgSz w:w="11900" w:h="16838" w:orient="portrait"/>
          <w:cols w:equalWidth="0" w:num="2">
            <w:col w:w="2660" w:space="720"/>
            <w:col w:w="7860"/>
          </w:cols>
          <w:pgMar w:left="320" w:top="661" w:right="339" w:bottom="88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Minimum Denomination / Multiples: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CUSIP/ISIN: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Book-Running Managers: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Issuer may redeem the Notes for cash in whole or in part at any time at our option on or after February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 2026 and prior to maturity, at a price equal to 100% of their principal amount, plus accrued and unpaid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interest to, but excluding, the date of redemption.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$25.00/$25.00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415858 208/US4158582084</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B. Riley Securities, Inc., National Securities Corporation, Ladenburg Thalmann &amp; Co. Inc., William Blair &amp;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Company,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Aegis Capital Corp., Boenning &amp; Scattergood, Inc., Maxim Group LLC</w:t>
      </w:r>
    </w:p>
    <w:p>
      <w:pPr>
        <w:spacing w:after="0" w:line="200" w:lineRule="exact"/>
        <w:rPr>
          <w:sz w:val="20"/>
          <w:szCs w:val="20"/>
          <w:color w:val="auto"/>
        </w:rPr>
      </w:pPr>
    </w:p>
    <w:p>
      <w:pPr>
        <w:sectPr>
          <w:pgSz w:w="11900" w:h="16838" w:orient="portrait"/>
          <w:cols w:equalWidth="0" w:num="2">
            <w:col w:w="2680" w:space="700"/>
            <w:col w:w="7860"/>
          </w:cols>
          <w:pgMar w:left="320" w:top="661" w:right="339" w:bottom="884"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communication is intended for the sole use of the person to whom it is provided by the issuer.</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issuer has filed a shelf registration statement (including a base prospectus dated July 13, 2020) and Preliminary Prospectus Supplement with the Securities and Exchange Commission (“SEC”) for the offering to which this communication relates. Before you invest, you should read the prospectus in that registration statement, the Preliminary Prospectus Supplement and other documents the issuer has filed with the SEC for more complete information about the issuer and this offering.</w:t>
      </w:r>
    </w:p>
    <w:p>
      <w:pPr>
        <w:spacing w:after="0" w:line="18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You may get these documents for free by visiting EDGAR on the SEC Web site at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w:t>
      </w:r>
      <w:r>
        <w:rPr>
          <w:rFonts w:ascii="Arial" w:cs="Arial" w:eastAsia="Arial" w:hAnsi="Arial"/>
          <w:sz w:val="18"/>
          <w:szCs w:val="18"/>
          <w:b w:val="1"/>
          <w:bCs w:val="1"/>
          <w:color w:val="auto"/>
        </w:rPr>
        <w:t>Alternatively, the issuer, any underwriter or any dealer</w:t>
      </w:r>
      <w:r>
        <w:rPr>
          <w:rFonts w:ascii="Arial" w:cs="Arial" w:eastAsia="Arial" w:hAnsi="Arial"/>
          <w:sz w:val="18"/>
          <w:szCs w:val="18"/>
          <w:color w:val="auto"/>
        </w:rPr>
        <w:t xml:space="preserve"> </w:t>
      </w:r>
      <w:r>
        <w:rPr>
          <w:rFonts w:ascii="Arial" w:cs="Arial" w:eastAsia="Arial" w:hAnsi="Arial"/>
          <w:sz w:val="18"/>
          <w:szCs w:val="18"/>
          <w:b w:val="1"/>
          <w:bCs w:val="1"/>
          <w:color w:val="auto"/>
        </w:rPr>
        <w:t>participating in the offering will arrange to send you the prospectus and related preliminary prospectus supplement if you request them from B. Riley Securities, Inc. by calling (703) 312-9580 or by emailing prospectuses@brileysecurities.com.</w:t>
      </w:r>
    </w:p>
    <w:p>
      <w:pPr>
        <w:spacing w:after="0" w:line="176"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ANY DISCLAIMERS OR OTHER NOTICES THAT MAY APPEAR BELOW ARE NOT APPLICABLE TO THIS COMMUNICATION AND SHOULD BE DISREGARDED. SUCH DISCLAIMERS OR OTHER NOTICES WERE AUTOMATICALLY GENERATED AS A RESULT OF THIS COMMUNICATION BEING SENT VIA BLOOMBERG OR ANOTHER E-MAIL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884" w:gutter="0" w:footer="0" w:header="0"/>
          <w:type w:val="continuous"/>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4.1</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HARROW HEALTH, INC.</w:t>
      </w:r>
    </w:p>
    <w:p>
      <w:pPr>
        <w:spacing w:after="0" w:line="211"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TO</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7"/>
          <w:szCs w:val="17"/>
          <w:color w:val="auto"/>
        </w:rPr>
        <w:t>U.S. BANK NATIONAL ASSOCIATION</w:t>
      </w:r>
    </w:p>
    <w:p>
      <w:pPr>
        <w:spacing w:after="0" w:line="237"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AS TRUSTEE</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INDENTURE</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DATED AS OF APRIL 20, 2021</w:t>
      </w:r>
    </w:p>
    <w:p>
      <w:pPr>
        <w:spacing w:after="0" w:line="225"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SENIOR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288925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4"/>
        </w:trPr>
        <w:tc>
          <w:tcPr>
            <w:tcW w:w="1200" w:type="dxa"/>
            <w:vAlign w:val="bottom"/>
          </w:tcPr>
          <w:p>
            <w:pPr>
              <w:spacing w:after="0"/>
              <w:rPr>
                <w:sz w:val="20"/>
                <w:szCs w:val="20"/>
                <w:color w:val="auto"/>
              </w:rPr>
            </w:pPr>
          </w:p>
        </w:tc>
        <w:tc>
          <w:tcPr>
            <w:tcW w:w="9400" w:type="dxa"/>
            <w:vAlign w:val="bottom"/>
          </w:tcPr>
          <w:p>
            <w:pPr>
              <w:ind w:left="3460"/>
              <w:spacing w:after="0"/>
              <w:rPr>
                <w:sz w:val="20"/>
                <w:szCs w:val="20"/>
                <w:color w:val="auto"/>
              </w:rPr>
            </w:pPr>
            <w:r>
              <w:rPr>
                <w:rFonts w:ascii="Arial" w:cs="Arial" w:eastAsia="Arial" w:hAnsi="Arial"/>
                <w:sz w:val="18"/>
                <w:szCs w:val="18"/>
                <w:b w:val="1"/>
                <w:bCs w:val="1"/>
                <w:color w:val="auto"/>
              </w:rPr>
              <w:t>TABLE OF CONTENTS</w:t>
            </w:r>
          </w:p>
        </w:tc>
        <w:tc>
          <w:tcPr>
            <w:tcW w:w="640" w:type="dxa"/>
            <w:vAlign w:val="bottom"/>
          </w:tcPr>
          <w:p>
            <w:pPr>
              <w:spacing w:after="0"/>
              <w:rPr>
                <w:sz w:val="20"/>
                <w:szCs w:val="20"/>
                <w:color w:val="auto"/>
              </w:rPr>
            </w:pPr>
          </w:p>
        </w:tc>
      </w:tr>
      <w:tr>
        <w:trPr>
          <w:trHeight w:val="453"/>
        </w:trPr>
        <w:tc>
          <w:tcPr>
            <w:tcW w:w="1200" w:type="dxa"/>
            <w:vAlign w:val="bottom"/>
            <w:tcBorders>
              <w:bottom w:val="single" w:sz="8" w:color="CCEEFF"/>
            </w:tcBorders>
          </w:tcPr>
          <w:p>
            <w:pPr>
              <w:spacing w:after="0"/>
              <w:rPr>
                <w:sz w:val="24"/>
                <w:szCs w:val="24"/>
                <w:color w:val="auto"/>
              </w:rPr>
            </w:pPr>
          </w:p>
        </w:tc>
        <w:tc>
          <w:tcPr>
            <w:tcW w:w="940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Page</w:t>
            </w: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ARTICLE 1</w:t>
            </w:r>
          </w:p>
        </w:tc>
        <w:tc>
          <w:tcPr>
            <w:tcW w:w="9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DEFINITIONS AND OTHER PROVISIONS OF GENERAL APPLICATION</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r>
      <w:tr>
        <w:trPr>
          <w:trHeight w:val="216"/>
        </w:trPr>
        <w:tc>
          <w:tcPr>
            <w:tcW w:w="1200" w:type="dxa"/>
            <w:vAlign w:val="bottom"/>
          </w:tcPr>
          <w:p>
            <w:pPr>
              <w:ind w:left="180"/>
              <w:spacing w:after="0"/>
              <w:rPr>
                <w:sz w:val="20"/>
                <w:szCs w:val="20"/>
                <w:color w:val="auto"/>
              </w:rPr>
            </w:pPr>
            <w:r>
              <w:rPr>
                <w:rFonts w:ascii="Arial" w:cs="Arial" w:eastAsia="Arial" w:hAnsi="Arial"/>
                <w:sz w:val="18"/>
                <w:szCs w:val="18"/>
                <w:color w:val="auto"/>
              </w:rPr>
              <w:t>Section 1.1</w:t>
            </w:r>
          </w:p>
        </w:tc>
        <w:tc>
          <w:tcPr>
            <w:tcW w:w="9400" w:type="dxa"/>
            <w:vAlign w:val="bottom"/>
          </w:tcPr>
          <w:p>
            <w:pPr>
              <w:ind w:left="280"/>
              <w:spacing w:after="0"/>
              <w:rPr>
                <w:sz w:val="20"/>
                <w:szCs w:val="20"/>
                <w:color w:val="auto"/>
              </w:rPr>
            </w:pPr>
            <w:r>
              <w:rPr>
                <w:rFonts w:ascii="Arial" w:cs="Arial" w:eastAsia="Arial" w:hAnsi="Arial"/>
                <w:sz w:val="18"/>
                <w:szCs w:val="18"/>
                <w:color w:val="auto"/>
              </w:rPr>
              <w:t>Definitions</w:t>
            </w:r>
          </w:p>
        </w:tc>
        <w:tc>
          <w:tcPr>
            <w:tcW w:w="640" w:type="dxa"/>
            <w:vAlign w:val="bottom"/>
          </w:tcPr>
          <w:p>
            <w:pPr>
              <w:jc w:val="center"/>
              <w:spacing w:after="0"/>
              <w:rPr>
                <w:sz w:val="20"/>
                <w:szCs w:val="20"/>
                <w:color w:val="auto"/>
              </w:rPr>
            </w:pPr>
            <w:r>
              <w:rPr>
                <w:rFonts w:ascii="Arial" w:cs="Arial" w:eastAsia="Arial" w:hAnsi="Arial"/>
                <w:sz w:val="18"/>
                <w:szCs w:val="18"/>
                <w:color w:val="auto"/>
                <w:w w:val="79"/>
              </w:rPr>
              <w:t>1</w:t>
            </w:r>
          </w:p>
        </w:tc>
      </w:tr>
      <w:tr>
        <w:trPr>
          <w:trHeight w:val="216"/>
        </w:trPr>
        <w:tc>
          <w:tcPr>
            <w:tcW w:w="1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1.2</w:t>
            </w:r>
          </w:p>
        </w:tc>
        <w:tc>
          <w:tcPr>
            <w:tcW w:w="9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Compliance Certificates and Opinions</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7</w:t>
            </w:r>
          </w:p>
        </w:tc>
      </w:tr>
      <w:tr>
        <w:trPr>
          <w:trHeight w:val="216"/>
        </w:trPr>
        <w:tc>
          <w:tcPr>
            <w:tcW w:w="1200" w:type="dxa"/>
            <w:vAlign w:val="bottom"/>
          </w:tcPr>
          <w:p>
            <w:pPr>
              <w:ind w:left="180"/>
              <w:spacing w:after="0"/>
              <w:rPr>
                <w:sz w:val="20"/>
                <w:szCs w:val="20"/>
                <w:color w:val="auto"/>
              </w:rPr>
            </w:pPr>
            <w:r>
              <w:rPr>
                <w:rFonts w:ascii="Arial" w:cs="Arial" w:eastAsia="Arial" w:hAnsi="Arial"/>
                <w:sz w:val="18"/>
                <w:szCs w:val="18"/>
                <w:color w:val="auto"/>
              </w:rPr>
              <w:t>Section 1.3</w:t>
            </w:r>
          </w:p>
        </w:tc>
        <w:tc>
          <w:tcPr>
            <w:tcW w:w="9400" w:type="dxa"/>
            <w:vAlign w:val="bottom"/>
          </w:tcPr>
          <w:p>
            <w:pPr>
              <w:ind w:left="280"/>
              <w:spacing w:after="0"/>
              <w:rPr>
                <w:sz w:val="20"/>
                <w:szCs w:val="20"/>
                <w:color w:val="auto"/>
              </w:rPr>
            </w:pPr>
            <w:r>
              <w:rPr>
                <w:rFonts w:ascii="Arial" w:cs="Arial" w:eastAsia="Arial" w:hAnsi="Arial"/>
                <w:sz w:val="18"/>
                <w:szCs w:val="18"/>
                <w:color w:val="auto"/>
              </w:rPr>
              <w:t>Form of Documents Delivered to Trustee</w:t>
            </w:r>
          </w:p>
        </w:tc>
        <w:tc>
          <w:tcPr>
            <w:tcW w:w="640" w:type="dxa"/>
            <w:vAlign w:val="bottom"/>
          </w:tcPr>
          <w:p>
            <w:pPr>
              <w:jc w:val="center"/>
              <w:spacing w:after="0"/>
              <w:rPr>
                <w:sz w:val="20"/>
                <w:szCs w:val="20"/>
                <w:color w:val="auto"/>
              </w:rPr>
            </w:pPr>
            <w:r>
              <w:rPr>
                <w:rFonts w:ascii="Arial" w:cs="Arial" w:eastAsia="Arial" w:hAnsi="Arial"/>
                <w:sz w:val="18"/>
                <w:szCs w:val="18"/>
                <w:color w:val="auto"/>
                <w:w w:val="79"/>
              </w:rPr>
              <w:t>7</w:t>
            </w:r>
          </w:p>
        </w:tc>
      </w:tr>
      <w:tr>
        <w:trPr>
          <w:trHeight w:val="216"/>
        </w:trPr>
        <w:tc>
          <w:tcPr>
            <w:tcW w:w="1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1.4</w:t>
            </w:r>
          </w:p>
        </w:tc>
        <w:tc>
          <w:tcPr>
            <w:tcW w:w="9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Section 1.4 Acts of Holders; Record Dates</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7</w:t>
            </w:r>
          </w:p>
        </w:tc>
      </w:tr>
      <w:tr>
        <w:trPr>
          <w:trHeight w:val="216"/>
        </w:trPr>
        <w:tc>
          <w:tcPr>
            <w:tcW w:w="1200" w:type="dxa"/>
            <w:vAlign w:val="bottom"/>
          </w:tcPr>
          <w:p>
            <w:pPr>
              <w:ind w:left="180"/>
              <w:spacing w:after="0"/>
              <w:rPr>
                <w:sz w:val="20"/>
                <w:szCs w:val="20"/>
                <w:color w:val="auto"/>
              </w:rPr>
            </w:pPr>
            <w:r>
              <w:rPr>
                <w:rFonts w:ascii="Arial" w:cs="Arial" w:eastAsia="Arial" w:hAnsi="Arial"/>
                <w:sz w:val="18"/>
                <w:szCs w:val="18"/>
                <w:color w:val="auto"/>
              </w:rPr>
              <w:t>Section 1.5</w:t>
            </w:r>
          </w:p>
        </w:tc>
        <w:tc>
          <w:tcPr>
            <w:tcW w:w="9400" w:type="dxa"/>
            <w:vAlign w:val="bottom"/>
          </w:tcPr>
          <w:p>
            <w:pPr>
              <w:ind w:left="280"/>
              <w:spacing w:after="0"/>
              <w:rPr>
                <w:sz w:val="20"/>
                <w:szCs w:val="20"/>
                <w:color w:val="auto"/>
              </w:rPr>
            </w:pPr>
            <w:r>
              <w:rPr>
                <w:rFonts w:ascii="Arial" w:cs="Arial" w:eastAsia="Arial" w:hAnsi="Arial"/>
                <w:sz w:val="18"/>
                <w:szCs w:val="18"/>
                <w:color w:val="auto"/>
              </w:rPr>
              <w:t>Notices, etc., to Trustee and Company</w:t>
            </w:r>
          </w:p>
        </w:tc>
        <w:tc>
          <w:tcPr>
            <w:tcW w:w="640" w:type="dxa"/>
            <w:vAlign w:val="bottom"/>
          </w:tcPr>
          <w:p>
            <w:pPr>
              <w:jc w:val="center"/>
              <w:spacing w:after="0"/>
              <w:rPr>
                <w:sz w:val="20"/>
                <w:szCs w:val="20"/>
                <w:color w:val="auto"/>
              </w:rPr>
            </w:pPr>
            <w:r>
              <w:rPr>
                <w:rFonts w:ascii="Arial" w:cs="Arial" w:eastAsia="Arial" w:hAnsi="Arial"/>
                <w:sz w:val="18"/>
                <w:szCs w:val="18"/>
                <w:color w:val="auto"/>
                <w:w w:val="79"/>
              </w:rPr>
              <w:t>9</w:t>
            </w:r>
          </w:p>
        </w:tc>
      </w:tr>
      <w:tr>
        <w:trPr>
          <w:trHeight w:val="216"/>
        </w:trPr>
        <w:tc>
          <w:tcPr>
            <w:tcW w:w="1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1.6</w:t>
            </w:r>
          </w:p>
        </w:tc>
        <w:tc>
          <w:tcPr>
            <w:tcW w:w="9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Notice to Holders; Waiver</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9</w:t>
            </w:r>
          </w:p>
        </w:tc>
      </w:tr>
      <w:tr>
        <w:trPr>
          <w:trHeight w:val="216"/>
        </w:trPr>
        <w:tc>
          <w:tcPr>
            <w:tcW w:w="1200" w:type="dxa"/>
            <w:vAlign w:val="bottom"/>
          </w:tcPr>
          <w:p>
            <w:pPr>
              <w:ind w:left="180"/>
              <w:spacing w:after="0"/>
              <w:rPr>
                <w:sz w:val="20"/>
                <w:szCs w:val="20"/>
                <w:color w:val="auto"/>
              </w:rPr>
            </w:pPr>
            <w:r>
              <w:rPr>
                <w:rFonts w:ascii="Arial" w:cs="Arial" w:eastAsia="Arial" w:hAnsi="Arial"/>
                <w:sz w:val="18"/>
                <w:szCs w:val="18"/>
                <w:color w:val="auto"/>
              </w:rPr>
              <w:t>Section 1.7</w:t>
            </w:r>
          </w:p>
        </w:tc>
        <w:tc>
          <w:tcPr>
            <w:tcW w:w="9400" w:type="dxa"/>
            <w:vAlign w:val="bottom"/>
          </w:tcPr>
          <w:p>
            <w:pPr>
              <w:ind w:left="280"/>
              <w:spacing w:after="0"/>
              <w:rPr>
                <w:sz w:val="20"/>
                <w:szCs w:val="20"/>
                <w:color w:val="auto"/>
              </w:rPr>
            </w:pPr>
            <w:r>
              <w:rPr>
                <w:rFonts w:ascii="Arial" w:cs="Arial" w:eastAsia="Arial" w:hAnsi="Arial"/>
                <w:sz w:val="18"/>
                <w:szCs w:val="18"/>
                <w:color w:val="auto"/>
              </w:rPr>
              <w:t>Conflict with Trust Indenture Act</w:t>
            </w:r>
          </w:p>
        </w:tc>
        <w:tc>
          <w:tcPr>
            <w:tcW w:w="640" w:type="dxa"/>
            <w:vAlign w:val="bottom"/>
          </w:tcPr>
          <w:p>
            <w:pPr>
              <w:jc w:val="center"/>
              <w:spacing w:after="0"/>
              <w:rPr>
                <w:sz w:val="20"/>
                <w:szCs w:val="20"/>
                <w:color w:val="auto"/>
              </w:rPr>
            </w:pPr>
            <w:r>
              <w:rPr>
                <w:rFonts w:ascii="Arial" w:cs="Arial" w:eastAsia="Arial" w:hAnsi="Arial"/>
                <w:sz w:val="18"/>
                <w:szCs w:val="18"/>
                <w:color w:val="auto"/>
                <w:w w:val="79"/>
              </w:rPr>
              <w:t>9</w:t>
            </w:r>
          </w:p>
        </w:tc>
      </w:tr>
      <w:tr>
        <w:trPr>
          <w:trHeight w:val="216"/>
        </w:trPr>
        <w:tc>
          <w:tcPr>
            <w:tcW w:w="1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1.8</w:t>
            </w:r>
          </w:p>
        </w:tc>
        <w:tc>
          <w:tcPr>
            <w:tcW w:w="9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Effect of Headings and Table of Contents</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r>
      <w:tr>
        <w:trPr>
          <w:trHeight w:val="216"/>
        </w:trPr>
        <w:tc>
          <w:tcPr>
            <w:tcW w:w="1200" w:type="dxa"/>
            <w:vAlign w:val="bottom"/>
          </w:tcPr>
          <w:p>
            <w:pPr>
              <w:ind w:left="180"/>
              <w:spacing w:after="0"/>
              <w:rPr>
                <w:sz w:val="20"/>
                <w:szCs w:val="20"/>
                <w:color w:val="auto"/>
              </w:rPr>
            </w:pPr>
            <w:r>
              <w:rPr>
                <w:rFonts w:ascii="Arial" w:cs="Arial" w:eastAsia="Arial" w:hAnsi="Arial"/>
                <w:sz w:val="18"/>
                <w:szCs w:val="18"/>
                <w:color w:val="auto"/>
              </w:rPr>
              <w:t>Section 1.9</w:t>
            </w:r>
          </w:p>
        </w:tc>
        <w:tc>
          <w:tcPr>
            <w:tcW w:w="9400" w:type="dxa"/>
            <w:vAlign w:val="bottom"/>
          </w:tcPr>
          <w:p>
            <w:pPr>
              <w:ind w:left="280"/>
              <w:spacing w:after="0"/>
              <w:rPr>
                <w:sz w:val="20"/>
                <w:szCs w:val="20"/>
                <w:color w:val="auto"/>
              </w:rPr>
            </w:pPr>
            <w:r>
              <w:rPr>
                <w:rFonts w:ascii="Arial" w:cs="Arial" w:eastAsia="Arial" w:hAnsi="Arial"/>
                <w:sz w:val="18"/>
                <w:szCs w:val="18"/>
                <w:color w:val="auto"/>
              </w:rPr>
              <w:t>Successors and Assigns</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10</w:t>
            </w:r>
          </w:p>
        </w:tc>
      </w:tr>
      <w:tr>
        <w:trPr>
          <w:trHeight w:val="216"/>
        </w:trPr>
        <w:tc>
          <w:tcPr>
            <w:tcW w:w="12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Section 1.10</w:t>
            </w:r>
          </w:p>
        </w:tc>
        <w:tc>
          <w:tcPr>
            <w:tcW w:w="9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Separability Clause</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r>
      <w:tr>
        <w:trPr>
          <w:trHeight w:val="216"/>
        </w:trPr>
        <w:tc>
          <w:tcPr>
            <w:tcW w:w="1200" w:type="dxa"/>
            <w:vAlign w:val="bottom"/>
          </w:tcPr>
          <w:p>
            <w:pPr>
              <w:ind w:left="180"/>
              <w:spacing w:after="0"/>
              <w:rPr>
                <w:sz w:val="20"/>
                <w:szCs w:val="20"/>
                <w:color w:val="auto"/>
              </w:rPr>
            </w:pPr>
            <w:r>
              <w:rPr>
                <w:rFonts w:ascii="Arial" w:cs="Arial" w:eastAsia="Arial" w:hAnsi="Arial"/>
                <w:sz w:val="18"/>
                <w:szCs w:val="18"/>
                <w:color w:val="auto"/>
                <w:w w:val="99"/>
              </w:rPr>
              <w:t>Section 1.11</w:t>
            </w:r>
          </w:p>
        </w:tc>
        <w:tc>
          <w:tcPr>
            <w:tcW w:w="9400" w:type="dxa"/>
            <w:vAlign w:val="bottom"/>
          </w:tcPr>
          <w:p>
            <w:pPr>
              <w:ind w:left="280"/>
              <w:spacing w:after="0"/>
              <w:rPr>
                <w:sz w:val="20"/>
                <w:szCs w:val="20"/>
                <w:color w:val="auto"/>
              </w:rPr>
            </w:pPr>
            <w:r>
              <w:rPr>
                <w:rFonts w:ascii="Arial" w:cs="Arial" w:eastAsia="Arial" w:hAnsi="Arial"/>
                <w:sz w:val="18"/>
                <w:szCs w:val="18"/>
                <w:color w:val="auto"/>
              </w:rPr>
              <w:t>Benefits of Indenture</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10</w:t>
            </w:r>
          </w:p>
        </w:tc>
      </w:tr>
      <w:tr>
        <w:trPr>
          <w:trHeight w:val="216"/>
        </w:trPr>
        <w:tc>
          <w:tcPr>
            <w:tcW w:w="12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Section 1.12</w:t>
            </w:r>
          </w:p>
        </w:tc>
        <w:tc>
          <w:tcPr>
            <w:tcW w:w="9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Governing Law</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r>
      <w:tr>
        <w:trPr>
          <w:trHeight w:val="216"/>
        </w:trPr>
        <w:tc>
          <w:tcPr>
            <w:tcW w:w="1200" w:type="dxa"/>
            <w:vAlign w:val="bottom"/>
          </w:tcPr>
          <w:p>
            <w:pPr>
              <w:ind w:left="180"/>
              <w:spacing w:after="0"/>
              <w:rPr>
                <w:sz w:val="20"/>
                <w:szCs w:val="20"/>
                <w:color w:val="auto"/>
              </w:rPr>
            </w:pPr>
            <w:r>
              <w:rPr>
                <w:rFonts w:ascii="Arial" w:cs="Arial" w:eastAsia="Arial" w:hAnsi="Arial"/>
                <w:sz w:val="18"/>
                <w:szCs w:val="18"/>
                <w:color w:val="auto"/>
                <w:w w:val="99"/>
              </w:rPr>
              <w:t>Section 1.13</w:t>
            </w:r>
          </w:p>
        </w:tc>
        <w:tc>
          <w:tcPr>
            <w:tcW w:w="9400" w:type="dxa"/>
            <w:vAlign w:val="bottom"/>
          </w:tcPr>
          <w:p>
            <w:pPr>
              <w:ind w:left="280"/>
              <w:spacing w:after="0"/>
              <w:rPr>
                <w:sz w:val="20"/>
                <w:szCs w:val="20"/>
                <w:color w:val="auto"/>
              </w:rPr>
            </w:pPr>
            <w:r>
              <w:rPr>
                <w:rFonts w:ascii="Arial" w:cs="Arial" w:eastAsia="Arial" w:hAnsi="Arial"/>
                <w:sz w:val="18"/>
                <w:szCs w:val="18"/>
                <w:color w:val="auto"/>
              </w:rPr>
              <w:t>Legal Holidays</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10</w:t>
            </w:r>
          </w:p>
        </w:tc>
      </w:tr>
      <w:tr>
        <w:trPr>
          <w:trHeight w:val="216"/>
        </w:trPr>
        <w:tc>
          <w:tcPr>
            <w:tcW w:w="12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Section 1.14</w:t>
            </w:r>
          </w:p>
        </w:tc>
        <w:tc>
          <w:tcPr>
            <w:tcW w:w="9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Indenture and Securities Solely Corporate Obligations</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r>
      <w:tr>
        <w:trPr>
          <w:trHeight w:val="216"/>
        </w:trPr>
        <w:tc>
          <w:tcPr>
            <w:tcW w:w="1200" w:type="dxa"/>
            <w:vAlign w:val="bottom"/>
          </w:tcPr>
          <w:p>
            <w:pPr>
              <w:ind w:left="180"/>
              <w:spacing w:after="0"/>
              <w:rPr>
                <w:sz w:val="20"/>
                <w:szCs w:val="20"/>
                <w:color w:val="auto"/>
              </w:rPr>
            </w:pPr>
            <w:r>
              <w:rPr>
                <w:rFonts w:ascii="Arial" w:cs="Arial" w:eastAsia="Arial" w:hAnsi="Arial"/>
                <w:sz w:val="18"/>
                <w:szCs w:val="18"/>
                <w:color w:val="auto"/>
                <w:w w:val="99"/>
              </w:rPr>
              <w:t>Section 1.15</w:t>
            </w:r>
          </w:p>
        </w:tc>
        <w:tc>
          <w:tcPr>
            <w:tcW w:w="9400" w:type="dxa"/>
            <w:vAlign w:val="bottom"/>
          </w:tcPr>
          <w:p>
            <w:pPr>
              <w:ind w:left="280"/>
              <w:spacing w:after="0"/>
              <w:rPr>
                <w:sz w:val="20"/>
                <w:szCs w:val="20"/>
                <w:color w:val="auto"/>
              </w:rPr>
            </w:pPr>
            <w:r>
              <w:rPr>
                <w:rFonts w:ascii="Arial" w:cs="Arial" w:eastAsia="Arial" w:hAnsi="Arial"/>
                <w:sz w:val="18"/>
                <w:szCs w:val="18"/>
                <w:color w:val="auto"/>
              </w:rPr>
              <w:t>Indenture May be Executed in Counterparts</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11</w:t>
            </w:r>
          </w:p>
        </w:tc>
      </w:tr>
      <w:tr>
        <w:trPr>
          <w:trHeight w:val="216"/>
        </w:trPr>
        <w:tc>
          <w:tcPr>
            <w:tcW w:w="1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ARTICLE 2</w:t>
            </w:r>
          </w:p>
        </w:tc>
        <w:tc>
          <w:tcPr>
            <w:tcW w:w="9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SECURITY FORMS</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w:t>
            </w:r>
          </w:p>
        </w:tc>
      </w:tr>
      <w:tr>
        <w:trPr>
          <w:trHeight w:val="216"/>
        </w:trPr>
        <w:tc>
          <w:tcPr>
            <w:tcW w:w="1200" w:type="dxa"/>
            <w:vAlign w:val="bottom"/>
          </w:tcPr>
          <w:p>
            <w:pPr>
              <w:ind w:left="180"/>
              <w:spacing w:after="0"/>
              <w:rPr>
                <w:sz w:val="20"/>
                <w:szCs w:val="20"/>
                <w:color w:val="auto"/>
              </w:rPr>
            </w:pPr>
            <w:r>
              <w:rPr>
                <w:rFonts w:ascii="Arial" w:cs="Arial" w:eastAsia="Arial" w:hAnsi="Arial"/>
                <w:sz w:val="18"/>
                <w:szCs w:val="18"/>
                <w:color w:val="auto"/>
              </w:rPr>
              <w:t>Section 2.1</w:t>
            </w:r>
          </w:p>
        </w:tc>
        <w:tc>
          <w:tcPr>
            <w:tcW w:w="9400" w:type="dxa"/>
            <w:vAlign w:val="bottom"/>
          </w:tcPr>
          <w:p>
            <w:pPr>
              <w:ind w:left="280"/>
              <w:spacing w:after="0"/>
              <w:rPr>
                <w:sz w:val="20"/>
                <w:szCs w:val="20"/>
                <w:color w:val="auto"/>
              </w:rPr>
            </w:pPr>
            <w:r>
              <w:rPr>
                <w:rFonts w:ascii="Arial" w:cs="Arial" w:eastAsia="Arial" w:hAnsi="Arial"/>
                <w:sz w:val="18"/>
                <w:szCs w:val="18"/>
                <w:color w:val="auto"/>
              </w:rPr>
              <w:t>Forms Generally</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11</w:t>
            </w:r>
          </w:p>
        </w:tc>
      </w:tr>
      <w:tr>
        <w:trPr>
          <w:trHeight w:val="216"/>
        </w:trPr>
        <w:tc>
          <w:tcPr>
            <w:tcW w:w="1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2.2</w:t>
            </w:r>
          </w:p>
        </w:tc>
        <w:tc>
          <w:tcPr>
            <w:tcW w:w="9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Form of Face of Security</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w:t>
            </w:r>
          </w:p>
        </w:tc>
      </w:tr>
      <w:tr>
        <w:trPr>
          <w:trHeight w:val="216"/>
        </w:trPr>
        <w:tc>
          <w:tcPr>
            <w:tcW w:w="1200" w:type="dxa"/>
            <w:vAlign w:val="bottom"/>
          </w:tcPr>
          <w:p>
            <w:pPr>
              <w:ind w:left="180"/>
              <w:spacing w:after="0"/>
              <w:rPr>
                <w:sz w:val="20"/>
                <w:szCs w:val="20"/>
                <w:color w:val="auto"/>
              </w:rPr>
            </w:pPr>
            <w:r>
              <w:rPr>
                <w:rFonts w:ascii="Arial" w:cs="Arial" w:eastAsia="Arial" w:hAnsi="Arial"/>
                <w:sz w:val="18"/>
                <w:szCs w:val="18"/>
                <w:color w:val="auto"/>
              </w:rPr>
              <w:t>Section 2.3</w:t>
            </w:r>
          </w:p>
        </w:tc>
        <w:tc>
          <w:tcPr>
            <w:tcW w:w="9400" w:type="dxa"/>
            <w:vAlign w:val="bottom"/>
          </w:tcPr>
          <w:p>
            <w:pPr>
              <w:ind w:left="280"/>
              <w:spacing w:after="0"/>
              <w:rPr>
                <w:sz w:val="20"/>
                <w:szCs w:val="20"/>
                <w:color w:val="auto"/>
              </w:rPr>
            </w:pPr>
            <w:r>
              <w:rPr>
                <w:rFonts w:ascii="Arial" w:cs="Arial" w:eastAsia="Arial" w:hAnsi="Arial"/>
                <w:sz w:val="18"/>
                <w:szCs w:val="18"/>
                <w:color w:val="auto"/>
              </w:rPr>
              <w:t>Form of Reverse of Security</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12</w:t>
            </w:r>
          </w:p>
        </w:tc>
      </w:tr>
      <w:tr>
        <w:trPr>
          <w:trHeight w:val="216"/>
        </w:trPr>
        <w:tc>
          <w:tcPr>
            <w:tcW w:w="1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2.4</w:t>
            </w:r>
          </w:p>
        </w:tc>
        <w:tc>
          <w:tcPr>
            <w:tcW w:w="9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Form of Legend for Global Securities</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w:t>
            </w:r>
          </w:p>
        </w:tc>
      </w:tr>
      <w:tr>
        <w:trPr>
          <w:trHeight w:val="216"/>
        </w:trPr>
        <w:tc>
          <w:tcPr>
            <w:tcW w:w="1200" w:type="dxa"/>
            <w:vAlign w:val="bottom"/>
          </w:tcPr>
          <w:p>
            <w:pPr>
              <w:ind w:left="180"/>
              <w:spacing w:after="0"/>
              <w:rPr>
                <w:sz w:val="20"/>
                <w:szCs w:val="20"/>
                <w:color w:val="auto"/>
              </w:rPr>
            </w:pPr>
            <w:r>
              <w:rPr>
                <w:rFonts w:ascii="Arial" w:cs="Arial" w:eastAsia="Arial" w:hAnsi="Arial"/>
                <w:sz w:val="18"/>
                <w:szCs w:val="18"/>
                <w:color w:val="auto"/>
              </w:rPr>
              <w:t>Section 2.5</w:t>
            </w:r>
          </w:p>
        </w:tc>
        <w:tc>
          <w:tcPr>
            <w:tcW w:w="9400" w:type="dxa"/>
            <w:vAlign w:val="bottom"/>
          </w:tcPr>
          <w:p>
            <w:pPr>
              <w:ind w:left="280"/>
              <w:spacing w:after="0"/>
              <w:rPr>
                <w:sz w:val="20"/>
                <w:szCs w:val="20"/>
                <w:color w:val="auto"/>
              </w:rPr>
            </w:pPr>
            <w:r>
              <w:rPr>
                <w:rFonts w:ascii="Arial" w:cs="Arial" w:eastAsia="Arial" w:hAnsi="Arial"/>
                <w:sz w:val="18"/>
                <w:szCs w:val="18"/>
                <w:color w:val="auto"/>
              </w:rPr>
              <w:t>Form of Trustee’s Certificate of Authentication</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15</w:t>
            </w:r>
          </w:p>
        </w:tc>
      </w:tr>
      <w:tr>
        <w:trPr>
          <w:trHeight w:val="216"/>
        </w:trPr>
        <w:tc>
          <w:tcPr>
            <w:tcW w:w="1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2.6</w:t>
            </w:r>
          </w:p>
        </w:tc>
        <w:tc>
          <w:tcPr>
            <w:tcW w:w="9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Form of Conversion Notice</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ARTICLE 3</w:t>
            </w:r>
          </w:p>
        </w:tc>
        <w:tc>
          <w:tcPr>
            <w:tcW w:w="9400" w:type="dxa"/>
            <w:vAlign w:val="bottom"/>
          </w:tcPr>
          <w:p>
            <w:pPr>
              <w:ind w:left="100"/>
              <w:spacing w:after="0"/>
              <w:rPr>
                <w:sz w:val="20"/>
                <w:szCs w:val="20"/>
                <w:color w:val="auto"/>
              </w:rPr>
            </w:pPr>
            <w:r>
              <w:rPr>
                <w:rFonts w:ascii="Arial" w:cs="Arial" w:eastAsia="Arial" w:hAnsi="Arial"/>
                <w:sz w:val="18"/>
                <w:szCs w:val="18"/>
                <w:color w:val="auto"/>
              </w:rPr>
              <w:t>THE SECURITIES</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16</w:t>
            </w:r>
          </w:p>
        </w:tc>
      </w:tr>
      <w:tr>
        <w:trPr>
          <w:trHeight w:val="216"/>
        </w:trPr>
        <w:tc>
          <w:tcPr>
            <w:tcW w:w="1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3.1</w:t>
            </w:r>
          </w:p>
        </w:tc>
        <w:tc>
          <w:tcPr>
            <w:tcW w:w="9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Amount Unlimited; Issuable in Series</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w:t>
            </w:r>
          </w:p>
        </w:tc>
      </w:tr>
      <w:tr>
        <w:trPr>
          <w:trHeight w:val="216"/>
        </w:trPr>
        <w:tc>
          <w:tcPr>
            <w:tcW w:w="1200" w:type="dxa"/>
            <w:vAlign w:val="bottom"/>
          </w:tcPr>
          <w:p>
            <w:pPr>
              <w:ind w:left="180"/>
              <w:spacing w:after="0"/>
              <w:rPr>
                <w:sz w:val="20"/>
                <w:szCs w:val="20"/>
                <w:color w:val="auto"/>
              </w:rPr>
            </w:pPr>
            <w:r>
              <w:rPr>
                <w:rFonts w:ascii="Arial" w:cs="Arial" w:eastAsia="Arial" w:hAnsi="Arial"/>
                <w:sz w:val="18"/>
                <w:szCs w:val="18"/>
                <w:color w:val="auto"/>
              </w:rPr>
              <w:t>Section 3.2</w:t>
            </w:r>
          </w:p>
        </w:tc>
        <w:tc>
          <w:tcPr>
            <w:tcW w:w="9400" w:type="dxa"/>
            <w:vAlign w:val="bottom"/>
          </w:tcPr>
          <w:p>
            <w:pPr>
              <w:ind w:left="280"/>
              <w:spacing w:after="0"/>
              <w:rPr>
                <w:sz w:val="20"/>
                <w:szCs w:val="20"/>
                <w:color w:val="auto"/>
              </w:rPr>
            </w:pPr>
            <w:r>
              <w:rPr>
                <w:rFonts w:ascii="Arial" w:cs="Arial" w:eastAsia="Arial" w:hAnsi="Arial"/>
                <w:sz w:val="18"/>
                <w:szCs w:val="18"/>
                <w:color w:val="auto"/>
              </w:rPr>
              <w:t>Denominations</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19</w:t>
            </w:r>
          </w:p>
        </w:tc>
      </w:tr>
      <w:tr>
        <w:trPr>
          <w:trHeight w:val="216"/>
        </w:trPr>
        <w:tc>
          <w:tcPr>
            <w:tcW w:w="1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3.3</w:t>
            </w:r>
          </w:p>
        </w:tc>
        <w:tc>
          <w:tcPr>
            <w:tcW w:w="9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Execution, Authentication, Delivery and Dating</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w:t>
            </w:r>
          </w:p>
        </w:tc>
      </w:tr>
      <w:tr>
        <w:trPr>
          <w:trHeight w:val="216"/>
        </w:trPr>
        <w:tc>
          <w:tcPr>
            <w:tcW w:w="1200" w:type="dxa"/>
            <w:vAlign w:val="bottom"/>
          </w:tcPr>
          <w:p>
            <w:pPr>
              <w:ind w:left="180"/>
              <w:spacing w:after="0"/>
              <w:rPr>
                <w:sz w:val="20"/>
                <w:szCs w:val="20"/>
                <w:color w:val="auto"/>
              </w:rPr>
            </w:pPr>
            <w:r>
              <w:rPr>
                <w:rFonts w:ascii="Arial" w:cs="Arial" w:eastAsia="Arial" w:hAnsi="Arial"/>
                <w:sz w:val="18"/>
                <w:szCs w:val="18"/>
                <w:color w:val="auto"/>
              </w:rPr>
              <w:t>Section 3.4</w:t>
            </w:r>
          </w:p>
        </w:tc>
        <w:tc>
          <w:tcPr>
            <w:tcW w:w="9400" w:type="dxa"/>
            <w:vAlign w:val="bottom"/>
          </w:tcPr>
          <w:p>
            <w:pPr>
              <w:ind w:left="280"/>
              <w:spacing w:after="0"/>
              <w:rPr>
                <w:sz w:val="20"/>
                <w:szCs w:val="20"/>
                <w:color w:val="auto"/>
              </w:rPr>
            </w:pPr>
            <w:r>
              <w:rPr>
                <w:rFonts w:ascii="Arial" w:cs="Arial" w:eastAsia="Arial" w:hAnsi="Arial"/>
                <w:sz w:val="18"/>
                <w:szCs w:val="18"/>
                <w:color w:val="auto"/>
              </w:rPr>
              <w:t>Temporary Securities</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20</w:t>
            </w:r>
          </w:p>
        </w:tc>
      </w:tr>
      <w:tr>
        <w:trPr>
          <w:trHeight w:val="216"/>
        </w:trPr>
        <w:tc>
          <w:tcPr>
            <w:tcW w:w="1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3.5</w:t>
            </w:r>
          </w:p>
        </w:tc>
        <w:tc>
          <w:tcPr>
            <w:tcW w:w="9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Registration; Registration of Transfer and Exchange</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w:t>
            </w:r>
          </w:p>
        </w:tc>
      </w:tr>
      <w:tr>
        <w:trPr>
          <w:trHeight w:val="216"/>
        </w:trPr>
        <w:tc>
          <w:tcPr>
            <w:tcW w:w="1200" w:type="dxa"/>
            <w:vAlign w:val="bottom"/>
          </w:tcPr>
          <w:p>
            <w:pPr>
              <w:ind w:left="180"/>
              <w:spacing w:after="0"/>
              <w:rPr>
                <w:sz w:val="20"/>
                <w:szCs w:val="20"/>
                <w:color w:val="auto"/>
              </w:rPr>
            </w:pPr>
            <w:r>
              <w:rPr>
                <w:rFonts w:ascii="Arial" w:cs="Arial" w:eastAsia="Arial" w:hAnsi="Arial"/>
                <w:sz w:val="18"/>
                <w:szCs w:val="18"/>
                <w:color w:val="auto"/>
              </w:rPr>
              <w:t>Section 3.6</w:t>
            </w:r>
          </w:p>
        </w:tc>
        <w:tc>
          <w:tcPr>
            <w:tcW w:w="9400" w:type="dxa"/>
            <w:vAlign w:val="bottom"/>
          </w:tcPr>
          <w:p>
            <w:pPr>
              <w:ind w:left="280"/>
              <w:spacing w:after="0"/>
              <w:rPr>
                <w:sz w:val="20"/>
                <w:szCs w:val="20"/>
                <w:color w:val="auto"/>
              </w:rPr>
            </w:pPr>
            <w:r>
              <w:rPr>
                <w:rFonts w:ascii="Arial" w:cs="Arial" w:eastAsia="Arial" w:hAnsi="Arial"/>
                <w:sz w:val="18"/>
                <w:szCs w:val="18"/>
                <w:color w:val="auto"/>
              </w:rPr>
              <w:t>Mutilated, Destroyed, Lost and Stolen Securities</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21</w:t>
            </w:r>
          </w:p>
        </w:tc>
      </w:tr>
      <w:tr>
        <w:trPr>
          <w:trHeight w:val="216"/>
        </w:trPr>
        <w:tc>
          <w:tcPr>
            <w:tcW w:w="1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3.7</w:t>
            </w:r>
          </w:p>
        </w:tc>
        <w:tc>
          <w:tcPr>
            <w:tcW w:w="9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Payment of Interest; Interest Rights Preserved</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22</w:t>
            </w:r>
          </w:p>
        </w:tc>
      </w:tr>
      <w:tr>
        <w:trPr>
          <w:trHeight w:val="216"/>
        </w:trPr>
        <w:tc>
          <w:tcPr>
            <w:tcW w:w="1200" w:type="dxa"/>
            <w:vAlign w:val="bottom"/>
          </w:tcPr>
          <w:p>
            <w:pPr>
              <w:ind w:left="180"/>
              <w:spacing w:after="0"/>
              <w:rPr>
                <w:sz w:val="20"/>
                <w:szCs w:val="20"/>
                <w:color w:val="auto"/>
              </w:rPr>
            </w:pPr>
            <w:r>
              <w:rPr>
                <w:rFonts w:ascii="Arial" w:cs="Arial" w:eastAsia="Arial" w:hAnsi="Arial"/>
                <w:sz w:val="18"/>
                <w:szCs w:val="18"/>
                <w:color w:val="auto"/>
              </w:rPr>
              <w:t>Section 3.8</w:t>
            </w:r>
          </w:p>
        </w:tc>
        <w:tc>
          <w:tcPr>
            <w:tcW w:w="9400" w:type="dxa"/>
            <w:vAlign w:val="bottom"/>
          </w:tcPr>
          <w:p>
            <w:pPr>
              <w:ind w:left="280"/>
              <w:spacing w:after="0"/>
              <w:rPr>
                <w:sz w:val="20"/>
                <w:szCs w:val="20"/>
                <w:color w:val="auto"/>
              </w:rPr>
            </w:pPr>
            <w:r>
              <w:rPr>
                <w:rFonts w:ascii="Arial" w:cs="Arial" w:eastAsia="Arial" w:hAnsi="Arial"/>
                <w:sz w:val="18"/>
                <w:szCs w:val="18"/>
                <w:color w:val="auto"/>
              </w:rPr>
              <w:t>Persons Deemed Owners</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23</w:t>
            </w:r>
          </w:p>
        </w:tc>
      </w:tr>
      <w:tr>
        <w:trPr>
          <w:trHeight w:val="216"/>
        </w:trPr>
        <w:tc>
          <w:tcPr>
            <w:tcW w:w="1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3.9</w:t>
            </w:r>
          </w:p>
        </w:tc>
        <w:tc>
          <w:tcPr>
            <w:tcW w:w="9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Cancellation</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23</w:t>
            </w:r>
          </w:p>
        </w:tc>
      </w:tr>
      <w:tr>
        <w:trPr>
          <w:trHeight w:val="216"/>
        </w:trPr>
        <w:tc>
          <w:tcPr>
            <w:tcW w:w="1200" w:type="dxa"/>
            <w:vAlign w:val="bottom"/>
          </w:tcPr>
          <w:p>
            <w:pPr>
              <w:ind w:left="180"/>
              <w:spacing w:after="0"/>
              <w:rPr>
                <w:sz w:val="20"/>
                <w:szCs w:val="20"/>
                <w:color w:val="auto"/>
              </w:rPr>
            </w:pPr>
            <w:r>
              <w:rPr>
                <w:rFonts w:ascii="Arial" w:cs="Arial" w:eastAsia="Arial" w:hAnsi="Arial"/>
                <w:sz w:val="18"/>
                <w:szCs w:val="18"/>
                <w:color w:val="auto"/>
                <w:w w:val="99"/>
              </w:rPr>
              <w:t>Section 3.10</w:t>
            </w:r>
          </w:p>
        </w:tc>
        <w:tc>
          <w:tcPr>
            <w:tcW w:w="9400" w:type="dxa"/>
            <w:vAlign w:val="bottom"/>
          </w:tcPr>
          <w:p>
            <w:pPr>
              <w:ind w:left="280"/>
              <w:spacing w:after="0"/>
              <w:rPr>
                <w:sz w:val="20"/>
                <w:szCs w:val="20"/>
                <w:color w:val="auto"/>
              </w:rPr>
            </w:pPr>
            <w:r>
              <w:rPr>
                <w:rFonts w:ascii="Arial" w:cs="Arial" w:eastAsia="Arial" w:hAnsi="Arial"/>
                <w:sz w:val="18"/>
                <w:szCs w:val="18"/>
                <w:color w:val="auto"/>
              </w:rPr>
              <w:t>Computation of Interest</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23</w:t>
            </w: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ARTICLE 4</w:t>
            </w:r>
          </w:p>
        </w:tc>
        <w:tc>
          <w:tcPr>
            <w:tcW w:w="9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SATISFACTION AND DISCHARGE</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23</w:t>
            </w:r>
          </w:p>
        </w:tc>
      </w:tr>
      <w:tr>
        <w:trPr>
          <w:trHeight w:val="216"/>
        </w:trPr>
        <w:tc>
          <w:tcPr>
            <w:tcW w:w="1200" w:type="dxa"/>
            <w:vAlign w:val="bottom"/>
          </w:tcPr>
          <w:p>
            <w:pPr>
              <w:ind w:left="180"/>
              <w:spacing w:after="0"/>
              <w:rPr>
                <w:sz w:val="20"/>
                <w:szCs w:val="20"/>
                <w:color w:val="auto"/>
              </w:rPr>
            </w:pPr>
            <w:r>
              <w:rPr>
                <w:rFonts w:ascii="Arial" w:cs="Arial" w:eastAsia="Arial" w:hAnsi="Arial"/>
                <w:sz w:val="18"/>
                <w:szCs w:val="18"/>
                <w:color w:val="auto"/>
              </w:rPr>
              <w:t>Section 4.1</w:t>
            </w:r>
          </w:p>
        </w:tc>
        <w:tc>
          <w:tcPr>
            <w:tcW w:w="9400" w:type="dxa"/>
            <w:vAlign w:val="bottom"/>
          </w:tcPr>
          <w:p>
            <w:pPr>
              <w:ind w:left="280"/>
              <w:spacing w:after="0"/>
              <w:rPr>
                <w:sz w:val="20"/>
                <w:szCs w:val="20"/>
                <w:color w:val="auto"/>
              </w:rPr>
            </w:pPr>
            <w:r>
              <w:rPr>
                <w:rFonts w:ascii="Arial" w:cs="Arial" w:eastAsia="Arial" w:hAnsi="Arial"/>
                <w:sz w:val="18"/>
                <w:szCs w:val="18"/>
                <w:color w:val="auto"/>
              </w:rPr>
              <w:t>Satisfaction and Discharge of Indenture</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23</w:t>
            </w:r>
          </w:p>
        </w:tc>
      </w:tr>
      <w:tr>
        <w:trPr>
          <w:trHeight w:val="216"/>
        </w:trPr>
        <w:tc>
          <w:tcPr>
            <w:tcW w:w="1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4.2</w:t>
            </w:r>
          </w:p>
        </w:tc>
        <w:tc>
          <w:tcPr>
            <w:tcW w:w="9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Application of Trust Money</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24</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ARTICLE 5</w:t>
            </w:r>
          </w:p>
        </w:tc>
        <w:tc>
          <w:tcPr>
            <w:tcW w:w="9400" w:type="dxa"/>
            <w:vAlign w:val="bottom"/>
          </w:tcPr>
          <w:p>
            <w:pPr>
              <w:ind w:left="100"/>
              <w:spacing w:after="0"/>
              <w:rPr>
                <w:sz w:val="20"/>
                <w:szCs w:val="20"/>
                <w:color w:val="auto"/>
              </w:rPr>
            </w:pPr>
            <w:r>
              <w:rPr>
                <w:rFonts w:ascii="Arial" w:cs="Arial" w:eastAsia="Arial" w:hAnsi="Arial"/>
                <w:sz w:val="18"/>
                <w:szCs w:val="18"/>
                <w:color w:val="auto"/>
              </w:rPr>
              <w:t>REMEDIES</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24</w:t>
            </w:r>
          </w:p>
        </w:tc>
      </w:tr>
      <w:tr>
        <w:trPr>
          <w:trHeight w:val="216"/>
        </w:trPr>
        <w:tc>
          <w:tcPr>
            <w:tcW w:w="1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5.1</w:t>
            </w:r>
          </w:p>
        </w:tc>
        <w:tc>
          <w:tcPr>
            <w:tcW w:w="9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Events of Default</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24</w:t>
            </w:r>
          </w:p>
        </w:tc>
      </w:tr>
      <w:tr>
        <w:trPr>
          <w:trHeight w:val="216"/>
        </w:trPr>
        <w:tc>
          <w:tcPr>
            <w:tcW w:w="1200" w:type="dxa"/>
            <w:vAlign w:val="bottom"/>
          </w:tcPr>
          <w:p>
            <w:pPr>
              <w:ind w:left="180"/>
              <w:spacing w:after="0"/>
              <w:rPr>
                <w:sz w:val="20"/>
                <w:szCs w:val="20"/>
                <w:color w:val="auto"/>
              </w:rPr>
            </w:pPr>
            <w:r>
              <w:rPr>
                <w:rFonts w:ascii="Arial" w:cs="Arial" w:eastAsia="Arial" w:hAnsi="Arial"/>
                <w:sz w:val="18"/>
                <w:szCs w:val="18"/>
                <w:color w:val="auto"/>
              </w:rPr>
              <w:t>Section 5.2</w:t>
            </w:r>
          </w:p>
        </w:tc>
        <w:tc>
          <w:tcPr>
            <w:tcW w:w="9400" w:type="dxa"/>
            <w:vAlign w:val="bottom"/>
          </w:tcPr>
          <w:p>
            <w:pPr>
              <w:ind w:left="280"/>
              <w:spacing w:after="0"/>
              <w:rPr>
                <w:sz w:val="20"/>
                <w:szCs w:val="20"/>
                <w:color w:val="auto"/>
              </w:rPr>
            </w:pPr>
            <w:r>
              <w:rPr>
                <w:rFonts w:ascii="Arial" w:cs="Arial" w:eastAsia="Arial" w:hAnsi="Arial"/>
                <w:sz w:val="18"/>
                <w:szCs w:val="18"/>
                <w:color w:val="auto"/>
              </w:rPr>
              <w:t>Acceleration of Maturity; Rescission and Annulment</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26</w:t>
            </w:r>
          </w:p>
        </w:tc>
      </w:tr>
      <w:tr>
        <w:trPr>
          <w:trHeight w:val="216"/>
        </w:trPr>
        <w:tc>
          <w:tcPr>
            <w:tcW w:w="1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5.3</w:t>
            </w:r>
          </w:p>
        </w:tc>
        <w:tc>
          <w:tcPr>
            <w:tcW w:w="9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Collection of Indebtedness and Suits for Enforcement by Trustee</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27</w:t>
            </w:r>
          </w:p>
        </w:tc>
      </w:tr>
      <w:tr>
        <w:trPr>
          <w:trHeight w:val="216"/>
        </w:trPr>
        <w:tc>
          <w:tcPr>
            <w:tcW w:w="1200" w:type="dxa"/>
            <w:vAlign w:val="bottom"/>
          </w:tcPr>
          <w:p>
            <w:pPr>
              <w:ind w:left="180"/>
              <w:spacing w:after="0"/>
              <w:rPr>
                <w:sz w:val="20"/>
                <w:szCs w:val="20"/>
                <w:color w:val="auto"/>
              </w:rPr>
            </w:pPr>
            <w:r>
              <w:rPr>
                <w:rFonts w:ascii="Arial" w:cs="Arial" w:eastAsia="Arial" w:hAnsi="Arial"/>
                <w:sz w:val="18"/>
                <w:szCs w:val="18"/>
                <w:color w:val="auto"/>
              </w:rPr>
              <w:t>Section 5.4</w:t>
            </w:r>
          </w:p>
        </w:tc>
        <w:tc>
          <w:tcPr>
            <w:tcW w:w="9400" w:type="dxa"/>
            <w:vAlign w:val="bottom"/>
          </w:tcPr>
          <w:p>
            <w:pPr>
              <w:ind w:left="280"/>
              <w:spacing w:after="0"/>
              <w:rPr>
                <w:sz w:val="20"/>
                <w:szCs w:val="20"/>
                <w:color w:val="auto"/>
              </w:rPr>
            </w:pPr>
            <w:r>
              <w:rPr>
                <w:rFonts w:ascii="Arial" w:cs="Arial" w:eastAsia="Arial" w:hAnsi="Arial"/>
                <w:sz w:val="18"/>
                <w:szCs w:val="18"/>
                <w:color w:val="auto"/>
              </w:rPr>
              <w:t>Trustee May File Proofs of Claim</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27</w:t>
            </w:r>
          </w:p>
        </w:tc>
      </w:tr>
      <w:tr>
        <w:trPr>
          <w:trHeight w:val="216"/>
        </w:trPr>
        <w:tc>
          <w:tcPr>
            <w:tcW w:w="1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5.5</w:t>
            </w:r>
          </w:p>
        </w:tc>
        <w:tc>
          <w:tcPr>
            <w:tcW w:w="9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Trustee May Enforce Claims Without Possession of Securities</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27</w:t>
            </w:r>
          </w:p>
        </w:tc>
      </w:tr>
      <w:tr>
        <w:trPr>
          <w:trHeight w:val="216"/>
        </w:trPr>
        <w:tc>
          <w:tcPr>
            <w:tcW w:w="1200" w:type="dxa"/>
            <w:vAlign w:val="bottom"/>
          </w:tcPr>
          <w:p>
            <w:pPr>
              <w:ind w:left="180"/>
              <w:spacing w:after="0"/>
              <w:rPr>
                <w:sz w:val="20"/>
                <w:szCs w:val="20"/>
                <w:color w:val="auto"/>
              </w:rPr>
            </w:pPr>
            <w:r>
              <w:rPr>
                <w:rFonts w:ascii="Arial" w:cs="Arial" w:eastAsia="Arial" w:hAnsi="Arial"/>
                <w:sz w:val="18"/>
                <w:szCs w:val="18"/>
                <w:color w:val="auto"/>
              </w:rPr>
              <w:t>Section 5.6</w:t>
            </w:r>
          </w:p>
        </w:tc>
        <w:tc>
          <w:tcPr>
            <w:tcW w:w="9400" w:type="dxa"/>
            <w:vAlign w:val="bottom"/>
          </w:tcPr>
          <w:p>
            <w:pPr>
              <w:ind w:left="280"/>
              <w:spacing w:after="0"/>
              <w:rPr>
                <w:sz w:val="20"/>
                <w:szCs w:val="20"/>
                <w:color w:val="auto"/>
              </w:rPr>
            </w:pPr>
            <w:r>
              <w:rPr>
                <w:rFonts w:ascii="Arial" w:cs="Arial" w:eastAsia="Arial" w:hAnsi="Arial"/>
                <w:sz w:val="18"/>
                <w:szCs w:val="18"/>
                <w:color w:val="auto"/>
              </w:rPr>
              <w:t>Application of Money Collected</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27</w:t>
            </w:r>
          </w:p>
        </w:tc>
      </w:tr>
      <w:tr>
        <w:trPr>
          <w:trHeight w:val="216"/>
        </w:trPr>
        <w:tc>
          <w:tcPr>
            <w:tcW w:w="1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5.7</w:t>
            </w:r>
          </w:p>
        </w:tc>
        <w:tc>
          <w:tcPr>
            <w:tcW w:w="9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Limitation on Suits</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28</w:t>
            </w:r>
          </w:p>
        </w:tc>
      </w:tr>
      <w:tr>
        <w:trPr>
          <w:trHeight w:val="216"/>
        </w:trPr>
        <w:tc>
          <w:tcPr>
            <w:tcW w:w="1200" w:type="dxa"/>
            <w:vAlign w:val="bottom"/>
          </w:tcPr>
          <w:p>
            <w:pPr>
              <w:ind w:left="180"/>
              <w:spacing w:after="0"/>
              <w:rPr>
                <w:sz w:val="20"/>
                <w:szCs w:val="20"/>
                <w:color w:val="auto"/>
              </w:rPr>
            </w:pPr>
            <w:r>
              <w:rPr>
                <w:rFonts w:ascii="Arial" w:cs="Arial" w:eastAsia="Arial" w:hAnsi="Arial"/>
                <w:sz w:val="18"/>
                <w:szCs w:val="18"/>
                <w:color w:val="auto"/>
              </w:rPr>
              <w:t>Section 5.8</w:t>
            </w:r>
          </w:p>
        </w:tc>
        <w:tc>
          <w:tcPr>
            <w:tcW w:w="9400" w:type="dxa"/>
            <w:vAlign w:val="bottom"/>
          </w:tcPr>
          <w:p>
            <w:pPr>
              <w:ind w:left="280"/>
              <w:spacing w:after="0"/>
              <w:rPr>
                <w:sz w:val="20"/>
                <w:szCs w:val="20"/>
                <w:color w:val="auto"/>
              </w:rPr>
            </w:pPr>
            <w:r>
              <w:rPr>
                <w:rFonts w:ascii="Arial" w:cs="Arial" w:eastAsia="Arial" w:hAnsi="Arial"/>
                <w:sz w:val="18"/>
                <w:szCs w:val="18"/>
                <w:color w:val="auto"/>
              </w:rPr>
              <w:t>Unconditional Right of Holders to Receive Principal, Premium and Interest and to Convert</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28</w:t>
            </w:r>
          </w:p>
        </w:tc>
      </w:tr>
      <w:tr>
        <w:trPr>
          <w:trHeight w:val="216"/>
        </w:trPr>
        <w:tc>
          <w:tcPr>
            <w:tcW w:w="1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5.9</w:t>
            </w:r>
          </w:p>
        </w:tc>
        <w:tc>
          <w:tcPr>
            <w:tcW w:w="9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Restoration of Rights and Remedies</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29</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20"/>
        </w:trPr>
        <w:tc>
          <w:tcPr>
            <w:tcW w:w="1280" w:type="dxa"/>
            <w:vAlign w:val="bottom"/>
          </w:tcPr>
          <w:p>
            <w:pPr>
              <w:spacing w:after="0"/>
              <w:rPr>
                <w:sz w:val="19"/>
                <w:szCs w:val="19"/>
                <w:color w:val="auto"/>
              </w:rPr>
            </w:pPr>
          </w:p>
        </w:tc>
        <w:tc>
          <w:tcPr>
            <w:tcW w:w="9320" w:type="dxa"/>
            <w:vAlign w:val="bottom"/>
          </w:tcPr>
          <w:p>
            <w:pPr>
              <w:ind w:left="3380"/>
              <w:spacing w:after="0"/>
              <w:rPr>
                <w:sz w:val="20"/>
                <w:szCs w:val="20"/>
                <w:color w:val="auto"/>
              </w:rPr>
            </w:pPr>
            <w:r>
              <w:rPr>
                <w:rFonts w:ascii="Arial" w:cs="Arial" w:eastAsia="Arial" w:hAnsi="Arial"/>
                <w:sz w:val="18"/>
                <w:szCs w:val="18"/>
                <w:b w:val="1"/>
                <w:bCs w:val="1"/>
                <w:color w:val="auto"/>
              </w:rPr>
              <w:t>TABLE OF CONTENTS</w:t>
            </w:r>
          </w:p>
        </w:tc>
        <w:tc>
          <w:tcPr>
            <w:tcW w:w="640" w:type="dxa"/>
            <w:vAlign w:val="bottom"/>
          </w:tcPr>
          <w:p>
            <w:pPr>
              <w:spacing w:after="0"/>
              <w:rPr>
                <w:sz w:val="19"/>
                <w:szCs w:val="19"/>
                <w:color w:val="auto"/>
              </w:rPr>
            </w:pPr>
          </w:p>
        </w:tc>
      </w:tr>
      <w:tr>
        <w:trPr>
          <w:trHeight w:val="230"/>
        </w:trPr>
        <w:tc>
          <w:tcPr>
            <w:tcW w:w="1280" w:type="dxa"/>
            <w:vAlign w:val="bottom"/>
          </w:tcPr>
          <w:p>
            <w:pPr>
              <w:spacing w:after="0"/>
              <w:rPr>
                <w:sz w:val="20"/>
                <w:szCs w:val="20"/>
                <w:color w:val="auto"/>
              </w:rPr>
            </w:pPr>
          </w:p>
        </w:tc>
        <w:tc>
          <w:tcPr>
            <w:tcW w:w="9320" w:type="dxa"/>
            <w:vAlign w:val="bottom"/>
          </w:tcPr>
          <w:p>
            <w:pPr>
              <w:ind w:left="3920"/>
              <w:spacing w:after="0"/>
              <w:rPr>
                <w:sz w:val="20"/>
                <w:szCs w:val="20"/>
                <w:color w:val="auto"/>
              </w:rPr>
            </w:pPr>
            <w:r>
              <w:rPr>
                <w:rFonts w:ascii="Arial" w:cs="Arial" w:eastAsia="Arial" w:hAnsi="Arial"/>
                <w:sz w:val="18"/>
                <w:szCs w:val="18"/>
                <w:color w:val="auto"/>
              </w:rPr>
              <w:t>(continued)</w:t>
            </w:r>
          </w:p>
        </w:tc>
        <w:tc>
          <w:tcPr>
            <w:tcW w:w="640" w:type="dxa"/>
            <w:vAlign w:val="bottom"/>
          </w:tcPr>
          <w:p>
            <w:pPr>
              <w:spacing w:after="0"/>
              <w:rPr>
                <w:sz w:val="20"/>
                <w:szCs w:val="20"/>
                <w:color w:val="auto"/>
              </w:rPr>
            </w:pPr>
          </w:p>
        </w:tc>
      </w:tr>
      <w:tr>
        <w:trPr>
          <w:trHeight w:val="453"/>
        </w:trPr>
        <w:tc>
          <w:tcPr>
            <w:tcW w:w="1280" w:type="dxa"/>
            <w:vAlign w:val="bottom"/>
            <w:tcBorders>
              <w:bottom w:val="single" w:sz="8" w:color="CCEEFF"/>
            </w:tcBorders>
          </w:tcPr>
          <w:p>
            <w:pPr>
              <w:spacing w:after="0"/>
              <w:rPr>
                <w:sz w:val="24"/>
                <w:szCs w:val="24"/>
                <w:color w:val="auto"/>
              </w:rPr>
            </w:pPr>
          </w:p>
        </w:tc>
        <w:tc>
          <w:tcPr>
            <w:tcW w:w="932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216"/>
        </w:trPr>
        <w:tc>
          <w:tcPr>
            <w:tcW w:w="1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5.10</w:t>
            </w:r>
          </w:p>
        </w:tc>
        <w:tc>
          <w:tcPr>
            <w:tcW w:w="93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Rights and Remedies Cumulative</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28</w:t>
            </w:r>
          </w:p>
        </w:tc>
      </w:tr>
      <w:tr>
        <w:trPr>
          <w:trHeight w:val="216"/>
        </w:trPr>
        <w:tc>
          <w:tcPr>
            <w:tcW w:w="1280" w:type="dxa"/>
            <w:vAlign w:val="bottom"/>
          </w:tcPr>
          <w:p>
            <w:pPr>
              <w:ind w:left="180"/>
              <w:spacing w:after="0"/>
              <w:rPr>
                <w:sz w:val="20"/>
                <w:szCs w:val="20"/>
                <w:color w:val="auto"/>
              </w:rPr>
            </w:pPr>
            <w:r>
              <w:rPr>
                <w:rFonts w:ascii="Arial" w:cs="Arial" w:eastAsia="Arial" w:hAnsi="Arial"/>
                <w:sz w:val="18"/>
                <w:szCs w:val="18"/>
                <w:color w:val="auto"/>
              </w:rPr>
              <w:t>Section 5.11</w:t>
            </w:r>
          </w:p>
        </w:tc>
        <w:tc>
          <w:tcPr>
            <w:tcW w:w="9320" w:type="dxa"/>
            <w:vAlign w:val="bottom"/>
          </w:tcPr>
          <w:p>
            <w:pPr>
              <w:ind w:left="380"/>
              <w:spacing w:after="0"/>
              <w:rPr>
                <w:sz w:val="20"/>
                <w:szCs w:val="20"/>
                <w:color w:val="auto"/>
              </w:rPr>
            </w:pPr>
            <w:r>
              <w:rPr>
                <w:rFonts w:ascii="Arial" w:cs="Arial" w:eastAsia="Arial" w:hAnsi="Arial"/>
                <w:sz w:val="18"/>
                <w:szCs w:val="18"/>
                <w:color w:val="auto"/>
              </w:rPr>
              <w:t>Delay or Omission Not Waiver</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29</w:t>
            </w:r>
          </w:p>
        </w:tc>
      </w:tr>
      <w:tr>
        <w:trPr>
          <w:trHeight w:val="216"/>
        </w:trPr>
        <w:tc>
          <w:tcPr>
            <w:tcW w:w="1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5.12</w:t>
            </w:r>
          </w:p>
        </w:tc>
        <w:tc>
          <w:tcPr>
            <w:tcW w:w="93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Control by Holders</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29</w:t>
            </w:r>
          </w:p>
        </w:tc>
      </w:tr>
      <w:tr>
        <w:trPr>
          <w:trHeight w:val="216"/>
        </w:trPr>
        <w:tc>
          <w:tcPr>
            <w:tcW w:w="1280" w:type="dxa"/>
            <w:vAlign w:val="bottom"/>
          </w:tcPr>
          <w:p>
            <w:pPr>
              <w:ind w:left="180"/>
              <w:spacing w:after="0"/>
              <w:rPr>
                <w:sz w:val="20"/>
                <w:szCs w:val="20"/>
                <w:color w:val="auto"/>
              </w:rPr>
            </w:pPr>
            <w:r>
              <w:rPr>
                <w:rFonts w:ascii="Arial" w:cs="Arial" w:eastAsia="Arial" w:hAnsi="Arial"/>
                <w:sz w:val="18"/>
                <w:szCs w:val="18"/>
                <w:color w:val="auto"/>
              </w:rPr>
              <w:t>Section 5.13</w:t>
            </w:r>
          </w:p>
        </w:tc>
        <w:tc>
          <w:tcPr>
            <w:tcW w:w="9320" w:type="dxa"/>
            <w:vAlign w:val="bottom"/>
          </w:tcPr>
          <w:p>
            <w:pPr>
              <w:ind w:left="380"/>
              <w:spacing w:after="0"/>
              <w:rPr>
                <w:sz w:val="20"/>
                <w:szCs w:val="20"/>
                <w:color w:val="auto"/>
              </w:rPr>
            </w:pPr>
            <w:r>
              <w:rPr>
                <w:rFonts w:ascii="Arial" w:cs="Arial" w:eastAsia="Arial" w:hAnsi="Arial"/>
                <w:sz w:val="18"/>
                <w:szCs w:val="18"/>
                <w:color w:val="auto"/>
              </w:rPr>
              <w:t>Waiver of Past Defaults</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29</w:t>
            </w:r>
          </w:p>
        </w:tc>
      </w:tr>
      <w:tr>
        <w:trPr>
          <w:trHeight w:val="216"/>
        </w:trPr>
        <w:tc>
          <w:tcPr>
            <w:tcW w:w="1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5.14</w:t>
            </w:r>
          </w:p>
        </w:tc>
        <w:tc>
          <w:tcPr>
            <w:tcW w:w="93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Undertaking for Costs</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30</w:t>
            </w:r>
          </w:p>
        </w:tc>
      </w:tr>
      <w:tr>
        <w:trPr>
          <w:trHeight w:val="216"/>
        </w:trPr>
        <w:tc>
          <w:tcPr>
            <w:tcW w:w="1280" w:type="dxa"/>
            <w:vAlign w:val="bottom"/>
          </w:tcPr>
          <w:p>
            <w:pPr>
              <w:ind w:left="180"/>
              <w:spacing w:after="0"/>
              <w:rPr>
                <w:sz w:val="20"/>
                <w:szCs w:val="20"/>
                <w:color w:val="auto"/>
              </w:rPr>
            </w:pPr>
            <w:r>
              <w:rPr>
                <w:rFonts w:ascii="Arial" w:cs="Arial" w:eastAsia="Arial" w:hAnsi="Arial"/>
                <w:sz w:val="18"/>
                <w:szCs w:val="18"/>
                <w:color w:val="auto"/>
              </w:rPr>
              <w:t>Section 5.15</w:t>
            </w:r>
          </w:p>
        </w:tc>
        <w:tc>
          <w:tcPr>
            <w:tcW w:w="9320" w:type="dxa"/>
            <w:vAlign w:val="bottom"/>
          </w:tcPr>
          <w:p>
            <w:pPr>
              <w:ind w:left="380"/>
              <w:spacing w:after="0"/>
              <w:rPr>
                <w:sz w:val="20"/>
                <w:szCs w:val="20"/>
                <w:color w:val="auto"/>
              </w:rPr>
            </w:pPr>
            <w:r>
              <w:rPr>
                <w:rFonts w:ascii="Arial" w:cs="Arial" w:eastAsia="Arial" w:hAnsi="Arial"/>
                <w:sz w:val="18"/>
                <w:szCs w:val="18"/>
                <w:color w:val="auto"/>
              </w:rPr>
              <w:t>Waiver of Usury, Stay or Extension Laws</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30</w:t>
            </w:r>
          </w:p>
        </w:tc>
      </w:tr>
      <w:tr>
        <w:trPr>
          <w:trHeight w:val="216"/>
        </w:trPr>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ARTICLE 6</w:t>
            </w:r>
          </w:p>
        </w:tc>
        <w:tc>
          <w:tcPr>
            <w:tcW w:w="9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THE TRUSTEE</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30</w:t>
            </w:r>
          </w:p>
        </w:tc>
      </w:tr>
      <w:tr>
        <w:trPr>
          <w:trHeight w:val="216"/>
        </w:trPr>
        <w:tc>
          <w:tcPr>
            <w:tcW w:w="1280" w:type="dxa"/>
            <w:vAlign w:val="bottom"/>
          </w:tcPr>
          <w:p>
            <w:pPr>
              <w:ind w:left="180"/>
              <w:spacing w:after="0"/>
              <w:rPr>
                <w:sz w:val="20"/>
                <w:szCs w:val="20"/>
                <w:color w:val="auto"/>
              </w:rPr>
            </w:pPr>
            <w:r>
              <w:rPr>
                <w:rFonts w:ascii="Arial" w:cs="Arial" w:eastAsia="Arial" w:hAnsi="Arial"/>
                <w:sz w:val="18"/>
                <w:szCs w:val="18"/>
                <w:color w:val="auto"/>
              </w:rPr>
              <w:t>Section 6.1</w:t>
            </w:r>
          </w:p>
        </w:tc>
        <w:tc>
          <w:tcPr>
            <w:tcW w:w="9320" w:type="dxa"/>
            <w:vAlign w:val="bottom"/>
          </w:tcPr>
          <w:p>
            <w:pPr>
              <w:ind w:left="380"/>
              <w:spacing w:after="0"/>
              <w:rPr>
                <w:sz w:val="20"/>
                <w:szCs w:val="20"/>
                <w:color w:val="auto"/>
              </w:rPr>
            </w:pPr>
            <w:r>
              <w:rPr>
                <w:rFonts w:ascii="Arial" w:cs="Arial" w:eastAsia="Arial" w:hAnsi="Arial"/>
                <w:sz w:val="18"/>
                <w:szCs w:val="18"/>
                <w:color w:val="auto"/>
              </w:rPr>
              <w:t>Certain Duties and Responsibilities</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30</w:t>
            </w:r>
          </w:p>
        </w:tc>
      </w:tr>
      <w:tr>
        <w:trPr>
          <w:trHeight w:val="216"/>
        </w:trPr>
        <w:tc>
          <w:tcPr>
            <w:tcW w:w="1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6.2</w:t>
            </w:r>
          </w:p>
        </w:tc>
        <w:tc>
          <w:tcPr>
            <w:tcW w:w="93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Notice of Defaults</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30</w:t>
            </w:r>
          </w:p>
        </w:tc>
      </w:tr>
      <w:tr>
        <w:trPr>
          <w:trHeight w:val="216"/>
        </w:trPr>
        <w:tc>
          <w:tcPr>
            <w:tcW w:w="1280" w:type="dxa"/>
            <w:vAlign w:val="bottom"/>
          </w:tcPr>
          <w:p>
            <w:pPr>
              <w:ind w:left="180"/>
              <w:spacing w:after="0"/>
              <w:rPr>
                <w:sz w:val="20"/>
                <w:szCs w:val="20"/>
                <w:color w:val="auto"/>
              </w:rPr>
            </w:pPr>
            <w:r>
              <w:rPr>
                <w:rFonts w:ascii="Arial" w:cs="Arial" w:eastAsia="Arial" w:hAnsi="Arial"/>
                <w:sz w:val="18"/>
                <w:szCs w:val="18"/>
                <w:color w:val="auto"/>
              </w:rPr>
              <w:t>Section 6.3</w:t>
            </w:r>
          </w:p>
        </w:tc>
        <w:tc>
          <w:tcPr>
            <w:tcW w:w="9320" w:type="dxa"/>
            <w:vAlign w:val="bottom"/>
          </w:tcPr>
          <w:p>
            <w:pPr>
              <w:ind w:left="380"/>
              <w:spacing w:after="0"/>
              <w:rPr>
                <w:sz w:val="20"/>
                <w:szCs w:val="20"/>
                <w:color w:val="auto"/>
              </w:rPr>
            </w:pPr>
            <w:r>
              <w:rPr>
                <w:rFonts w:ascii="Arial" w:cs="Arial" w:eastAsia="Arial" w:hAnsi="Arial"/>
                <w:sz w:val="18"/>
                <w:szCs w:val="18"/>
                <w:color w:val="auto"/>
              </w:rPr>
              <w:t>Certain Rights of Trustee</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31</w:t>
            </w:r>
          </w:p>
        </w:tc>
      </w:tr>
      <w:tr>
        <w:trPr>
          <w:trHeight w:val="216"/>
        </w:trPr>
        <w:tc>
          <w:tcPr>
            <w:tcW w:w="1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6.4</w:t>
            </w:r>
          </w:p>
        </w:tc>
        <w:tc>
          <w:tcPr>
            <w:tcW w:w="93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Not Responsible for Recitals or Issuance of Securities</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w:t>
            </w:r>
          </w:p>
        </w:tc>
      </w:tr>
      <w:tr>
        <w:trPr>
          <w:trHeight w:val="216"/>
        </w:trPr>
        <w:tc>
          <w:tcPr>
            <w:tcW w:w="1280" w:type="dxa"/>
            <w:vAlign w:val="bottom"/>
          </w:tcPr>
          <w:p>
            <w:pPr>
              <w:ind w:left="180"/>
              <w:spacing w:after="0"/>
              <w:rPr>
                <w:sz w:val="20"/>
                <w:szCs w:val="20"/>
                <w:color w:val="auto"/>
              </w:rPr>
            </w:pPr>
            <w:r>
              <w:rPr>
                <w:rFonts w:ascii="Arial" w:cs="Arial" w:eastAsia="Arial" w:hAnsi="Arial"/>
                <w:sz w:val="18"/>
                <w:szCs w:val="18"/>
                <w:color w:val="auto"/>
              </w:rPr>
              <w:t>Section 6.5</w:t>
            </w:r>
          </w:p>
        </w:tc>
        <w:tc>
          <w:tcPr>
            <w:tcW w:w="9320" w:type="dxa"/>
            <w:vAlign w:val="bottom"/>
          </w:tcPr>
          <w:p>
            <w:pPr>
              <w:ind w:left="380"/>
              <w:spacing w:after="0"/>
              <w:rPr>
                <w:sz w:val="20"/>
                <w:szCs w:val="20"/>
                <w:color w:val="auto"/>
              </w:rPr>
            </w:pPr>
            <w:r>
              <w:rPr>
                <w:rFonts w:ascii="Arial" w:cs="Arial" w:eastAsia="Arial" w:hAnsi="Arial"/>
                <w:sz w:val="18"/>
                <w:szCs w:val="18"/>
                <w:color w:val="auto"/>
              </w:rPr>
              <w:t>May Hold Securities and Act as Trustee under Other Indentures</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32</w:t>
            </w:r>
          </w:p>
        </w:tc>
      </w:tr>
      <w:tr>
        <w:trPr>
          <w:trHeight w:val="216"/>
        </w:trPr>
        <w:tc>
          <w:tcPr>
            <w:tcW w:w="1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6.6</w:t>
            </w:r>
          </w:p>
        </w:tc>
        <w:tc>
          <w:tcPr>
            <w:tcW w:w="93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Money Held in Trust</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32</w:t>
            </w:r>
          </w:p>
        </w:tc>
      </w:tr>
      <w:tr>
        <w:trPr>
          <w:trHeight w:val="216"/>
        </w:trPr>
        <w:tc>
          <w:tcPr>
            <w:tcW w:w="1280" w:type="dxa"/>
            <w:vAlign w:val="bottom"/>
          </w:tcPr>
          <w:p>
            <w:pPr>
              <w:ind w:left="180"/>
              <w:spacing w:after="0"/>
              <w:rPr>
                <w:sz w:val="20"/>
                <w:szCs w:val="20"/>
                <w:color w:val="auto"/>
              </w:rPr>
            </w:pPr>
            <w:r>
              <w:rPr>
                <w:rFonts w:ascii="Arial" w:cs="Arial" w:eastAsia="Arial" w:hAnsi="Arial"/>
                <w:sz w:val="18"/>
                <w:szCs w:val="18"/>
                <w:color w:val="auto"/>
              </w:rPr>
              <w:t>Section 6.7</w:t>
            </w:r>
          </w:p>
        </w:tc>
        <w:tc>
          <w:tcPr>
            <w:tcW w:w="9320" w:type="dxa"/>
            <w:vAlign w:val="bottom"/>
          </w:tcPr>
          <w:p>
            <w:pPr>
              <w:ind w:left="380"/>
              <w:spacing w:after="0"/>
              <w:rPr>
                <w:sz w:val="20"/>
                <w:szCs w:val="20"/>
                <w:color w:val="auto"/>
              </w:rPr>
            </w:pPr>
            <w:r>
              <w:rPr>
                <w:rFonts w:ascii="Arial" w:cs="Arial" w:eastAsia="Arial" w:hAnsi="Arial"/>
                <w:sz w:val="18"/>
                <w:szCs w:val="18"/>
                <w:color w:val="auto"/>
              </w:rPr>
              <w:t>Compensation and Reimbursement</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32</w:t>
            </w:r>
          </w:p>
        </w:tc>
      </w:tr>
      <w:tr>
        <w:trPr>
          <w:trHeight w:val="216"/>
        </w:trPr>
        <w:tc>
          <w:tcPr>
            <w:tcW w:w="1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6.8</w:t>
            </w:r>
          </w:p>
        </w:tc>
        <w:tc>
          <w:tcPr>
            <w:tcW w:w="93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Conflicting Interests</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32</w:t>
            </w:r>
          </w:p>
        </w:tc>
      </w:tr>
      <w:tr>
        <w:trPr>
          <w:trHeight w:val="216"/>
        </w:trPr>
        <w:tc>
          <w:tcPr>
            <w:tcW w:w="1280" w:type="dxa"/>
            <w:vAlign w:val="bottom"/>
          </w:tcPr>
          <w:p>
            <w:pPr>
              <w:ind w:left="180"/>
              <w:spacing w:after="0"/>
              <w:rPr>
                <w:sz w:val="20"/>
                <w:szCs w:val="20"/>
                <w:color w:val="auto"/>
              </w:rPr>
            </w:pPr>
            <w:r>
              <w:rPr>
                <w:rFonts w:ascii="Arial" w:cs="Arial" w:eastAsia="Arial" w:hAnsi="Arial"/>
                <w:sz w:val="18"/>
                <w:szCs w:val="18"/>
                <w:color w:val="auto"/>
              </w:rPr>
              <w:t>Section 6.9</w:t>
            </w:r>
          </w:p>
        </w:tc>
        <w:tc>
          <w:tcPr>
            <w:tcW w:w="9320" w:type="dxa"/>
            <w:vAlign w:val="bottom"/>
          </w:tcPr>
          <w:p>
            <w:pPr>
              <w:ind w:left="380"/>
              <w:spacing w:after="0"/>
              <w:rPr>
                <w:sz w:val="20"/>
                <w:szCs w:val="20"/>
                <w:color w:val="auto"/>
              </w:rPr>
            </w:pPr>
            <w:r>
              <w:rPr>
                <w:rFonts w:ascii="Arial" w:cs="Arial" w:eastAsia="Arial" w:hAnsi="Arial"/>
                <w:sz w:val="18"/>
                <w:szCs w:val="18"/>
                <w:color w:val="auto"/>
              </w:rPr>
              <w:t>Corporate Trustee Required; Eligibility</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33</w:t>
            </w:r>
          </w:p>
        </w:tc>
      </w:tr>
      <w:tr>
        <w:trPr>
          <w:trHeight w:val="216"/>
        </w:trPr>
        <w:tc>
          <w:tcPr>
            <w:tcW w:w="1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6.10</w:t>
            </w:r>
          </w:p>
        </w:tc>
        <w:tc>
          <w:tcPr>
            <w:tcW w:w="93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Resignation and Removal; Appointment of Successor</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w:t>
            </w:r>
          </w:p>
        </w:tc>
      </w:tr>
      <w:tr>
        <w:trPr>
          <w:trHeight w:val="216"/>
        </w:trPr>
        <w:tc>
          <w:tcPr>
            <w:tcW w:w="1280" w:type="dxa"/>
            <w:vAlign w:val="bottom"/>
          </w:tcPr>
          <w:p>
            <w:pPr>
              <w:ind w:left="180"/>
              <w:spacing w:after="0"/>
              <w:rPr>
                <w:sz w:val="20"/>
                <w:szCs w:val="20"/>
                <w:color w:val="auto"/>
              </w:rPr>
            </w:pPr>
            <w:r>
              <w:rPr>
                <w:rFonts w:ascii="Arial" w:cs="Arial" w:eastAsia="Arial" w:hAnsi="Arial"/>
                <w:sz w:val="18"/>
                <w:szCs w:val="18"/>
                <w:color w:val="auto"/>
              </w:rPr>
              <w:t>Section 6.11</w:t>
            </w:r>
          </w:p>
        </w:tc>
        <w:tc>
          <w:tcPr>
            <w:tcW w:w="9320" w:type="dxa"/>
            <w:vAlign w:val="bottom"/>
          </w:tcPr>
          <w:p>
            <w:pPr>
              <w:ind w:left="380"/>
              <w:spacing w:after="0"/>
              <w:rPr>
                <w:sz w:val="20"/>
                <w:szCs w:val="20"/>
                <w:color w:val="auto"/>
              </w:rPr>
            </w:pPr>
            <w:r>
              <w:rPr>
                <w:rFonts w:ascii="Arial" w:cs="Arial" w:eastAsia="Arial" w:hAnsi="Arial"/>
                <w:sz w:val="18"/>
                <w:szCs w:val="18"/>
                <w:color w:val="auto"/>
              </w:rPr>
              <w:t>Acceptance of Appointment by Successor</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34</w:t>
            </w:r>
          </w:p>
        </w:tc>
      </w:tr>
      <w:tr>
        <w:trPr>
          <w:trHeight w:val="216"/>
        </w:trPr>
        <w:tc>
          <w:tcPr>
            <w:tcW w:w="1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6.12</w:t>
            </w:r>
          </w:p>
        </w:tc>
        <w:tc>
          <w:tcPr>
            <w:tcW w:w="93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Merger, Conversion, Consolidation or Succession to Business</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35</w:t>
            </w:r>
          </w:p>
        </w:tc>
      </w:tr>
      <w:tr>
        <w:trPr>
          <w:trHeight w:val="216"/>
        </w:trPr>
        <w:tc>
          <w:tcPr>
            <w:tcW w:w="1280" w:type="dxa"/>
            <w:vAlign w:val="bottom"/>
          </w:tcPr>
          <w:p>
            <w:pPr>
              <w:ind w:left="180"/>
              <w:spacing w:after="0"/>
              <w:rPr>
                <w:sz w:val="20"/>
                <w:szCs w:val="20"/>
                <w:color w:val="auto"/>
              </w:rPr>
            </w:pPr>
            <w:r>
              <w:rPr>
                <w:rFonts w:ascii="Arial" w:cs="Arial" w:eastAsia="Arial" w:hAnsi="Arial"/>
                <w:sz w:val="18"/>
                <w:szCs w:val="18"/>
                <w:color w:val="auto"/>
              </w:rPr>
              <w:t>Section 6.13</w:t>
            </w:r>
          </w:p>
        </w:tc>
        <w:tc>
          <w:tcPr>
            <w:tcW w:w="9320" w:type="dxa"/>
            <w:vAlign w:val="bottom"/>
          </w:tcPr>
          <w:p>
            <w:pPr>
              <w:ind w:left="380"/>
              <w:spacing w:after="0"/>
              <w:rPr>
                <w:sz w:val="20"/>
                <w:szCs w:val="20"/>
                <w:color w:val="auto"/>
              </w:rPr>
            </w:pPr>
            <w:r>
              <w:rPr>
                <w:rFonts w:ascii="Arial" w:cs="Arial" w:eastAsia="Arial" w:hAnsi="Arial"/>
                <w:sz w:val="18"/>
                <w:szCs w:val="18"/>
                <w:color w:val="auto"/>
              </w:rPr>
              <w:t>Preferential Collection of Claims Against Company</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35</w:t>
            </w:r>
          </w:p>
        </w:tc>
      </w:tr>
      <w:tr>
        <w:trPr>
          <w:trHeight w:val="216"/>
        </w:trPr>
        <w:tc>
          <w:tcPr>
            <w:tcW w:w="1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6.14</w:t>
            </w:r>
          </w:p>
        </w:tc>
        <w:tc>
          <w:tcPr>
            <w:tcW w:w="93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Appointment of Authenticating Agent</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35</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ARTICLE 7</w:t>
            </w:r>
          </w:p>
        </w:tc>
        <w:tc>
          <w:tcPr>
            <w:tcW w:w="9320" w:type="dxa"/>
            <w:vAlign w:val="bottom"/>
          </w:tcPr>
          <w:p>
            <w:pPr>
              <w:ind w:left="200"/>
              <w:spacing w:after="0"/>
              <w:rPr>
                <w:sz w:val="20"/>
                <w:szCs w:val="20"/>
                <w:color w:val="auto"/>
              </w:rPr>
            </w:pPr>
            <w:r>
              <w:rPr>
                <w:rFonts w:ascii="Arial" w:cs="Arial" w:eastAsia="Arial" w:hAnsi="Arial"/>
                <w:sz w:val="18"/>
                <w:szCs w:val="18"/>
                <w:color w:val="auto"/>
              </w:rPr>
              <w:t>HOLDERS’ LISTS AND REPORTS BY TRUSTEE AND COMPANY</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36</w:t>
            </w:r>
          </w:p>
        </w:tc>
      </w:tr>
      <w:tr>
        <w:trPr>
          <w:trHeight w:val="216"/>
        </w:trPr>
        <w:tc>
          <w:tcPr>
            <w:tcW w:w="1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7.1</w:t>
            </w:r>
          </w:p>
        </w:tc>
        <w:tc>
          <w:tcPr>
            <w:tcW w:w="93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Company to Furnish Trustee Names and Addresses of Holders</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36</w:t>
            </w:r>
          </w:p>
        </w:tc>
      </w:tr>
      <w:tr>
        <w:trPr>
          <w:trHeight w:val="216"/>
        </w:trPr>
        <w:tc>
          <w:tcPr>
            <w:tcW w:w="1280" w:type="dxa"/>
            <w:vAlign w:val="bottom"/>
          </w:tcPr>
          <w:p>
            <w:pPr>
              <w:ind w:left="180"/>
              <w:spacing w:after="0"/>
              <w:rPr>
                <w:sz w:val="20"/>
                <w:szCs w:val="20"/>
                <w:color w:val="auto"/>
              </w:rPr>
            </w:pPr>
            <w:r>
              <w:rPr>
                <w:rFonts w:ascii="Arial" w:cs="Arial" w:eastAsia="Arial" w:hAnsi="Arial"/>
                <w:sz w:val="18"/>
                <w:szCs w:val="18"/>
                <w:color w:val="auto"/>
              </w:rPr>
              <w:t>Section 7.2</w:t>
            </w:r>
          </w:p>
        </w:tc>
        <w:tc>
          <w:tcPr>
            <w:tcW w:w="9320" w:type="dxa"/>
            <w:vAlign w:val="bottom"/>
          </w:tcPr>
          <w:p>
            <w:pPr>
              <w:ind w:left="380"/>
              <w:spacing w:after="0"/>
              <w:rPr>
                <w:sz w:val="20"/>
                <w:szCs w:val="20"/>
                <w:color w:val="auto"/>
              </w:rPr>
            </w:pPr>
            <w:r>
              <w:rPr>
                <w:rFonts w:ascii="Arial" w:cs="Arial" w:eastAsia="Arial" w:hAnsi="Arial"/>
                <w:sz w:val="18"/>
                <w:szCs w:val="18"/>
                <w:color w:val="auto"/>
              </w:rPr>
              <w:t>Preservation of Information; Communications to Holders</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36</w:t>
            </w:r>
          </w:p>
        </w:tc>
      </w:tr>
      <w:tr>
        <w:trPr>
          <w:trHeight w:val="216"/>
        </w:trPr>
        <w:tc>
          <w:tcPr>
            <w:tcW w:w="1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7.3</w:t>
            </w:r>
          </w:p>
        </w:tc>
        <w:tc>
          <w:tcPr>
            <w:tcW w:w="93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Reports by Trustee</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37</w:t>
            </w:r>
          </w:p>
        </w:tc>
      </w:tr>
      <w:tr>
        <w:trPr>
          <w:trHeight w:val="216"/>
        </w:trPr>
        <w:tc>
          <w:tcPr>
            <w:tcW w:w="1280" w:type="dxa"/>
            <w:vAlign w:val="bottom"/>
          </w:tcPr>
          <w:p>
            <w:pPr>
              <w:ind w:left="180"/>
              <w:spacing w:after="0"/>
              <w:rPr>
                <w:sz w:val="20"/>
                <w:szCs w:val="20"/>
                <w:color w:val="auto"/>
              </w:rPr>
            </w:pPr>
            <w:r>
              <w:rPr>
                <w:rFonts w:ascii="Arial" w:cs="Arial" w:eastAsia="Arial" w:hAnsi="Arial"/>
                <w:sz w:val="18"/>
                <w:szCs w:val="18"/>
                <w:color w:val="auto"/>
              </w:rPr>
              <w:t>Section 7.4</w:t>
            </w:r>
          </w:p>
        </w:tc>
        <w:tc>
          <w:tcPr>
            <w:tcW w:w="9320" w:type="dxa"/>
            <w:vAlign w:val="bottom"/>
          </w:tcPr>
          <w:p>
            <w:pPr>
              <w:ind w:left="380"/>
              <w:spacing w:after="0"/>
              <w:rPr>
                <w:sz w:val="20"/>
                <w:szCs w:val="20"/>
                <w:color w:val="auto"/>
              </w:rPr>
            </w:pPr>
            <w:r>
              <w:rPr>
                <w:rFonts w:ascii="Arial" w:cs="Arial" w:eastAsia="Arial" w:hAnsi="Arial"/>
                <w:sz w:val="18"/>
                <w:szCs w:val="18"/>
                <w:color w:val="auto"/>
              </w:rPr>
              <w:t>Reports by Company</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37</w:t>
            </w:r>
          </w:p>
        </w:tc>
      </w:tr>
      <w:tr>
        <w:trPr>
          <w:trHeight w:val="216"/>
        </w:trPr>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ARTICLE 8</w:t>
            </w:r>
          </w:p>
        </w:tc>
        <w:tc>
          <w:tcPr>
            <w:tcW w:w="9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CONSOLIDATION, MERGER, CONVEYANCE, TRANSFER OR LEASE</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37</w:t>
            </w:r>
          </w:p>
        </w:tc>
      </w:tr>
      <w:tr>
        <w:trPr>
          <w:trHeight w:val="216"/>
        </w:trPr>
        <w:tc>
          <w:tcPr>
            <w:tcW w:w="1280" w:type="dxa"/>
            <w:vAlign w:val="bottom"/>
          </w:tcPr>
          <w:p>
            <w:pPr>
              <w:ind w:left="180"/>
              <w:spacing w:after="0"/>
              <w:rPr>
                <w:sz w:val="20"/>
                <w:szCs w:val="20"/>
                <w:color w:val="auto"/>
              </w:rPr>
            </w:pPr>
            <w:r>
              <w:rPr>
                <w:rFonts w:ascii="Arial" w:cs="Arial" w:eastAsia="Arial" w:hAnsi="Arial"/>
                <w:sz w:val="18"/>
                <w:szCs w:val="18"/>
                <w:color w:val="auto"/>
              </w:rPr>
              <w:t>Section 8.1</w:t>
            </w:r>
          </w:p>
        </w:tc>
        <w:tc>
          <w:tcPr>
            <w:tcW w:w="9320" w:type="dxa"/>
            <w:vAlign w:val="bottom"/>
          </w:tcPr>
          <w:p>
            <w:pPr>
              <w:ind w:left="380"/>
              <w:spacing w:after="0"/>
              <w:rPr>
                <w:sz w:val="20"/>
                <w:szCs w:val="20"/>
                <w:color w:val="auto"/>
              </w:rPr>
            </w:pPr>
            <w:r>
              <w:rPr>
                <w:rFonts w:ascii="Arial" w:cs="Arial" w:eastAsia="Arial" w:hAnsi="Arial"/>
                <w:sz w:val="18"/>
                <w:szCs w:val="18"/>
                <w:color w:val="auto"/>
              </w:rPr>
              <w:t>Company May Consolidate, etc., Only on Certain Terms</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37</w:t>
            </w:r>
          </w:p>
        </w:tc>
      </w:tr>
      <w:tr>
        <w:trPr>
          <w:trHeight w:val="216"/>
        </w:trPr>
        <w:tc>
          <w:tcPr>
            <w:tcW w:w="1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8.2</w:t>
            </w:r>
          </w:p>
        </w:tc>
        <w:tc>
          <w:tcPr>
            <w:tcW w:w="93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Successor Substituted</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38</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ARTICLE 9</w:t>
            </w:r>
          </w:p>
        </w:tc>
        <w:tc>
          <w:tcPr>
            <w:tcW w:w="9320" w:type="dxa"/>
            <w:vAlign w:val="bottom"/>
          </w:tcPr>
          <w:p>
            <w:pPr>
              <w:ind w:left="200"/>
              <w:spacing w:after="0"/>
              <w:rPr>
                <w:sz w:val="20"/>
                <w:szCs w:val="20"/>
                <w:color w:val="auto"/>
              </w:rPr>
            </w:pPr>
            <w:r>
              <w:rPr>
                <w:rFonts w:ascii="Arial" w:cs="Arial" w:eastAsia="Arial" w:hAnsi="Arial"/>
                <w:sz w:val="18"/>
                <w:szCs w:val="18"/>
                <w:color w:val="auto"/>
              </w:rPr>
              <w:t>SUPPLEMENTAL INDENTURES</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38</w:t>
            </w:r>
          </w:p>
        </w:tc>
      </w:tr>
      <w:tr>
        <w:trPr>
          <w:trHeight w:val="216"/>
        </w:trPr>
        <w:tc>
          <w:tcPr>
            <w:tcW w:w="1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9.1</w:t>
            </w:r>
          </w:p>
        </w:tc>
        <w:tc>
          <w:tcPr>
            <w:tcW w:w="93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Supplemental Indentures Without Consent of Holders</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38</w:t>
            </w:r>
          </w:p>
        </w:tc>
      </w:tr>
      <w:tr>
        <w:trPr>
          <w:trHeight w:val="216"/>
        </w:trPr>
        <w:tc>
          <w:tcPr>
            <w:tcW w:w="1280" w:type="dxa"/>
            <w:vAlign w:val="bottom"/>
          </w:tcPr>
          <w:p>
            <w:pPr>
              <w:ind w:left="180"/>
              <w:spacing w:after="0"/>
              <w:rPr>
                <w:sz w:val="20"/>
                <w:szCs w:val="20"/>
                <w:color w:val="auto"/>
              </w:rPr>
            </w:pPr>
            <w:r>
              <w:rPr>
                <w:rFonts w:ascii="Arial" w:cs="Arial" w:eastAsia="Arial" w:hAnsi="Arial"/>
                <w:sz w:val="18"/>
                <w:szCs w:val="18"/>
                <w:color w:val="auto"/>
              </w:rPr>
              <w:t>Section 9.2</w:t>
            </w:r>
          </w:p>
        </w:tc>
        <w:tc>
          <w:tcPr>
            <w:tcW w:w="9320" w:type="dxa"/>
            <w:vAlign w:val="bottom"/>
          </w:tcPr>
          <w:p>
            <w:pPr>
              <w:ind w:left="380"/>
              <w:spacing w:after="0"/>
              <w:rPr>
                <w:sz w:val="20"/>
                <w:szCs w:val="20"/>
                <w:color w:val="auto"/>
              </w:rPr>
            </w:pPr>
            <w:r>
              <w:rPr>
                <w:rFonts w:ascii="Arial" w:cs="Arial" w:eastAsia="Arial" w:hAnsi="Arial"/>
                <w:sz w:val="18"/>
                <w:szCs w:val="18"/>
                <w:color w:val="auto"/>
              </w:rPr>
              <w:t>Supplemental Indentures with Consent of Holders</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39</w:t>
            </w:r>
          </w:p>
        </w:tc>
      </w:tr>
      <w:tr>
        <w:trPr>
          <w:trHeight w:val="216"/>
        </w:trPr>
        <w:tc>
          <w:tcPr>
            <w:tcW w:w="1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9.3</w:t>
            </w:r>
          </w:p>
        </w:tc>
        <w:tc>
          <w:tcPr>
            <w:tcW w:w="93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Execution of Supplemental Indentures</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40</w:t>
            </w:r>
          </w:p>
        </w:tc>
      </w:tr>
      <w:tr>
        <w:trPr>
          <w:trHeight w:val="216"/>
        </w:trPr>
        <w:tc>
          <w:tcPr>
            <w:tcW w:w="1280" w:type="dxa"/>
            <w:vAlign w:val="bottom"/>
          </w:tcPr>
          <w:p>
            <w:pPr>
              <w:ind w:left="180"/>
              <w:spacing w:after="0"/>
              <w:rPr>
                <w:sz w:val="20"/>
                <w:szCs w:val="20"/>
                <w:color w:val="auto"/>
              </w:rPr>
            </w:pPr>
            <w:r>
              <w:rPr>
                <w:rFonts w:ascii="Arial" w:cs="Arial" w:eastAsia="Arial" w:hAnsi="Arial"/>
                <w:sz w:val="18"/>
                <w:szCs w:val="18"/>
                <w:color w:val="auto"/>
              </w:rPr>
              <w:t>Section 9.4</w:t>
            </w:r>
          </w:p>
        </w:tc>
        <w:tc>
          <w:tcPr>
            <w:tcW w:w="9320" w:type="dxa"/>
            <w:vAlign w:val="bottom"/>
          </w:tcPr>
          <w:p>
            <w:pPr>
              <w:ind w:left="380"/>
              <w:spacing w:after="0"/>
              <w:rPr>
                <w:sz w:val="20"/>
                <w:szCs w:val="20"/>
                <w:color w:val="auto"/>
              </w:rPr>
            </w:pPr>
            <w:r>
              <w:rPr>
                <w:rFonts w:ascii="Arial" w:cs="Arial" w:eastAsia="Arial" w:hAnsi="Arial"/>
                <w:sz w:val="18"/>
                <w:szCs w:val="18"/>
                <w:color w:val="auto"/>
              </w:rPr>
              <w:t>Effect of Supplemental Indentures</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40</w:t>
            </w:r>
          </w:p>
        </w:tc>
      </w:tr>
      <w:tr>
        <w:trPr>
          <w:trHeight w:val="216"/>
        </w:trPr>
        <w:tc>
          <w:tcPr>
            <w:tcW w:w="1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9.5</w:t>
            </w:r>
          </w:p>
        </w:tc>
        <w:tc>
          <w:tcPr>
            <w:tcW w:w="93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Conformity with Trust Indenture Act</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40</w:t>
            </w:r>
          </w:p>
        </w:tc>
      </w:tr>
      <w:tr>
        <w:trPr>
          <w:trHeight w:val="216"/>
        </w:trPr>
        <w:tc>
          <w:tcPr>
            <w:tcW w:w="1280" w:type="dxa"/>
            <w:vAlign w:val="bottom"/>
          </w:tcPr>
          <w:p>
            <w:pPr>
              <w:ind w:left="180"/>
              <w:spacing w:after="0"/>
              <w:rPr>
                <w:sz w:val="20"/>
                <w:szCs w:val="20"/>
                <w:color w:val="auto"/>
              </w:rPr>
            </w:pPr>
            <w:r>
              <w:rPr>
                <w:rFonts w:ascii="Arial" w:cs="Arial" w:eastAsia="Arial" w:hAnsi="Arial"/>
                <w:sz w:val="18"/>
                <w:szCs w:val="18"/>
                <w:color w:val="auto"/>
              </w:rPr>
              <w:t>Section 9.6</w:t>
            </w:r>
          </w:p>
        </w:tc>
        <w:tc>
          <w:tcPr>
            <w:tcW w:w="9320" w:type="dxa"/>
            <w:vAlign w:val="bottom"/>
          </w:tcPr>
          <w:p>
            <w:pPr>
              <w:ind w:left="380"/>
              <w:spacing w:after="0"/>
              <w:rPr>
                <w:sz w:val="20"/>
                <w:szCs w:val="20"/>
                <w:color w:val="auto"/>
              </w:rPr>
            </w:pPr>
            <w:r>
              <w:rPr>
                <w:rFonts w:ascii="Arial" w:cs="Arial" w:eastAsia="Arial" w:hAnsi="Arial"/>
                <w:sz w:val="18"/>
                <w:szCs w:val="18"/>
                <w:color w:val="auto"/>
              </w:rPr>
              <w:t>Reference in Securities to Supplemental Indentures</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40</w:t>
            </w:r>
          </w:p>
        </w:tc>
      </w:tr>
      <w:tr>
        <w:trPr>
          <w:trHeight w:val="216"/>
        </w:trPr>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ARTICLE 10</w:t>
            </w:r>
          </w:p>
        </w:tc>
        <w:tc>
          <w:tcPr>
            <w:tcW w:w="9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COVENANTS</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40</w:t>
            </w:r>
          </w:p>
        </w:tc>
      </w:tr>
      <w:tr>
        <w:trPr>
          <w:trHeight w:val="216"/>
        </w:trPr>
        <w:tc>
          <w:tcPr>
            <w:tcW w:w="1280" w:type="dxa"/>
            <w:vAlign w:val="bottom"/>
          </w:tcPr>
          <w:p>
            <w:pPr>
              <w:ind w:left="180"/>
              <w:spacing w:after="0"/>
              <w:rPr>
                <w:sz w:val="20"/>
                <w:szCs w:val="20"/>
                <w:color w:val="auto"/>
              </w:rPr>
            </w:pPr>
            <w:r>
              <w:rPr>
                <w:rFonts w:ascii="Arial" w:cs="Arial" w:eastAsia="Arial" w:hAnsi="Arial"/>
                <w:sz w:val="18"/>
                <w:szCs w:val="18"/>
                <w:color w:val="auto"/>
              </w:rPr>
              <w:t>Section 10.1</w:t>
            </w:r>
          </w:p>
        </w:tc>
        <w:tc>
          <w:tcPr>
            <w:tcW w:w="9320" w:type="dxa"/>
            <w:vAlign w:val="bottom"/>
          </w:tcPr>
          <w:p>
            <w:pPr>
              <w:ind w:left="380"/>
              <w:spacing w:after="0"/>
              <w:rPr>
                <w:sz w:val="20"/>
                <w:szCs w:val="20"/>
                <w:color w:val="auto"/>
              </w:rPr>
            </w:pPr>
            <w:r>
              <w:rPr>
                <w:rFonts w:ascii="Arial" w:cs="Arial" w:eastAsia="Arial" w:hAnsi="Arial"/>
                <w:sz w:val="18"/>
                <w:szCs w:val="18"/>
                <w:color w:val="auto"/>
              </w:rPr>
              <w:t>Payment of Principal, Premium and Interest</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40</w:t>
            </w:r>
          </w:p>
        </w:tc>
      </w:tr>
      <w:tr>
        <w:trPr>
          <w:trHeight w:val="216"/>
        </w:trPr>
        <w:tc>
          <w:tcPr>
            <w:tcW w:w="1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10.2</w:t>
            </w:r>
          </w:p>
        </w:tc>
        <w:tc>
          <w:tcPr>
            <w:tcW w:w="93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Maintenance of Office or Agency</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40</w:t>
            </w:r>
          </w:p>
        </w:tc>
      </w:tr>
      <w:tr>
        <w:trPr>
          <w:trHeight w:val="216"/>
        </w:trPr>
        <w:tc>
          <w:tcPr>
            <w:tcW w:w="1280" w:type="dxa"/>
            <w:vAlign w:val="bottom"/>
          </w:tcPr>
          <w:p>
            <w:pPr>
              <w:ind w:left="180"/>
              <w:spacing w:after="0"/>
              <w:rPr>
                <w:sz w:val="20"/>
                <w:szCs w:val="20"/>
                <w:color w:val="auto"/>
              </w:rPr>
            </w:pPr>
            <w:r>
              <w:rPr>
                <w:rFonts w:ascii="Arial" w:cs="Arial" w:eastAsia="Arial" w:hAnsi="Arial"/>
                <w:sz w:val="18"/>
                <w:szCs w:val="18"/>
                <w:color w:val="auto"/>
              </w:rPr>
              <w:t>Section 10.3</w:t>
            </w:r>
          </w:p>
        </w:tc>
        <w:tc>
          <w:tcPr>
            <w:tcW w:w="9320" w:type="dxa"/>
            <w:vAlign w:val="bottom"/>
          </w:tcPr>
          <w:p>
            <w:pPr>
              <w:ind w:left="380"/>
              <w:spacing w:after="0"/>
              <w:rPr>
                <w:sz w:val="20"/>
                <w:szCs w:val="20"/>
                <w:color w:val="auto"/>
              </w:rPr>
            </w:pPr>
            <w:r>
              <w:rPr>
                <w:rFonts w:ascii="Arial" w:cs="Arial" w:eastAsia="Arial" w:hAnsi="Arial"/>
                <w:sz w:val="18"/>
                <w:szCs w:val="18"/>
                <w:color w:val="auto"/>
              </w:rPr>
              <w:t>Money for Securities Payments To Be Held in Trust</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41</w:t>
            </w:r>
          </w:p>
        </w:tc>
      </w:tr>
      <w:tr>
        <w:trPr>
          <w:trHeight w:val="216"/>
        </w:trPr>
        <w:tc>
          <w:tcPr>
            <w:tcW w:w="1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10.4</w:t>
            </w:r>
          </w:p>
        </w:tc>
        <w:tc>
          <w:tcPr>
            <w:tcW w:w="93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Statement by Officers as to Default</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w:t>
            </w:r>
          </w:p>
        </w:tc>
      </w:tr>
      <w:tr>
        <w:trPr>
          <w:trHeight w:val="216"/>
        </w:trPr>
        <w:tc>
          <w:tcPr>
            <w:tcW w:w="1280" w:type="dxa"/>
            <w:vAlign w:val="bottom"/>
          </w:tcPr>
          <w:p>
            <w:pPr>
              <w:ind w:left="180"/>
              <w:spacing w:after="0"/>
              <w:rPr>
                <w:sz w:val="20"/>
                <w:szCs w:val="20"/>
                <w:color w:val="auto"/>
              </w:rPr>
            </w:pPr>
            <w:r>
              <w:rPr>
                <w:rFonts w:ascii="Arial" w:cs="Arial" w:eastAsia="Arial" w:hAnsi="Arial"/>
                <w:sz w:val="18"/>
                <w:szCs w:val="18"/>
                <w:color w:val="auto"/>
              </w:rPr>
              <w:t>Section 10.5</w:t>
            </w:r>
          </w:p>
        </w:tc>
        <w:tc>
          <w:tcPr>
            <w:tcW w:w="9320" w:type="dxa"/>
            <w:vAlign w:val="bottom"/>
          </w:tcPr>
          <w:p>
            <w:pPr>
              <w:ind w:left="380"/>
              <w:spacing w:after="0"/>
              <w:rPr>
                <w:sz w:val="20"/>
                <w:szCs w:val="20"/>
                <w:color w:val="auto"/>
              </w:rPr>
            </w:pPr>
            <w:r>
              <w:rPr>
                <w:rFonts w:ascii="Arial" w:cs="Arial" w:eastAsia="Arial" w:hAnsi="Arial"/>
                <w:sz w:val="18"/>
                <w:szCs w:val="18"/>
                <w:color w:val="auto"/>
              </w:rPr>
              <w:t>Existence</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42</w:t>
            </w:r>
          </w:p>
        </w:tc>
      </w:tr>
      <w:tr>
        <w:trPr>
          <w:trHeight w:val="216"/>
        </w:trPr>
        <w:tc>
          <w:tcPr>
            <w:tcW w:w="1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10.6</w:t>
            </w:r>
          </w:p>
        </w:tc>
        <w:tc>
          <w:tcPr>
            <w:tcW w:w="93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Waiver of Certain Covenants</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240" w:type="dxa"/>
            <w:vAlign w:val="bottom"/>
            <w:tcBorders>
              <w:bottom w:val="single" w:sz="8" w:color="CCEEFF"/>
            </w:tcBorders>
          </w:tcPr>
          <w:p>
            <w:pPr>
              <w:spacing w:after="0"/>
              <w:rPr>
                <w:sz w:val="20"/>
                <w:szCs w:val="20"/>
                <w:color w:val="auto"/>
              </w:rPr>
            </w:pPr>
          </w:p>
        </w:tc>
        <w:tc>
          <w:tcPr>
            <w:tcW w:w="936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ARTICLE 11</w:t>
            </w:r>
          </w:p>
        </w:tc>
        <w:tc>
          <w:tcPr>
            <w:tcW w:w="9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REDEMPTION OF SECURITIES</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w:t>
            </w:r>
          </w:p>
        </w:tc>
      </w:tr>
      <w:tr>
        <w:trPr>
          <w:trHeight w:val="216"/>
        </w:trPr>
        <w:tc>
          <w:tcPr>
            <w:tcW w:w="1240" w:type="dxa"/>
            <w:vAlign w:val="bottom"/>
          </w:tcPr>
          <w:p>
            <w:pPr>
              <w:ind w:left="180"/>
              <w:spacing w:after="0"/>
              <w:rPr>
                <w:sz w:val="20"/>
                <w:szCs w:val="20"/>
                <w:color w:val="auto"/>
              </w:rPr>
            </w:pPr>
            <w:r>
              <w:rPr>
                <w:rFonts w:ascii="Arial" w:cs="Arial" w:eastAsia="Arial" w:hAnsi="Arial"/>
                <w:sz w:val="18"/>
                <w:szCs w:val="18"/>
                <w:color w:val="auto"/>
              </w:rPr>
              <w:t>Section 11.1</w:t>
            </w:r>
          </w:p>
        </w:tc>
        <w:tc>
          <w:tcPr>
            <w:tcW w:w="9360" w:type="dxa"/>
            <w:vAlign w:val="bottom"/>
          </w:tcPr>
          <w:p>
            <w:pPr>
              <w:ind w:left="240"/>
              <w:spacing w:after="0"/>
              <w:rPr>
                <w:sz w:val="20"/>
                <w:szCs w:val="20"/>
                <w:color w:val="auto"/>
              </w:rPr>
            </w:pPr>
            <w:r>
              <w:rPr>
                <w:rFonts w:ascii="Arial" w:cs="Arial" w:eastAsia="Arial" w:hAnsi="Arial"/>
                <w:sz w:val="18"/>
                <w:szCs w:val="18"/>
                <w:color w:val="auto"/>
              </w:rPr>
              <w:t>Applicability of Article</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42</w:t>
            </w:r>
          </w:p>
        </w:tc>
      </w:tr>
      <w:tr>
        <w:trPr>
          <w:trHeight w:val="216"/>
        </w:trPr>
        <w:tc>
          <w:tcPr>
            <w:tcW w:w="1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11.2</w:t>
            </w:r>
          </w:p>
        </w:tc>
        <w:tc>
          <w:tcPr>
            <w:tcW w:w="9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Election to Redeem; Notice to Trustee</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w:t>
            </w:r>
          </w:p>
        </w:tc>
      </w:tr>
      <w:tr>
        <w:trPr>
          <w:trHeight w:val="216"/>
        </w:trPr>
        <w:tc>
          <w:tcPr>
            <w:tcW w:w="1240" w:type="dxa"/>
            <w:vAlign w:val="bottom"/>
          </w:tcPr>
          <w:p>
            <w:pPr>
              <w:ind w:left="180"/>
              <w:spacing w:after="0"/>
              <w:rPr>
                <w:sz w:val="20"/>
                <w:szCs w:val="20"/>
                <w:color w:val="auto"/>
              </w:rPr>
            </w:pPr>
            <w:r>
              <w:rPr>
                <w:rFonts w:ascii="Arial" w:cs="Arial" w:eastAsia="Arial" w:hAnsi="Arial"/>
                <w:sz w:val="18"/>
                <w:szCs w:val="18"/>
                <w:color w:val="auto"/>
              </w:rPr>
              <w:t>Section 11.3</w:t>
            </w:r>
          </w:p>
        </w:tc>
        <w:tc>
          <w:tcPr>
            <w:tcW w:w="9360" w:type="dxa"/>
            <w:vAlign w:val="bottom"/>
          </w:tcPr>
          <w:p>
            <w:pPr>
              <w:ind w:left="240"/>
              <w:spacing w:after="0"/>
              <w:rPr>
                <w:sz w:val="20"/>
                <w:szCs w:val="20"/>
                <w:color w:val="auto"/>
              </w:rPr>
            </w:pPr>
            <w:r>
              <w:rPr>
                <w:rFonts w:ascii="Arial" w:cs="Arial" w:eastAsia="Arial" w:hAnsi="Arial"/>
                <w:sz w:val="18"/>
                <w:szCs w:val="18"/>
                <w:color w:val="auto"/>
              </w:rPr>
              <w:t>Selection by Trustee of Securities to Be Redeemed</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43</w:t>
            </w:r>
          </w:p>
        </w:tc>
      </w:tr>
      <w:tr>
        <w:trPr>
          <w:trHeight w:val="216"/>
        </w:trPr>
        <w:tc>
          <w:tcPr>
            <w:tcW w:w="1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11.4</w:t>
            </w:r>
          </w:p>
        </w:tc>
        <w:tc>
          <w:tcPr>
            <w:tcW w:w="9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Notice of Redemption</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43</w:t>
            </w:r>
          </w:p>
        </w:tc>
      </w:tr>
      <w:tr>
        <w:trPr>
          <w:trHeight w:val="216"/>
        </w:trPr>
        <w:tc>
          <w:tcPr>
            <w:tcW w:w="1240" w:type="dxa"/>
            <w:vAlign w:val="bottom"/>
          </w:tcPr>
          <w:p>
            <w:pPr>
              <w:ind w:left="180"/>
              <w:spacing w:after="0"/>
              <w:rPr>
                <w:sz w:val="20"/>
                <w:szCs w:val="20"/>
                <w:color w:val="auto"/>
              </w:rPr>
            </w:pPr>
            <w:r>
              <w:rPr>
                <w:rFonts w:ascii="Arial" w:cs="Arial" w:eastAsia="Arial" w:hAnsi="Arial"/>
                <w:sz w:val="18"/>
                <w:szCs w:val="18"/>
                <w:color w:val="auto"/>
              </w:rPr>
              <w:t>Section 11.5</w:t>
            </w:r>
          </w:p>
        </w:tc>
        <w:tc>
          <w:tcPr>
            <w:tcW w:w="9360" w:type="dxa"/>
            <w:vAlign w:val="bottom"/>
          </w:tcPr>
          <w:p>
            <w:pPr>
              <w:ind w:left="240"/>
              <w:spacing w:after="0"/>
              <w:rPr>
                <w:sz w:val="20"/>
                <w:szCs w:val="20"/>
                <w:color w:val="auto"/>
              </w:rPr>
            </w:pPr>
            <w:r>
              <w:rPr>
                <w:rFonts w:ascii="Arial" w:cs="Arial" w:eastAsia="Arial" w:hAnsi="Arial"/>
                <w:sz w:val="18"/>
                <w:szCs w:val="18"/>
                <w:color w:val="auto"/>
              </w:rPr>
              <w:t>Deposit of Redemption Price</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44</w:t>
            </w:r>
          </w:p>
        </w:tc>
      </w:tr>
      <w:tr>
        <w:trPr>
          <w:trHeight w:val="216"/>
        </w:trPr>
        <w:tc>
          <w:tcPr>
            <w:tcW w:w="1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11.6</w:t>
            </w:r>
          </w:p>
        </w:tc>
        <w:tc>
          <w:tcPr>
            <w:tcW w:w="9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Securities Payable on Redemption Date</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44</w:t>
            </w:r>
          </w:p>
        </w:tc>
      </w:tr>
      <w:tr>
        <w:trPr>
          <w:trHeight w:val="216"/>
        </w:trPr>
        <w:tc>
          <w:tcPr>
            <w:tcW w:w="1240" w:type="dxa"/>
            <w:vAlign w:val="bottom"/>
          </w:tcPr>
          <w:p>
            <w:pPr>
              <w:ind w:left="180"/>
              <w:spacing w:after="0"/>
              <w:rPr>
                <w:sz w:val="20"/>
                <w:szCs w:val="20"/>
                <w:color w:val="auto"/>
              </w:rPr>
            </w:pPr>
            <w:r>
              <w:rPr>
                <w:rFonts w:ascii="Arial" w:cs="Arial" w:eastAsia="Arial" w:hAnsi="Arial"/>
                <w:sz w:val="18"/>
                <w:szCs w:val="18"/>
                <w:color w:val="auto"/>
              </w:rPr>
              <w:t>Section 11.7</w:t>
            </w:r>
          </w:p>
        </w:tc>
        <w:tc>
          <w:tcPr>
            <w:tcW w:w="9360" w:type="dxa"/>
            <w:vAlign w:val="bottom"/>
          </w:tcPr>
          <w:p>
            <w:pPr>
              <w:ind w:left="240"/>
              <w:spacing w:after="0"/>
              <w:rPr>
                <w:sz w:val="20"/>
                <w:szCs w:val="20"/>
                <w:color w:val="auto"/>
              </w:rPr>
            </w:pPr>
            <w:r>
              <w:rPr>
                <w:rFonts w:ascii="Arial" w:cs="Arial" w:eastAsia="Arial" w:hAnsi="Arial"/>
                <w:sz w:val="18"/>
                <w:szCs w:val="18"/>
                <w:color w:val="auto"/>
              </w:rPr>
              <w:t>Securities Redeemed in Part</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44</w:t>
            </w: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ARTICLE 12</w:t>
            </w:r>
          </w:p>
        </w:tc>
        <w:tc>
          <w:tcPr>
            <w:tcW w:w="9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SINKING FUNDS</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45</w:t>
            </w:r>
          </w:p>
        </w:tc>
      </w:tr>
      <w:tr>
        <w:trPr>
          <w:trHeight w:val="216"/>
        </w:trPr>
        <w:tc>
          <w:tcPr>
            <w:tcW w:w="1240" w:type="dxa"/>
            <w:vAlign w:val="bottom"/>
          </w:tcPr>
          <w:p>
            <w:pPr>
              <w:ind w:left="180"/>
              <w:spacing w:after="0"/>
              <w:rPr>
                <w:sz w:val="20"/>
                <w:szCs w:val="20"/>
                <w:color w:val="auto"/>
              </w:rPr>
            </w:pPr>
            <w:r>
              <w:rPr>
                <w:rFonts w:ascii="Arial" w:cs="Arial" w:eastAsia="Arial" w:hAnsi="Arial"/>
                <w:sz w:val="18"/>
                <w:szCs w:val="18"/>
                <w:color w:val="auto"/>
              </w:rPr>
              <w:t>Section 12.1</w:t>
            </w:r>
          </w:p>
        </w:tc>
        <w:tc>
          <w:tcPr>
            <w:tcW w:w="9360" w:type="dxa"/>
            <w:vAlign w:val="bottom"/>
          </w:tcPr>
          <w:p>
            <w:pPr>
              <w:ind w:left="240"/>
              <w:spacing w:after="0"/>
              <w:rPr>
                <w:sz w:val="20"/>
                <w:szCs w:val="20"/>
                <w:color w:val="auto"/>
              </w:rPr>
            </w:pPr>
            <w:r>
              <w:rPr>
                <w:rFonts w:ascii="Arial" w:cs="Arial" w:eastAsia="Arial" w:hAnsi="Arial"/>
                <w:sz w:val="18"/>
                <w:szCs w:val="18"/>
                <w:color w:val="auto"/>
              </w:rPr>
              <w:t>Applicability of Article</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45</w:t>
            </w:r>
          </w:p>
        </w:tc>
      </w:tr>
      <w:tr>
        <w:trPr>
          <w:trHeight w:val="216"/>
        </w:trPr>
        <w:tc>
          <w:tcPr>
            <w:tcW w:w="1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12.2</w:t>
            </w:r>
          </w:p>
        </w:tc>
        <w:tc>
          <w:tcPr>
            <w:tcW w:w="9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Satisfaction of Sinking Fund Payments with Securities</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45</w:t>
            </w:r>
          </w:p>
        </w:tc>
      </w:tr>
      <w:tr>
        <w:trPr>
          <w:trHeight w:val="216"/>
        </w:trPr>
        <w:tc>
          <w:tcPr>
            <w:tcW w:w="1240" w:type="dxa"/>
            <w:vAlign w:val="bottom"/>
          </w:tcPr>
          <w:p>
            <w:pPr>
              <w:ind w:left="180"/>
              <w:spacing w:after="0"/>
              <w:rPr>
                <w:sz w:val="20"/>
                <w:szCs w:val="20"/>
                <w:color w:val="auto"/>
              </w:rPr>
            </w:pPr>
            <w:r>
              <w:rPr>
                <w:rFonts w:ascii="Arial" w:cs="Arial" w:eastAsia="Arial" w:hAnsi="Arial"/>
                <w:sz w:val="18"/>
                <w:szCs w:val="18"/>
                <w:color w:val="auto"/>
              </w:rPr>
              <w:t>Section 12.3</w:t>
            </w:r>
          </w:p>
        </w:tc>
        <w:tc>
          <w:tcPr>
            <w:tcW w:w="9360" w:type="dxa"/>
            <w:vAlign w:val="bottom"/>
          </w:tcPr>
          <w:p>
            <w:pPr>
              <w:ind w:left="240"/>
              <w:spacing w:after="0"/>
              <w:rPr>
                <w:sz w:val="20"/>
                <w:szCs w:val="20"/>
                <w:color w:val="auto"/>
              </w:rPr>
            </w:pPr>
            <w:r>
              <w:rPr>
                <w:rFonts w:ascii="Arial" w:cs="Arial" w:eastAsia="Arial" w:hAnsi="Arial"/>
                <w:sz w:val="18"/>
                <w:szCs w:val="18"/>
                <w:color w:val="auto"/>
              </w:rPr>
              <w:t>Redemption of Securities for Sinking Fund</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45</w:t>
            </w: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ARTICLE 13</w:t>
            </w:r>
          </w:p>
        </w:tc>
        <w:tc>
          <w:tcPr>
            <w:tcW w:w="9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DEFEASANCE AND COVENANT DEFEASANCE</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45</w:t>
            </w:r>
          </w:p>
        </w:tc>
      </w:tr>
      <w:tr>
        <w:trPr>
          <w:trHeight w:val="216"/>
        </w:trPr>
        <w:tc>
          <w:tcPr>
            <w:tcW w:w="1240" w:type="dxa"/>
            <w:vAlign w:val="bottom"/>
          </w:tcPr>
          <w:p>
            <w:pPr>
              <w:ind w:left="180"/>
              <w:spacing w:after="0"/>
              <w:rPr>
                <w:sz w:val="20"/>
                <w:szCs w:val="20"/>
                <w:color w:val="auto"/>
              </w:rPr>
            </w:pPr>
            <w:r>
              <w:rPr>
                <w:rFonts w:ascii="Arial" w:cs="Arial" w:eastAsia="Arial" w:hAnsi="Arial"/>
                <w:sz w:val="18"/>
                <w:szCs w:val="18"/>
                <w:color w:val="auto"/>
              </w:rPr>
              <w:t>Section 13.1</w:t>
            </w:r>
          </w:p>
        </w:tc>
        <w:tc>
          <w:tcPr>
            <w:tcW w:w="9360" w:type="dxa"/>
            <w:vAlign w:val="bottom"/>
          </w:tcPr>
          <w:p>
            <w:pPr>
              <w:ind w:left="240"/>
              <w:spacing w:after="0"/>
              <w:rPr>
                <w:sz w:val="20"/>
                <w:szCs w:val="20"/>
                <w:color w:val="auto"/>
              </w:rPr>
            </w:pPr>
            <w:r>
              <w:rPr>
                <w:rFonts w:ascii="Arial" w:cs="Arial" w:eastAsia="Arial" w:hAnsi="Arial"/>
                <w:sz w:val="18"/>
                <w:szCs w:val="18"/>
                <w:color w:val="auto"/>
              </w:rPr>
              <w:t>Company’s Option to Effect Defeasance or Covenant Defeasance</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45</w:t>
            </w:r>
          </w:p>
        </w:tc>
      </w:tr>
      <w:tr>
        <w:trPr>
          <w:trHeight w:val="216"/>
        </w:trPr>
        <w:tc>
          <w:tcPr>
            <w:tcW w:w="1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13.2</w:t>
            </w:r>
          </w:p>
        </w:tc>
        <w:tc>
          <w:tcPr>
            <w:tcW w:w="9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Defeasance and Discharge</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46</w:t>
            </w:r>
          </w:p>
        </w:tc>
      </w:tr>
      <w:tr>
        <w:trPr>
          <w:trHeight w:val="216"/>
        </w:trPr>
        <w:tc>
          <w:tcPr>
            <w:tcW w:w="1240" w:type="dxa"/>
            <w:vAlign w:val="bottom"/>
          </w:tcPr>
          <w:p>
            <w:pPr>
              <w:ind w:left="180"/>
              <w:spacing w:after="0"/>
              <w:rPr>
                <w:sz w:val="20"/>
                <w:szCs w:val="20"/>
                <w:color w:val="auto"/>
              </w:rPr>
            </w:pPr>
            <w:r>
              <w:rPr>
                <w:rFonts w:ascii="Arial" w:cs="Arial" w:eastAsia="Arial" w:hAnsi="Arial"/>
                <w:sz w:val="18"/>
                <w:szCs w:val="18"/>
                <w:color w:val="auto"/>
              </w:rPr>
              <w:t>Section 13.3</w:t>
            </w:r>
          </w:p>
        </w:tc>
        <w:tc>
          <w:tcPr>
            <w:tcW w:w="9360" w:type="dxa"/>
            <w:vAlign w:val="bottom"/>
          </w:tcPr>
          <w:p>
            <w:pPr>
              <w:ind w:left="240"/>
              <w:spacing w:after="0"/>
              <w:rPr>
                <w:sz w:val="20"/>
                <w:szCs w:val="20"/>
                <w:color w:val="auto"/>
              </w:rPr>
            </w:pPr>
            <w:r>
              <w:rPr>
                <w:rFonts w:ascii="Arial" w:cs="Arial" w:eastAsia="Arial" w:hAnsi="Arial"/>
                <w:sz w:val="18"/>
                <w:szCs w:val="18"/>
                <w:color w:val="auto"/>
              </w:rPr>
              <w:t>Covenant Defeasance</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46</w:t>
            </w:r>
          </w:p>
        </w:tc>
      </w:tr>
      <w:tr>
        <w:trPr>
          <w:trHeight w:val="216"/>
        </w:trPr>
        <w:tc>
          <w:tcPr>
            <w:tcW w:w="1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13.4</w:t>
            </w:r>
          </w:p>
        </w:tc>
        <w:tc>
          <w:tcPr>
            <w:tcW w:w="9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Conditions to Defeasance or Covenant Defeasance</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46</w:t>
            </w:r>
          </w:p>
        </w:tc>
      </w:tr>
      <w:tr>
        <w:trPr>
          <w:trHeight w:val="202"/>
        </w:trPr>
        <w:tc>
          <w:tcPr>
            <w:tcW w:w="1240" w:type="dxa"/>
            <w:vAlign w:val="bottom"/>
          </w:tcPr>
          <w:p>
            <w:pPr>
              <w:ind w:left="180"/>
              <w:spacing w:after="0" w:line="201" w:lineRule="exact"/>
              <w:rPr>
                <w:sz w:val="20"/>
                <w:szCs w:val="20"/>
                <w:color w:val="auto"/>
              </w:rPr>
            </w:pPr>
            <w:r>
              <w:rPr>
                <w:rFonts w:ascii="Arial" w:cs="Arial" w:eastAsia="Arial" w:hAnsi="Arial"/>
                <w:sz w:val="18"/>
                <w:szCs w:val="18"/>
                <w:color w:val="auto"/>
              </w:rPr>
              <w:t>Section 13.5</w:t>
            </w:r>
          </w:p>
        </w:tc>
        <w:tc>
          <w:tcPr>
            <w:tcW w:w="9360" w:type="dxa"/>
            <w:vAlign w:val="bottom"/>
          </w:tcPr>
          <w:p>
            <w:pPr>
              <w:ind w:left="240"/>
              <w:spacing w:after="0" w:line="201" w:lineRule="exact"/>
              <w:rPr>
                <w:sz w:val="20"/>
                <w:szCs w:val="20"/>
                <w:color w:val="auto"/>
              </w:rPr>
            </w:pPr>
            <w:r>
              <w:rPr>
                <w:rFonts w:ascii="Arial" w:cs="Arial" w:eastAsia="Arial" w:hAnsi="Arial"/>
                <w:sz w:val="18"/>
                <w:szCs w:val="18"/>
                <w:color w:val="auto"/>
                <w:w w:val="94"/>
              </w:rPr>
              <w:t>Deposited Money, U.S. Government Obligations and Foreign Government Obligations to be Held in Trust; Miscellaneous</w:t>
            </w:r>
          </w:p>
        </w:tc>
        <w:tc>
          <w:tcPr>
            <w:tcW w:w="640" w:type="dxa"/>
            <w:vAlign w:val="bottom"/>
          </w:tcPr>
          <w:p>
            <w:pPr>
              <w:jc w:val="center"/>
              <w:spacing w:after="0" w:line="201" w:lineRule="exact"/>
              <w:rPr>
                <w:sz w:val="20"/>
                <w:szCs w:val="20"/>
                <w:color w:val="auto"/>
              </w:rPr>
            </w:pPr>
            <w:r>
              <w:rPr>
                <w:rFonts w:ascii="Arial" w:cs="Arial" w:eastAsia="Arial" w:hAnsi="Arial"/>
                <w:sz w:val="18"/>
                <w:szCs w:val="18"/>
                <w:color w:val="auto"/>
                <w:w w:val="89"/>
              </w:rPr>
              <w:t>48</w:t>
            </w:r>
          </w:p>
        </w:tc>
      </w:tr>
      <w:tr>
        <w:trPr>
          <w:trHeight w:val="230"/>
        </w:trPr>
        <w:tc>
          <w:tcPr>
            <w:tcW w:w="1240" w:type="dxa"/>
            <w:vAlign w:val="bottom"/>
          </w:tcPr>
          <w:p>
            <w:pPr>
              <w:spacing w:after="0"/>
              <w:rPr>
                <w:sz w:val="20"/>
                <w:szCs w:val="20"/>
                <w:color w:val="auto"/>
              </w:rPr>
            </w:pPr>
          </w:p>
        </w:tc>
        <w:tc>
          <w:tcPr>
            <w:tcW w:w="9360" w:type="dxa"/>
            <w:vAlign w:val="bottom"/>
          </w:tcPr>
          <w:p>
            <w:pPr>
              <w:ind w:left="240"/>
              <w:spacing w:after="0"/>
              <w:rPr>
                <w:sz w:val="20"/>
                <w:szCs w:val="20"/>
                <w:color w:val="auto"/>
              </w:rPr>
            </w:pPr>
            <w:r>
              <w:rPr>
                <w:rFonts w:ascii="Arial" w:cs="Arial" w:eastAsia="Arial" w:hAnsi="Arial"/>
                <w:sz w:val="18"/>
                <w:szCs w:val="18"/>
                <w:color w:val="auto"/>
              </w:rPr>
              <w:t>Provisions</w:t>
            </w:r>
          </w:p>
        </w:tc>
        <w:tc>
          <w:tcPr>
            <w:tcW w:w="640" w:type="dxa"/>
            <w:vAlign w:val="bottom"/>
          </w:tcPr>
          <w:p>
            <w:pPr>
              <w:spacing w:after="0"/>
              <w:rPr>
                <w:sz w:val="20"/>
                <w:szCs w:val="20"/>
                <w:color w:val="auto"/>
              </w:rPr>
            </w:pPr>
          </w:p>
        </w:tc>
      </w:tr>
      <w:tr>
        <w:trPr>
          <w:trHeight w:val="216"/>
        </w:trPr>
        <w:tc>
          <w:tcPr>
            <w:tcW w:w="1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13.6</w:t>
            </w:r>
          </w:p>
        </w:tc>
        <w:tc>
          <w:tcPr>
            <w:tcW w:w="9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Reinstatement</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ARTICLE 14</w:t>
            </w:r>
          </w:p>
        </w:tc>
        <w:tc>
          <w:tcPr>
            <w:tcW w:w="9360" w:type="dxa"/>
            <w:vAlign w:val="bottom"/>
          </w:tcPr>
          <w:p>
            <w:pPr>
              <w:ind w:left="60"/>
              <w:spacing w:after="0"/>
              <w:rPr>
                <w:sz w:val="20"/>
                <w:szCs w:val="20"/>
                <w:color w:val="auto"/>
              </w:rPr>
            </w:pPr>
            <w:r>
              <w:rPr>
                <w:rFonts w:ascii="Arial" w:cs="Arial" w:eastAsia="Arial" w:hAnsi="Arial"/>
                <w:sz w:val="18"/>
                <w:szCs w:val="18"/>
                <w:color w:val="auto"/>
              </w:rPr>
              <w:t>CONVERSION OF SECURITIES</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49</w:t>
            </w:r>
          </w:p>
        </w:tc>
      </w:tr>
      <w:tr>
        <w:trPr>
          <w:trHeight w:val="216"/>
        </w:trPr>
        <w:tc>
          <w:tcPr>
            <w:tcW w:w="1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14.1</w:t>
            </w:r>
          </w:p>
        </w:tc>
        <w:tc>
          <w:tcPr>
            <w:tcW w:w="9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Applicability of Article</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49</w:t>
            </w:r>
          </w:p>
        </w:tc>
      </w:tr>
      <w:tr>
        <w:trPr>
          <w:trHeight w:val="216"/>
        </w:trPr>
        <w:tc>
          <w:tcPr>
            <w:tcW w:w="1240" w:type="dxa"/>
            <w:vAlign w:val="bottom"/>
          </w:tcPr>
          <w:p>
            <w:pPr>
              <w:ind w:left="180"/>
              <w:spacing w:after="0"/>
              <w:rPr>
                <w:sz w:val="20"/>
                <w:szCs w:val="20"/>
                <w:color w:val="auto"/>
              </w:rPr>
            </w:pPr>
            <w:r>
              <w:rPr>
                <w:rFonts w:ascii="Arial" w:cs="Arial" w:eastAsia="Arial" w:hAnsi="Arial"/>
                <w:sz w:val="18"/>
                <w:szCs w:val="18"/>
                <w:color w:val="auto"/>
              </w:rPr>
              <w:t>Section 14.2</w:t>
            </w:r>
          </w:p>
        </w:tc>
        <w:tc>
          <w:tcPr>
            <w:tcW w:w="9360" w:type="dxa"/>
            <w:vAlign w:val="bottom"/>
          </w:tcPr>
          <w:p>
            <w:pPr>
              <w:ind w:left="240"/>
              <w:spacing w:after="0"/>
              <w:rPr>
                <w:sz w:val="20"/>
                <w:szCs w:val="20"/>
                <w:color w:val="auto"/>
              </w:rPr>
            </w:pPr>
            <w:r>
              <w:rPr>
                <w:rFonts w:ascii="Arial" w:cs="Arial" w:eastAsia="Arial" w:hAnsi="Arial"/>
                <w:sz w:val="18"/>
                <w:szCs w:val="18"/>
                <w:color w:val="auto"/>
              </w:rPr>
              <w:t>Exercise of Conversion Privilege</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49</w:t>
            </w:r>
          </w:p>
        </w:tc>
      </w:tr>
      <w:tr>
        <w:trPr>
          <w:trHeight w:val="216"/>
        </w:trPr>
        <w:tc>
          <w:tcPr>
            <w:tcW w:w="1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14.3</w:t>
            </w:r>
          </w:p>
        </w:tc>
        <w:tc>
          <w:tcPr>
            <w:tcW w:w="9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 Fractional Shares</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w:t>
            </w:r>
          </w:p>
        </w:tc>
      </w:tr>
      <w:tr>
        <w:trPr>
          <w:trHeight w:val="216"/>
        </w:trPr>
        <w:tc>
          <w:tcPr>
            <w:tcW w:w="1240" w:type="dxa"/>
            <w:vAlign w:val="bottom"/>
          </w:tcPr>
          <w:p>
            <w:pPr>
              <w:ind w:left="180"/>
              <w:spacing w:after="0"/>
              <w:rPr>
                <w:sz w:val="20"/>
                <w:szCs w:val="20"/>
                <w:color w:val="auto"/>
              </w:rPr>
            </w:pPr>
            <w:r>
              <w:rPr>
                <w:rFonts w:ascii="Arial" w:cs="Arial" w:eastAsia="Arial" w:hAnsi="Arial"/>
                <w:sz w:val="18"/>
                <w:szCs w:val="18"/>
                <w:color w:val="auto"/>
              </w:rPr>
              <w:t>Section 14.4</w:t>
            </w:r>
          </w:p>
        </w:tc>
        <w:tc>
          <w:tcPr>
            <w:tcW w:w="9360" w:type="dxa"/>
            <w:vAlign w:val="bottom"/>
          </w:tcPr>
          <w:p>
            <w:pPr>
              <w:ind w:left="240"/>
              <w:spacing w:after="0"/>
              <w:rPr>
                <w:sz w:val="20"/>
                <w:szCs w:val="20"/>
                <w:color w:val="auto"/>
              </w:rPr>
            </w:pPr>
            <w:r>
              <w:rPr>
                <w:rFonts w:ascii="Arial" w:cs="Arial" w:eastAsia="Arial" w:hAnsi="Arial"/>
                <w:sz w:val="18"/>
                <w:szCs w:val="18"/>
                <w:color w:val="auto"/>
              </w:rPr>
              <w:t>Adjustment of Conversion Price or Conversion Rate</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50</w:t>
            </w:r>
          </w:p>
        </w:tc>
      </w:tr>
      <w:tr>
        <w:trPr>
          <w:trHeight w:val="216"/>
        </w:trPr>
        <w:tc>
          <w:tcPr>
            <w:tcW w:w="1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14.5</w:t>
            </w:r>
          </w:p>
        </w:tc>
        <w:tc>
          <w:tcPr>
            <w:tcW w:w="9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Notice of Certain Corporate Actions. In case:</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w:t>
            </w:r>
          </w:p>
        </w:tc>
      </w:tr>
      <w:tr>
        <w:trPr>
          <w:trHeight w:val="216"/>
        </w:trPr>
        <w:tc>
          <w:tcPr>
            <w:tcW w:w="1240" w:type="dxa"/>
            <w:vAlign w:val="bottom"/>
          </w:tcPr>
          <w:p>
            <w:pPr>
              <w:ind w:left="180"/>
              <w:spacing w:after="0"/>
              <w:rPr>
                <w:sz w:val="20"/>
                <w:szCs w:val="20"/>
                <w:color w:val="auto"/>
              </w:rPr>
            </w:pPr>
            <w:r>
              <w:rPr>
                <w:rFonts w:ascii="Arial" w:cs="Arial" w:eastAsia="Arial" w:hAnsi="Arial"/>
                <w:sz w:val="18"/>
                <w:szCs w:val="18"/>
                <w:color w:val="auto"/>
              </w:rPr>
              <w:t>Section 14.6</w:t>
            </w:r>
          </w:p>
        </w:tc>
        <w:tc>
          <w:tcPr>
            <w:tcW w:w="9360" w:type="dxa"/>
            <w:vAlign w:val="bottom"/>
          </w:tcPr>
          <w:p>
            <w:pPr>
              <w:ind w:left="240"/>
              <w:spacing w:after="0"/>
              <w:rPr>
                <w:sz w:val="20"/>
                <w:szCs w:val="20"/>
                <w:color w:val="auto"/>
              </w:rPr>
            </w:pPr>
            <w:r>
              <w:rPr>
                <w:rFonts w:ascii="Arial" w:cs="Arial" w:eastAsia="Arial" w:hAnsi="Arial"/>
                <w:sz w:val="18"/>
                <w:szCs w:val="18"/>
                <w:color w:val="auto"/>
              </w:rPr>
              <w:t>Reservation of Shares of Common Stock</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51</w:t>
            </w:r>
          </w:p>
        </w:tc>
      </w:tr>
      <w:tr>
        <w:trPr>
          <w:trHeight w:val="216"/>
        </w:trPr>
        <w:tc>
          <w:tcPr>
            <w:tcW w:w="1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14.7</w:t>
            </w:r>
          </w:p>
        </w:tc>
        <w:tc>
          <w:tcPr>
            <w:tcW w:w="9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Payment of Certain Taxes upon Conversion</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w:t>
            </w:r>
          </w:p>
        </w:tc>
      </w:tr>
      <w:tr>
        <w:trPr>
          <w:trHeight w:val="216"/>
        </w:trPr>
        <w:tc>
          <w:tcPr>
            <w:tcW w:w="1240" w:type="dxa"/>
            <w:vAlign w:val="bottom"/>
          </w:tcPr>
          <w:p>
            <w:pPr>
              <w:ind w:left="180"/>
              <w:spacing w:after="0"/>
              <w:rPr>
                <w:sz w:val="20"/>
                <w:szCs w:val="20"/>
                <w:color w:val="auto"/>
              </w:rPr>
            </w:pPr>
            <w:r>
              <w:rPr>
                <w:rFonts w:ascii="Arial" w:cs="Arial" w:eastAsia="Arial" w:hAnsi="Arial"/>
                <w:sz w:val="18"/>
                <w:szCs w:val="18"/>
                <w:color w:val="auto"/>
              </w:rPr>
              <w:t>Section 14.8</w:t>
            </w:r>
          </w:p>
        </w:tc>
        <w:tc>
          <w:tcPr>
            <w:tcW w:w="9360" w:type="dxa"/>
            <w:vAlign w:val="bottom"/>
          </w:tcPr>
          <w:p>
            <w:pPr>
              <w:ind w:left="240"/>
              <w:spacing w:after="0"/>
              <w:rPr>
                <w:sz w:val="20"/>
                <w:szCs w:val="20"/>
                <w:color w:val="auto"/>
              </w:rPr>
            </w:pPr>
            <w:r>
              <w:rPr>
                <w:rFonts w:ascii="Arial" w:cs="Arial" w:eastAsia="Arial" w:hAnsi="Arial"/>
                <w:sz w:val="18"/>
                <w:szCs w:val="18"/>
                <w:color w:val="auto"/>
              </w:rPr>
              <w:t>Nonassessability</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51</w:t>
            </w:r>
          </w:p>
        </w:tc>
      </w:tr>
      <w:tr>
        <w:trPr>
          <w:trHeight w:val="216"/>
        </w:trPr>
        <w:tc>
          <w:tcPr>
            <w:tcW w:w="1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14.9</w:t>
            </w:r>
          </w:p>
        </w:tc>
        <w:tc>
          <w:tcPr>
            <w:tcW w:w="9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Provision in Case of Consolidation, Merger or Sale of Assets</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w:t>
            </w:r>
          </w:p>
        </w:tc>
      </w:tr>
      <w:tr>
        <w:trPr>
          <w:trHeight w:val="216"/>
        </w:trPr>
        <w:tc>
          <w:tcPr>
            <w:tcW w:w="1240" w:type="dxa"/>
            <w:vAlign w:val="bottom"/>
          </w:tcPr>
          <w:p>
            <w:pPr>
              <w:ind w:left="180"/>
              <w:spacing w:after="0"/>
              <w:rPr>
                <w:sz w:val="20"/>
                <w:szCs w:val="20"/>
                <w:color w:val="auto"/>
              </w:rPr>
            </w:pPr>
            <w:r>
              <w:rPr>
                <w:rFonts w:ascii="Arial" w:cs="Arial" w:eastAsia="Arial" w:hAnsi="Arial"/>
                <w:sz w:val="18"/>
                <w:szCs w:val="18"/>
                <w:color w:val="auto"/>
                <w:w w:val="94"/>
              </w:rPr>
              <w:t>Section 14.10</w:t>
            </w:r>
          </w:p>
        </w:tc>
        <w:tc>
          <w:tcPr>
            <w:tcW w:w="9360" w:type="dxa"/>
            <w:vAlign w:val="bottom"/>
          </w:tcPr>
          <w:p>
            <w:pPr>
              <w:ind w:left="240"/>
              <w:spacing w:after="0"/>
              <w:rPr>
                <w:sz w:val="20"/>
                <w:szCs w:val="20"/>
                <w:color w:val="auto"/>
              </w:rPr>
            </w:pPr>
            <w:r>
              <w:rPr>
                <w:rFonts w:ascii="Arial" w:cs="Arial" w:eastAsia="Arial" w:hAnsi="Arial"/>
                <w:sz w:val="18"/>
                <w:szCs w:val="18"/>
                <w:color w:val="auto"/>
              </w:rPr>
              <w:t>Duties of Trustee Regarding Conversion</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52</w:t>
            </w:r>
          </w:p>
        </w:tc>
      </w:tr>
      <w:tr>
        <w:trPr>
          <w:trHeight w:val="216"/>
        </w:trPr>
        <w:tc>
          <w:tcPr>
            <w:tcW w:w="12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Section 14.11</w:t>
            </w:r>
          </w:p>
        </w:tc>
        <w:tc>
          <w:tcPr>
            <w:tcW w:w="9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Repayment of Certain Funds upon Conversion</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52</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0"/>
        </w:trPr>
        <w:tc>
          <w:tcPr>
            <w:tcW w:w="9300" w:type="dxa"/>
            <w:vAlign w:val="bottom"/>
          </w:tcPr>
          <w:p>
            <w:pPr>
              <w:ind w:left="4620"/>
              <w:spacing w:after="0"/>
              <w:rPr>
                <w:sz w:val="20"/>
                <w:szCs w:val="20"/>
                <w:color w:val="auto"/>
              </w:rPr>
            </w:pPr>
            <w:r>
              <w:rPr>
                <w:rFonts w:ascii="Arial" w:cs="Arial" w:eastAsia="Arial" w:hAnsi="Arial"/>
                <w:sz w:val="18"/>
                <w:szCs w:val="18"/>
                <w:color w:val="auto"/>
              </w:rPr>
              <w:t>HARROW HEALTH, INC.</w:t>
            </w:r>
          </w:p>
        </w:tc>
        <w:tc>
          <w:tcPr>
            <w:tcW w:w="1940" w:type="dxa"/>
            <w:vAlign w:val="bottom"/>
          </w:tcPr>
          <w:p>
            <w:pPr>
              <w:spacing w:after="0"/>
              <w:rPr>
                <w:sz w:val="20"/>
                <w:szCs w:val="20"/>
                <w:color w:val="auto"/>
              </w:rPr>
            </w:pPr>
          </w:p>
        </w:tc>
      </w:tr>
      <w:tr>
        <w:trPr>
          <w:trHeight w:val="432"/>
        </w:trPr>
        <w:tc>
          <w:tcPr>
            <w:tcW w:w="9300" w:type="dxa"/>
            <w:vAlign w:val="bottom"/>
          </w:tcPr>
          <w:p>
            <w:pPr>
              <w:spacing w:after="0"/>
              <w:rPr>
                <w:sz w:val="20"/>
                <w:szCs w:val="20"/>
                <w:color w:val="auto"/>
              </w:rPr>
            </w:pPr>
            <w:r>
              <w:rPr>
                <w:rFonts w:ascii="Arial" w:cs="Arial" w:eastAsia="Arial" w:hAnsi="Arial"/>
                <w:sz w:val="18"/>
                <w:szCs w:val="18"/>
                <w:color w:val="auto"/>
              </w:rPr>
              <w:t>Certain Sections of this Indenture relating to Sections 310 through 318, inclusive, of the Trust Indenture Act of 1939:</w:t>
            </w:r>
          </w:p>
        </w:tc>
        <w:tc>
          <w:tcPr>
            <w:tcW w:w="1940" w:type="dxa"/>
            <w:vAlign w:val="bottom"/>
          </w:tcPr>
          <w:p>
            <w:pPr>
              <w:spacing w:after="0"/>
              <w:rPr>
                <w:sz w:val="24"/>
                <w:szCs w:val="24"/>
                <w:color w:val="auto"/>
              </w:rPr>
            </w:pPr>
          </w:p>
        </w:tc>
      </w:tr>
      <w:tr>
        <w:trPr>
          <w:trHeight w:val="418"/>
        </w:trPr>
        <w:tc>
          <w:tcPr>
            <w:tcW w:w="9300" w:type="dxa"/>
            <w:vAlign w:val="bottom"/>
          </w:tcPr>
          <w:p>
            <w:pPr>
              <w:spacing w:after="0"/>
              <w:rPr>
                <w:sz w:val="20"/>
                <w:szCs w:val="20"/>
                <w:color w:val="auto"/>
              </w:rPr>
            </w:pPr>
            <w:r>
              <w:rPr>
                <w:rFonts w:ascii="Arial" w:cs="Arial" w:eastAsia="Arial" w:hAnsi="Arial"/>
                <w:sz w:val="18"/>
                <w:szCs w:val="18"/>
                <w:color w:val="auto"/>
              </w:rPr>
              <w:t>Section 310(a) (1)</w:t>
            </w:r>
          </w:p>
        </w:tc>
        <w:tc>
          <w:tcPr>
            <w:tcW w:w="19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9300" w:type="dxa"/>
            <w:vAlign w:val="bottom"/>
          </w:tcPr>
          <w:p>
            <w:pPr>
              <w:spacing w:after="0"/>
              <w:rPr>
                <w:sz w:val="20"/>
                <w:szCs w:val="20"/>
                <w:color w:val="auto"/>
              </w:rPr>
            </w:pPr>
            <w:r>
              <w:rPr>
                <w:rFonts w:ascii="Arial" w:cs="Arial" w:eastAsia="Arial" w:hAnsi="Arial"/>
                <w:sz w:val="18"/>
                <w:szCs w:val="18"/>
                <w:color w:val="auto"/>
              </w:rPr>
              <w:t>(a)(2)</w:t>
            </w:r>
          </w:p>
        </w:tc>
        <w:tc>
          <w:tcPr>
            <w:tcW w:w="19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9300" w:type="dxa"/>
            <w:vAlign w:val="bottom"/>
          </w:tcPr>
          <w:p>
            <w:pPr>
              <w:spacing w:after="0"/>
              <w:rPr>
                <w:sz w:val="20"/>
                <w:szCs w:val="20"/>
                <w:color w:val="auto"/>
              </w:rPr>
            </w:pPr>
            <w:r>
              <w:rPr>
                <w:rFonts w:ascii="Arial" w:cs="Arial" w:eastAsia="Arial" w:hAnsi="Arial"/>
                <w:sz w:val="18"/>
                <w:szCs w:val="18"/>
                <w:color w:val="auto"/>
              </w:rPr>
              <w:t>(a)(3)</w:t>
            </w:r>
          </w:p>
        </w:tc>
        <w:tc>
          <w:tcPr>
            <w:tcW w:w="1940" w:type="dxa"/>
            <w:vAlign w:val="bottom"/>
          </w:tcPr>
          <w:p>
            <w:pPr>
              <w:jc w:val="right"/>
              <w:spacing w:after="0"/>
              <w:rPr>
                <w:sz w:val="20"/>
                <w:szCs w:val="20"/>
                <w:color w:val="auto"/>
              </w:rPr>
            </w:pPr>
            <w:r>
              <w:rPr>
                <w:rFonts w:ascii="Arial" w:cs="Arial" w:eastAsia="Arial" w:hAnsi="Arial"/>
                <w:sz w:val="18"/>
                <w:szCs w:val="18"/>
                <w:color w:val="auto"/>
              </w:rPr>
              <w:t>Not Applicable</w:t>
            </w:r>
          </w:p>
        </w:tc>
      </w:tr>
      <w:tr>
        <w:trPr>
          <w:trHeight w:val="216"/>
        </w:trPr>
        <w:tc>
          <w:tcPr>
            <w:tcW w:w="9300" w:type="dxa"/>
            <w:vAlign w:val="bottom"/>
          </w:tcPr>
          <w:p>
            <w:pPr>
              <w:spacing w:after="0"/>
              <w:rPr>
                <w:sz w:val="20"/>
                <w:szCs w:val="20"/>
                <w:color w:val="auto"/>
              </w:rPr>
            </w:pPr>
            <w:r>
              <w:rPr>
                <w:rFonts w:ascii="Arial" w:cs="Arial" w:eastAsia="Arial" w:hAnsi="Arial"/>
                <w:sz w:val="18"/>
                <w:szCs w:val="18"/>
                <w:color w:val="auto"/>
              </w:rPr>
              <w:t>(a)(4)</w:t>
            </w:r>
          </w:p>
        </w:tc>
        <w:tc>
          <w:tcPr>
            <w:tcW w:w="1940" w:type="dxa"/>
            <w:vAlign w:val="bottom"/>
          </w:tcPr>
          <w:p>
            <w:pPr>
              <w:jc w:val="right"/>
              <w:spacing w:after="0"/>
              <w:rPr>
                <w:sz w:val="20"/>
                <w:szCs w:val="20"/>
                <w:color w:val="auto"/>
              </w:rPr>
            </w:pPr>
            <w:r>
              <w:rPr>
                <w:rFonts w:ascii="Arial" w:cs="Arial" w:eastAsia="Arial" w:hAnsi="Arial"/>
                <w:sz w:val="18"/>
                <w:szCs w:val="18"/>
                <w:color w:val="auto"/>
              </w:rPr>
              <w:t>Not Applicable</w:t>
            </w:r>
          </w:p>
        </w:tc>
      </w:tr>
      <w:tr>
        <w:trPr>
          <w:trHeight w:val="216"/>
        </w:trPr>
        <w:tc>
          <w:tcPr>
            <w:tcW w:w="9300" w:type="dxa"/>
            <w:vAlign w:val="bottom"/>
          </w:tcPr>
          <w:p>
            <w:pPr>
              <w:spacing w:after="0"/>
              <w:rPr>
                <w:sz w:val="20"/>
                <w:szCs w:val="20"/>
                <w:color w:val="auto"/>
              </w:rPr>
            </w:pPr>
            <w:r>
              <w:rPr>
                <w:rFonts w:ascii="Arial" w:cs="Arial" w:eastAsia="Arial" w:hAnsi="Arial"/>
                <w:sz w:val="18"/>
                <w:szCs w:val="18"/>
                <w:color w:val="auto"/>
              </w:rPr>
              <w:t>(b)</w:t>
            </w:r>
          </w:p>
        </w:tc>
        <w:tc>
          <w:tcPr>
            <w:tcW w:w="1940" w:type="dxa"/>
            <w:vAlign w:val="bottom"/>
          </w:tcPr>
          <w:p>
            <w:pPr>
              <w:jc w:val="right"/>
              <w:spacing w:after="0"/>
              <w:rPr>
                <w:sz w:val="20"/>
                <w:szCs w:val="20"/>
                <w:color w:val="auto"/>
              </w:rPr>
            </w:pPr>
            <w:r>
              <w:rPr>
                <w:rFonts w:ascii="Arial" w:cs="Arial" w:eastAsia="Arial" w:hAnsi="Arial"/>
                <w:sz w:val="18"/>
                <w:szCs w:val="18"/>
                <w:color w:val="auto"/>
              </w:rPr>
              <w:t>6.8, 6.10</w:t>
            </w:r>
          </w:p>
        </w:tc>
      </w:tr>
      <w:tr>
        <w:trPr>
          <w:trHeight w:val="216"/>
        </w:trPr>
        <w:tc>
          <w:tcPr>
            <w:tcW w:w="9300" w:type="dxa"/>
            <w:vAlign w:val="bottom"/>
          </w:tcPr>
          <w:p>
            <w:pPr>
              <w:spacing w:after="0"/>
              <w:rPr>
                <w:sz w:val="20"/>
                <w:szCs w:val="20"/>
                <w:color w:val="auto"/>
              </w:rPr>
            </w:pPr>
            <w:r>
              <w:rPr>
                <w:rFonts w:ascii="Arial" w:cs="Arial" w:eastAsia="Arial" w:hAnsi="Arial"/>
                <w:sz w:val="18"/>
                <w:szCs w:val="18"/>
                <w:color w:val="auto"/>
              </w:rPr>
              <w:t>Section 311(a)</w:t>
            </w:r>
          </w:p>
        </w:tc>
        <w:tc>
          <w:tcPr>
            <w:tcW w:w="1940" w:type="dxa"/>
            <w:vAlign w:val="bottom"/>
          </w:tcPr>
          <w:p>
            <w:pPr>
              <w:jc w:val="right"/>
              <w:spacing w:after="0"/>
              <w:rPr>
                <w:sz w:val="20"/>
                <w:szCs w:val="20"/>
                <w:color w:val="auto"/>
              </w:rPr>
            </w:pPr>
            <w:r>
              <w:rPr>
                <w:rFonts w:ascii="Arial" w:cs="Arial" w:eastAsia="Arial" w:hAnsi="Arial"/>
                <w:sz w:val="18"/>
                <w:szCs w:val="18"/>
                <w:color w:val="auto"/>
              </w:rPr>
              <w:t>6.13</w:t>
            </w:r>
          </w:p>
        </w:tc>
      </w:tr>
      <w:tr>
        <w:trPr>
          <w:trHeight w:val="216"/>
        </w:trPr>
        <w:tc>
          <w:tcPr>
            <w:tcW w:w="9300" w:type="dxa"/>
            <w:vAlign w:val="bottom"/>
          </w:tcPr>
          <w:p>
            <w:pPr>
              <w:spacing w:after="0"/>
              <w:rPr>
                <w:sz w:val="20"/>
                <w:szCs w:val="20"/>
                <w:color w:val="auto"/>
              </w:rPr>
            </w:pPr>
            <w:r>
              <w:rPr>
                <w:rFonts w:ascii="Arial" w:cs="Arial" w:eastAsia="Arial" w:hAnsi="Arial"/>
                <w:sz w:val="18"/>
                <w:szCs w:val="18"/>
                <w:color w:val="auto"/>
              </w:rPr>
              <w:t>(b)</w:t>
            </w:r>
          </w:p>
        </w:tc>
        <w:tc>
          <w:tcPr>
            <w:tcW w:w="1940" w:type="dxa"/>
            <w:vAlign w:val="bottom"/>
          </w:tcPr>
          <w:p>
            <w:pPr>
              <w:jc w:val="right"/>
              <w:spacing w:after="0"/>
              <w:rPr>
                <w:sz w:val="20"/>
                <w:szCs w:val="20"/>
                <w:color w:val="auto"/>
              </w:rPr>
            </w:pPr>
            <w:r>
              <w:rPr>
                <w:rFonts w:ascii="Arial" w:cs="Arial" w:eastAsia="Arial" w:hAnsi="Arial"/>
                <w:sz w:val="18"/>
                <w:szCs w:val="18"/>
                <w:color w:val="auto"/>
              </w:rPr>
              <w:t>6.13</w:t>
            </w:r>
          </w:p>
        </w:tc>
      </w:tr>
      <w:tr>
        <w:trPr>
          <w:trHeight w:val="216"/>
        </w:trPr>
        <w:tc>
          <w:tcPr>
            <w:tcW w:w="9300" w:type="dxa"/>
            <w:vAlign w:val="bottom"/>
          </w:tcPr>
          <w:p>
            <w:pPr>
              <w:spacing w:after="0"/>
              <w:rPr>
                <w:sz w:val="20"/>
                <w:szCs w:val="20"/>
                <w:color w:val="auto"/>
              </w:rPr>
            </w:pPr>
            <w:r>
              <w:rPr>
                <w:rFonts w:ascii="Arial" w:cs="Arial" w:eastAsia="Arial" w:hAnsi="Arial"/>
                <w:sz w:val="18"/>
                <w:szCs w:val="18"/>
                <w:color w:val="auto"/>
              </w:rPr>
              <w:t>Section 312(a)</w:t>
            </w:r>
          </w:p>
        </w:tc>
        <w:tc>
          <w:tcPr>
            <w:tcW w:w="1940" w:type="dxa"/>
            <w:vAlign w:val="bottom"/>
          </w:tcPr>
          <w:p>
            <w:pPr>
              <w:jc w:val="right"/>
              <w:spacing w:after="0"/>
              <w:rPr>
                <w:sz w:val="20"/>
                <w:szCs w:val="20"/>
                <w:color w:val="auto"/>
              </w:rPr>
            </w:pPr>
            <w:r>
              <w:rPr>
                <w:rFonts w:ascii="Arial" w:cs="Arial" w:eastAsia="Arial" w:hAnsi="Arial"/>
                <w:sz w:val="18"/>
                <w:szCs w:val="18"/>
                <w:color w:val="auto"/>
              </w:rPr>
              <w:t>7.1, 7.2</w:t>
            </w:r>
          </w:p>
        </w:tc>
      </w:tr>
      <w:tr>
        <w:trPr>
          <w:trHeight w:val="216"/>
        </w:trPr>
        <w:tc>
          <w:tcPr>
            <w:tcW w:w="9300" w:type="dxa"/>
            <w:vAlign w:val="bottom"/>
          </w:tcPr>
          <w:p>
            <w:pPr>
              <w:spacing w:after="0"/>
              <w:rPr>
                <w:sz w:val="20"/>
                <w:szCs w:val="20"/>
                <w:color w:val="auto"/>
              </w:rPr>
            </w:pPr>
            <w:r>
              <w:rPr>
                <w:rFonts w:ascii="Arial" w:cs="Arial" w:eastAsia="Arial" w:hAnsi="Arial"/>
                <w:sz w:val="18"/>
                <w:szCs w:val="18"/>
                <w:color w:val="auto"/>
              </w:rPr>
              <w:t>(b)</w:t>
            </w:r>
          </w:p>
        </w:tc>
        <w:tc>
          <w:tcPr>
            <w:tcW w:w="19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9300" w:type="dxa"/>
            <w:vAlign w:val="bottom"/>
          </w:tcPr>
          <w:p>
            <w:pPr>
              <w:spacing w:after="0"/>
              <w:rPr>
                <w:sz w:val="20"/>
                <w:szCs w:val="20"/>
                <w:color w:val="auto"/>
              </w:rPr>
            </w:pPr>
            <w:r>
              <w:rPr>
                <w:rFonts w:ascii="Arial" w:cs="Arial" w:eastAsia="Arial" w:hAnsi="Arial"/>
                <w:sz w:val="18"/>
                <w:szCs w:val="18"/>
                <w:color w:val="auto"/>
              </w:rPr>
              <w:t>(c)</w:t>
            </w:r>
          </w:p>
        </w:tc>
        <w:tc>
          <w:tcPr>
            <w:tcW w:w="19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9300" w:type="dxa"/>
            <w:vAlign w:val="bottom"/>
          </w:tcPr>
          <w:p>
            <w:pPr>
              <w:spacing w:after="0"/>
              <w:rPr>
                <w:sz w:val="20"/>
                <w:szCs w:val="20"/>
                <w:color w:val="auto"/>
              </w:rPr>
            </w:pPr>
            <w:r>
              <w:rPr>
                <w:rFonts w:ascii="Arial" w:cs="Arial" w:eastAsia="Arial" w:hAnsi="Arial"/>
                <w:sz w:val="18"/>
                <w:szCs w:val="18"/>
                <w:color w:val="auto"/>
              </w:rPr>
              <w:t>Section 313(a)</w:t>
            </w:r>
          </w:p>
        </w:tc>
        <w:tc>
          <w:tcPr>
            <w:tcW w:w="19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9300" w:type="dxa"/>
            <w:vAlign w:val="bottom"/>
          </w:tcPr>
          <w:p>
            <w:pPr>
              <w:spacing w:after="0"/>
              <w:rPr>
                <w:sz w:val="20"/>
                <w:szCs w:val="20"/>
                <w:color w:val="auto"/>
              </w:rPr>
            </w:pPr>
            <w:r>
              <w:rPr>
                <w:rFonts w:ascii="Arial" w:cs="Arial" w:eastAsia="Arial" w:hAnsi="Arial"/>
                <w:sz w:val="18"/>
                <w:szCs w:val="18"/>
                <w:color w:val="auto"/>
              </w:rPr>
              <w:t>(b)</w:t>
            </w:r>
          </w:p>
        </w:tc>
        <w:tc>
          <w:tcPr>
            <w:tcW w:w="19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9300" w:type="dxa"/>
            <w:vAlign w:val="bottom"/>
          </w:tcPr>
          <w:p>
            <w:pPr>
              <w:spacing w:after="0"/>
              <w:rPr>
                <w:sz w:val="20"/>
                <w:szCs w:val="20"/>
                <w:color w:val="auto"/>
              </w:rPr>
            </w:pPr>
            <w:r>
              <w:rPr>
                <w:rFonts w:ascii="Arial" w:cs="Arial" w:eastAsia="Arial" w:hAnsi="Arial"/>
                <w:sz w:val="18"/>
                <w:szCs w:val="18"/>
                <w:color w:val="auto"/>
              </w:rPr>
              <w:t>(c)</w:t>
            </w:r>
          </w:p>
        </w:tc>
        <w:tc>
          <w:tcPr>
            <w:tcW w:w="19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9300" w:type="dxa"/>
            <w:vAlign w:val="bottom"/>
          </w:tcPr>
          <w:p>
            <w:pPr>
              <w:spacing w:after="0"/>
              <w:rPr>
                <w:sz w:val="20"/>
                <w:szCs w:val="20"/>
                <w:color w:val="auto"/>
              </w:rPr>
            </w:pPr>
            <w:r>
              <w:rPr>
                <w:rFonts w:ascii="Arial" w:cs="Arial" w:eastAsia="Arial" w:hAnsi="Arial"/>
                <w:sz w:val="18"/>
                <w:szCs w:val="18"/>
                <w:color w:val="auto"/>
              </w:rPr>
              <w:t>(d)</w:t>
            </w:r>
          </w:p>
        </w:tc>
        <w:tc>
          <w:tcPr>
            <w:tcW w:w="19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9300" w:type="dxa"/>
            <w:vAlign w:val="bottom"/>
          </w:tcPr>
          <w:p>
            <w:pPr>
              <w:spacing w:after="0"/>
              <w:rPr>
                <w:sz w:val="20"/>
                <w:szCs w:val="20"/>
                <w:color w:val="auto"/>
              </w:rPr>
            </w:pPr>
            <w:r>
              <w:rPr>
                <w:rFonts w:ascii="Arial" w:cs="Arial" w:eastAsia="Arial" w:hAnsi="Arial"/>
                <w:sz w:val="18"/>
                <w:szCs w:val="18"/>
                <w:color w:val="auto"/>
              </w:rPr>
              <w:t>Section 314(a)</w:t>
            </w:r>
          </w:p>
        </w:tc>
        <w:tc>
          <w:tcPr>
            <w:tcW w:w="19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9300" w:type="dxa"/>
            <w:vAlign w:val="bottom"/>
          </w:tcPr>
          <w:p>
            <w:pPr>
              <w:spacing w:after="0"/>
              <w:rPr>
                <w:sz w:val="20"/>
                <w:szCs w:val="20"/>
                <w:color w:val="auto"/>
              </w:rPr>
            </w:pPr>
            <w:r>
              <w:rPr>
                <w:rFonts w:ascii="Arial" w:cs="Arial" w:eastAsia="Arial" w:hAnsi="Arial"/>
                <w:sz w:val="18"/>
                <w:szCs w:val="18"/>
                <w:color w:val="auto"/>
              </w:rPr>
              <w:t>(a)(4)</w:t>
            </w:r>
          </w:p>
        </w:tc>
        <w:tc>
          <w:tcPr>
            <w:tcW w:w="1940" w:type="dxa"/>
            <w:vAlign w:val="bottom"/>
          </w:tcPr>
          <w:p>
            <w:pPr>
              <w:jc w:val="right"/>
              <w:spacing w:after="0"/>
              <w:rPr>
                <w:sz w:val="20"/>
                <w:szCs w:val="20"/>
                <w:color w:val="auto"/>
              </w:rPr>
            </w:pPr>
            <w:r>
              <w:rPr>
                <w:rFonts w:ascii="Arial" w:cs="Arial" w:eastAsia="Arial" w:hAnsi="Arial"/>
                <w:sz w:val="18"/>
                <w:szCs w:val="18"/>
                <w:color w:val="auto"/>
              </w:rPr>
              <w:t>10.1, 10.4</w:t>
            </w:r>
          </w:p>
        </w:tc>
      </w:tr>
      <w:tr>
        <w:trPr>
          <w:trHeight w:val="216"/>
        </w:trPr>
        <w:tc>
          <w:tcPr>
            <w:tcW w:w="9300" w:type="dxa"/>
            <w:vAlign w:val="bottom"/>
          </w:tcPr>
          <w:p>
            <w:pPr>
              <w:spacing w:after="0"/>
              <w:rPr>
                <w:sz w:val="20"/>
                <w:szCs w:val="20"/>
                <w:color w:val="auto"/>
              </w:rPr>
            </w:pPr>
            <w:r>
              <w:rPr>
                <w:rFonts w:ascii="Arial" w:cs="Arial" w:eastAsia="Arial" w:hAnsi="Arial"/>
                <w:sz w:val="18"/>
                <w:szCs w:val="18"/>
                <w:color w:val="auto"/>
              </w:rPr>
              <w:t>(b)</w:t>
            </w:r>
          </w:p>
        </w:tc>
        <w:tc>
          <w:tcPr>
            <w:tcW w:w="1940" w:type="dxa"/>
            <w:vAlign w:val="bottom"/>
          </w:tcPr>
          <w:p>
            <w:pPr>
              <w:jc w:val="right"/>
              <w:spacing w:after="0"/>
              <w:rPr>
                <w:sz w:val="20"/>
                <w:szCs w:val="20"/>
                <w:color w:val="auto"/>
              </w:rPr>
            </w:pPr>
            <w:r>
              <w:rPr>
                <w:rFonts w:ascii="Arial" w:cs="Arial" w:eastAsia="Arial" w:hAnsi="Arial"/>
                <w:sz w:val="18"/>
                <w:szCs w:val="18"/>
                <w:color w:val="auto"/>
              </w:rPr>
              <w:t>Not Applicable</w:t>
            </w:r>
          </w:p>
        </w:tc>
      </w:tr>
      <w:tr>
        <w:trPr>
          <w:trHeight w:val="216"/>
        </w:trPr>
        <w:tc>
          <w:tcPr>
            <w:tcW w:w="9300" w:type="dxa"/>
            <w:vAlign w:val="bottom"/>
          </w:tcPr>
          <w:p>
            <w:pPr>
              <w:spacing w:after="0"/>
              <w:rPr>
                <w:sz w:val="20"/>
                <w:szCs w:val="20"/>
                <w:color w:val="auto"/>
              </w:rPr>
            </w:pPr>
            <w:r>
              <w:rPr>
                <w:rFonts w:ascii="Arial" w:cs="Arial" w:eastAsia="Arial" w:hAnsi="Arial"/>
                <w:sz w:val="18"/>
                <w:szCs w:val="18"/>
                <w:color w:val="auto"/>
              </w:rPr>
              <w:t>(c)(1)</w:t>
            </w:r>
          </w:p>
        </w:tc>
        <w:tc>
          <w:tcPr>
            <w:tcW w:w="19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300" w:type="dxa"/>
            <w:vAlign w:val="bottom"/>
          </w:tcPr>
          <w:p>
            <w:pPr>
              <w:spacing w:after="0"/>
              <w:rPr>
                <w:sz w:val="20"/>
                <w:szCs w:val="20"/>
                <w:color w:val="auto"/>
              </w:rPr>
            </w:pPr>
            <w:r>
              <w:rPr>
                <w:rFonts w:ascii="Arial" w:cs="Arial" w:eastAsia="Arial" w:hAnsi="Arial"/>
                <w:sz w:val="18"/>
                <w:szCs w:val="18"/>
                <w:color w:val="auto"/>
              </w:rPr>
              <w:t>(c)(2)</w:t>
            </w:r>
          </w:p>
        </w:tc>
        <w:tc>
          <w:tcPr>
            <w:tcW w:w="19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300" w:type="dxa"/>
            <w:vAlign w:val="bottom"/>
          </w:tcPr>
          <w:p>
            <w:pPr>
              <w:spacing w:after="0"/>
              <w:rPr>
                <w:sz w:val="20"/>
                <w:szCs w:val="20"/>
                <w:color w:val="auto"/>
              </w:rPr>
            </w:pPr>
            <w:r>
              <w:rPr>
                <w:rFonts w:ascii="Arial" w:cs="Arial" w:eastAsia="Arial" w:hAnsi="Arial"/>
                <w:sz w:val="18"/>
                <w:szCs w:val="18"/>
                <w:color w:val="auto"/>
              </w:rPr>
              <w:t>(c)(3)</w:t>
            </w:r>
          </w:p>
        </w:tc>
        <w:tc>
          <w:tcPr>
            <w:tcW w:w="1940" w:type="dxa"/>
            <w:vAlign w:val="bottom"/>
          </w:tcPr>
          <w:p>
            <w:pPr>
              <w:jc w:val="right"/>
              <w:spacing w:after="0"/>
              <w:rPr>
                <w:sz w:val="20"/>
                <w:szCs w:val="20"/>
                <w:color w:val="auto"/>
              </w:rPr>
            </w:pPr>
            <w:r>
              <w:rPr>
                <w:rFonts w:ascii="Arial" w:cs="Arial" w:eastAsia="Arial" w:hAnsi="Arial"/>
                <w:sz w:val="18"/>
                <w:szCs w:val="18"/>
                <w:color w:val="auto"/>
              </w:rPr>
              <w:t>Not Applicable</w:t>
            </w:r>
          </w:p>
        </w:tc>
      </w:tr>
      <w:tr>
        <w:trPr>
          <w:trHeight w:val="216"/>
        </w:trPr>
        <w:tc>
          <w:tcPr>
            <w:tcW w:w="9300" w:type="dxa"/>
            <w:vAlign w:val="bottom"/>
          </w:tcPr>
          <w:p>
            <w:pPr>
              <w:spacing w:after="0"/>
              <w:rPr>
                <w:sz w:val="20"/>
                <w:szCs w:val="20"/>
                <w:color w:val="auto"/>
              </w:rPr>
            </w:pPr>
            <w:r>
              <w:rPr>
                <w:rFonts w:ascii="Arial" w:cs="Arial" w:eastAsia="Arial" w:hAnsi="Arial"/>
                <w:sz w:val="18"/>
                <w:szCs w:val="18"/>
                <w:color w:val="auto"/>
              </w:rPr>
              <w:t>(d)</w:t>
            </w:r>
          </w:p>
        </w:tc>
        <w:tc>
          <w:tcPr>
            <w:tcW w:w="1940" w:type="dxa"/>
            <w:vAlign w:val="bottom"/>
          </w:tcPr>
          <w:p>
            <w:pPr>
              <w:jc w:val="right"/>
              <w:spacing w:after="0"/>
              <w:rPr>
                <w:sz w:val="20"/>
                <w:szCs w:val="20"/>
                <w:color w:val="auto"/>
              </w:rPr>
            </w:pPr>
            <w:r>
              <w:rPr>
                <w:rFonts w:ascii="Arial" w:cs="Arial" w:eastAsia="Arial" w:hAnsi="Arial"/>
                <w:sz w:val="18"/>
                <w:szCs w:val="18"/>
                <w:color w:val="auto"/>
              </w:rPr>
              <w:t>Not Applicable</w:t>
            </w:r>
          </w:p>
        </w:tc>
      </w:tr>
      <w:tr>
        <w:trPr>
          <w:trHeight w:val="216"/>
        </w:trPr>
        <w:tc>
          <w:tcPr>
            <w:tcW w:w="9300" w:type="dxa"/>
            <w:vAlign w:val="bottom"/>
          </w:tcPr>
          <w:p>
            <w:pPr>
              <w:spacing w:after="0"/>
              <w:rPr>
                <w:sz w:val="20"/>
                <w:szCs w:val="20"/>
                <w:color w:val="auto"/>
              </w:rPr>
            </w:pPr>
            <w:r>
              <w:rPr>
                <w:rFonts w:ascii="Arial" w:cs="Arial" w:eastAsia="Arial" w:hAnsi="Arial"/>
                <w:sz w:val="18"/>
                <w:szCs w:val="18"/>
                <w:color w:val="auto"/>
              </w:rPr>
              <w:t>(e)</w:t>
            </w:r>
          </w:p>
        </w:tc>
        <w:tc>
          <w:tcPr>
            <w:tcW w:w="19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300" w:type="dxa"/>
            <w:vAlign w:val="bottom"/>
          </w:tcPr>
          <w:p>
            <w:pPr>
              <w:spacing w:after="0"/>
              <w:rPr>
                <w:sz w:val="20"/>
                <w:szCs w:val="20"/>
                <w:color w:val="auto"/>
              </w:rPr>
            </w:pPr>
            <w:r>
              <w:rPr>
                <w:rFonts w:ascii="Arial" w:cs="Arial" w:eastAsia="Arial" w:hAnsi="Arial"/>
                <w:sz w:val="18"/>
                <w:szCs w:val="18"/>
                <w:color w:val="auto"/>
              </w:rPr>
              <w:t>Section 315(a)</w:t>
            </w:r>
          </w:p>
        </w:tc>
        <w:tc>
          <w:tcPr>
            <w:tcW w:w="19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9300" w:type="dxa"/>
            <w:vAlign w:val="bottom"/>
          </w:tcPr>
          <w:p>
            <w:pPr>
              <w:spacing w:after="0"/>
              <w:rPr>
                <w:sz w:val="20"/>
                <w:szCs w:val="20"/>
                <w:color w:val="auto"/>
              </w:rPr>
            </w:pPr>
            <w:r>
              <w:rPr>
                <w:rFonts w:ascii="Arial" w:cs="Arial" w:eastAsia="Arial" w:hAnsi="Arial"/>
                <w:sz w:val="18"/>
                <w:szCs w:val="18"/>
                <w:color w:val="auto"/>
              </w:rPr>
              <w:t>(b)</w:t>
            </w:r>
          </w:p>
        </w:tc>
        <w:tc>
          <w:tcPr>
            <w:tcW w:w="19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9300" w:type="dxa"/>
            <w:vAlign w:val="bottom"/>
          </w:tcPr>
          <w:p>
            <w:pPr>
              <w:spacing w:after="0"/>
              <w:rPr>
                <w:sz w:val="20"/>
                <w:szCs w:val="20"/>
                <w:color w:val="auto"/>
              </w:rPr>
            </w:pPr>
            <w:r>
              <w:rPr>
                <w:rFonts w:ascii="Arial" w:cs="Arial" w:eastAsia="Arial" w:hAnsi="Arial"/>
                <w:sz w:val="18"/>
                <w:szCs w:val="18"/>
                <w:color w:val="auto"/>
              </w:rPr>
              <w:t>(c)</w:t>
            </w:r>
          </w:p>
        </w:tc>
        <w:tc>
          <w:tcPr>
            <w:tcW w:w="19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9300" w:type="dxa"/>
            <w:vAlign w:val="bottom"/>
          </w:tcPr>
          <w:p>
            <w:pPr>
              <w:spacing w:after="0"/>
              <w:rPr>
                <w:sz w:val="20"/>
                <w:szCs w:val="20"/>
                <w:color w:val="auto"/>
              </w:rPr>
            </w:pPr>
            <w:r>
              <w:rPr>
                <w:rFonts w:ascii="Arial" w:cs="Arial" w:eastAsia="Arial" w:hAnsi="Arial"/>
                <w:sz w:val="18"/>
                <w:szCs w:val="18"/>
                <w:color w:val="auto"/>
              </w:rPr>
              <w:t>(d)</w:t>
            </w:r>
          </w:p>
        </w:tc>
        <w:tc>
          <w:tcPr>
            <w:tcW w:w="19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9300" w:type="dxa"/>
            <w:vAlign w:val="bottom"/>
          </w:tcPr>
          <w:p>
            <w:pPr>
              <w:spacing w:after="0"/>
              <w:rPr>
                <w:sz w:val="20"/>
                <w:szCs w:val="20"/>
                <w:color w:val="auto"/>
              </w:rPr>
            </w:pPr>
            <w:r>
              <w:rPr>
                <w:rFonts w:ascii="Arial" w:cs="Arial" w:eastAsia="Arial" w:hAnsi="Arial"/>
                <w:sz w:val="18"/>
                <w:szCs w:val="18"/>
                <w:color w:val="auto"/>
              </w:rPr>
              <w:t>(e)</w:t>
            </w:r>
          </w:p>
        </w:tc>
        <w:tc>
          <w:tcPr>
            <w:tcW w:w="1940" w:type="dxa"/>
            <w:vAlign w:val="bottom"/>
          </w:tcPr>
          <w:p>
            <w:pPr>
              <w:jc w:val="right"/>
              <w:spacing w:after="0"/>
              <w:rPr>
                <w:sz w:val="20"/>
                <w:szCs w:val="20"/>
                <w:color w:val="auto"/>
              </w:rPr>
            </w:pPr>
            <w:r>
              <w:rPr>
                <w:rFonts w:ascii="Arial" w:cs="Arial" w:eastAsia="Arial" w:hAnsi="Arial"/>
                <w:sz w:val="18"/>
                <w:szCs w:val="18"/>
                <w:color w:val="auto"/>
              </w:rPr>
              <w:t>5.14</w:t>
            </w:r>
          </w:p>
        </w:tc>
      </w:tr>
      <w:tr>
        <w:trPr>
          <w:trHeight w:val="216"/>
        </w:trPr>
        <w:tc>
          <w:tcPr>
            <w:tcW w:w="9300" w:type="dxa"/>
            <w:vAlign w:val="bottom"/>
          </w:tcPr>
          <w:p>
            <w:pPr>
              <w:spacing w:after="0"/>
              <w:rPr>
                <w:sz w:val="20"/>
                <w:szCs w:val="20"/>
                <w:color w:val="auto"/>
              </w:rPr>
            </w:pPr>
            <w:r>
              <w:rPr>
                <w:rFonts w:ascii="Arial" w:cs="Arial" w:eastAsia="Arial" w:hAnsi="Arial"/>
                <w:sz w:val="18"/>
                <w:szCs w:val="18"/>
                <w:color w:val="auto"/>
              </w:rPr>
              <w:t>Section 316(a)</w:t>
            </w:r>
          </w:p>
        </w:tc>
        <w:tc>
          <w:tcPr>
            <w:tcW w:w="19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9300" w:type="dxa"/>
            <w:vAlign w:val="bottom"/>
          </w:tcPr>
          <w:p>
            <w:pPr>
              <w:spacing w:after="0"/>
              <w:rPr>
                <w:sz w:val="20"/>
                <w:szCs w:val="20"/>
                <w:color w:val="auto"/>
              </w:rPr>
            </w:pPr>
            <w:r>
              <w:rPr>
                <w:rFonts w:ascii="Arial" w:cs="Arial" w:eastAsia="Arial" w:hAnsi="Arial"/>
                <w:sz w:val="18"/>
                <w:szCs w:val="18"/>
                <w:color w:val="auto"/>
              </w:rPr>
              <w:t>(a)(1)(A)</w:t>
            </w:r>
          </w:p>
        </w:tc>
        <w:tc>
          <w:tcPr>
            <w:tcW w:w="1940" w:type="dxa"/>
            <w:vAlign w:val="bottom"/>
          </w:tcPr>
          <w:p>
            <w:pPr>
              <w:jc w:val="right"/>
              <w:spacing w:after="0"/>
              <w:rPr>
                <w:sz w:val="20"/>
                <w:szCs w:val="20"/>
                <w:color w:val="auto"/>
              </w:rPr>
            </w:pPr>
            <w:r>
              <w:rPr>
                <w:rFonts w:ascii="Arial" w:cs="Arial" w:eastAsia="Arial" w:hAnsi="Arial"/>
                <w:sz w:val="18"/>
                <w:szCs w:val="18"/>
                <w:color w:val="auto"/>
              </w:rPr>
              <w:t>5.2, 5.12</w:t>
            </w:r>
          </w:p>
        </w:tc>
      </w:tr>
      <w:tr>
        <w:trPr>
          <w:trHeight w:val="216"/>
        </w:trPr>
        <w:tc>
          <w:tcPr>
            <w:tcW w:w="9300" w:type="dxa"/>
            <w:vAlign w:val="bottom"/>
          </w:tcPr>
          <w:p>
            <w:pPr>
              <w:spacing w:after="0"/>
              <w:rPr>
                <w:sz w:val="20"/>
                <w:szCs w:val="20"/>
                <w:color w:val="auto"/>
              </w:rPr>
            </w:pPr>
            <w:r>
              <w:rPr>
                <w:rFonts w:ascii="Arial" w:cs="Arial" w:eastAsia="Arial" w:hAnsi="Arial"/>
                <w:sz w:val="18"/>
                <w:szCs w:val="18"/>
                <w:color w:val="auto"/>
              </w:rPr>
              <w:t>(a)(1)(B)</w:t>
            </w:r>
          </w:p>
        </w:tc>
        <w:tc>
          <w:tcPr>
            <w:tcW w:w="1940" w:type="dxa"/>
            <w:vAlign w:val="bottom"/>
          </w:tcPr>
          <w:p>
            <w:pPr>
              <w:jc w:val="right"/>
              <w:spacing w:after="0"/>
              <w:rPr>
                <w:sz w:val="20"/>
                <w:szCs w:val="20"/>
                <w:color w:val="auto"/>
              </w:rPr>
            </w:pPr>
            <w:r>
              <w:rPr>
                <w:rFonts w:ascii="Arial" w:cs="Arial" w:eastAsia="Arial" w:hAnsi="Arial"/>
                <w:sz w:val="18"/>
                <w:szCs w:val="18"/>
                <w:color w:val="auto"/>
              </w:rPr>
              <w:t>5.13</w:t>
            </w:r>
          </w:p>
        </w:tc>
      </w:tr>
      <w:tr>
        <w:trPr>
          <w:trHeight w:val="216"/>
        </w:trPr>
        <w:tc>
          <w:tcPr>
            <w:tcW w:w="9300" w:type="dxa"/>
            <w:vAlign w:val="bottom"/>
          </w:tcPr>
          <w:p>
            <w:pPr>
              <w:spacing w:after="0"/>
              <w:rPr>
                <w:sz w:val="20"/>
                <w:szCs w:val="20"/>
                <w:color w:val="auto"/>
              </w:rPr>
            </w:pPr>
            <w:r>
              <w:rPr>
                <w:rFonts w:ascii="Arial" w:cs="Arial" w:eastAsia="Arial" w:hAnsi="Arial"/>
                <w:sz w:val="18"/>
                <w:szCs w:val="18"/>
                <w:color w:val="auto"/>
              </w:rPr>
              <w:t>(a)(2)</w:t>
            </w:r>
          </w:p>
        </w:tc>
        <w:tc>
          <w:tcPr>
            <w:tcW w:w="1940" w:type="dxa"/>
            <w:vAlign w:val="bottom"/>
          </w:tcPr>
          <w:p>
            <w:pPr>
              <w:jc w:val="right"/>
              <w:spacing w:after="0"/>
              <w:rPr>
                <w:sz w:val="20"/>
                <w:szCs w:val="20"/>
                <w:color w:val="auto"/>
              </w:rPr>
            </w:pPr>
            <w:r>
              <w:rPr>
                <w:rFonts w:ascii="Arial" w:cs="Arial" w:eastAsia="Arial" w:hAnsi="Arial"/>
                <w:sz w:val="18"/>
                <w:szCs w:val="18"/>
                <w:color w:val="auto"/>
              </w:rPr>
              <w:t>Not Applicable</w:t>
            </w:r>
          </w:p>
        </w:tc>
      </w:tr>
      <w:tr>
        <w:trPr>
          <w:trHeight w:val="216"/>
        </w:trPr>
        <w:tc>
          <w:tcPr>
            <w:tcW w:w="9300" w:type="dxa"/>
            <w:vAlign w:val="bottom"/>
          </w:tcPr>
          <w:p>
            <w:pPr>
              <w:spacing w:after="0"/>
              <w:rPr>
                <w:sz w:val="20"/>
                <w:szCs w:val="20"/>
                <w:color w:val="auto"/>
              </w:rPr>
            </w:pPr>
            <w:r>
              <w:rPr>
                <w:rFonts w:ascii="Arial" w:cs="Arial" w:eastAsia="Arial" w:hAnsi="Arial"/>
                <w:sz w:val="18"/>
                <w:szCs w:val="18"/>
                <w:color w:val="auto"/>
              </w:rPr>
              <w:t>(b)</w:t>
            </w:r>
          </w:p>
        </w:tc>
        <w:tc>
          <w:tcPr>
            <w:tcW w:w="19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9300" w:type="dxa"/>
            <w:vAlign w:val="bottom"/>
          </w:tcPr>
          <w:p>
            <w:pPr>
              <w:spacing w:after="0"/>
              <w:rPr>
                <w:sz w:val="20"/>
                <w:szCs w:val="20"/>
                <w:color w:val="auto"/>
              </w:rPr>
            </w:pPr>
            <w:r>
              <w:rPr>
                <w:rFonts w:ascii="Arial" w:cs="Arial" w:eastAsia="Arial" w:hAnsi="Arial"/>
                <w:sz w:val="18"/>
                <w:szCs w:val="18"/>
                <w:color w:val="auto"/>
              </w:rPr>
              <w:t>(c)</w:t>
            </w:r>
          </w:p>
        </w:tc>
        <w:tc>
          <w:tcPr>
            <w:tcW w:w="19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9300" w:type="dxa"/>
            <w:vAlign w:val="bottom"/>
          </w:tcPr>
          <w:p>
            <w:pPr>
              <w:spacing w:after="0"/>
              <w:rPr>
                <w:sz w:val="20"/>
                <w:szCs w:val="20"/>
                <w:color w:val="auto"/>
              </w:rPr>
            </w:pPr>
            <w:r>
              <w:rPr>
                <w:rFonts w:ascii="Arial" w:cs="Arial" w:eastAsia="Arial" w:hAnsi="Arial"/>
                <w:sz w:val="18"/>
                <w:szCs w:val="18"/>
                <w:color w:val="auto"/>
              </w:rPr>
              <w:t>Section 317(a) (1)</w:t>
            </w:r>
          </w:p>
        </w:tc>
        <w:tc>
          <w:tcPr>
            <w:tcW w:w="19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9300" w:type="dxa"/>
            <w:vAlign w:val="bottom"/>
          </w:tcPr>
          <w:p>
            <w:pPr>
              <w:spacing w:after="0"/>
              <w:rPr>
                <w:sz w:val="20"/>
                <w:szCs w:val="20"/>
                <w:color w:val="auto"/>
              </w:rPr>
            </w:pPr>
            <w:r>
              <w:rPr>
                <w:rFonts w:ascii="Arial" w:cs="Arial" w:eastAsia="Arial" w:hAnsi="Arial"/>
                <w:sz w:val="18"/>
                <w:szCs w:val="18"/>
                <w:color w:val="auto"/>
              </w:rPr>
              <w:t>(a)(2)</w:t>
            </w:r>
          </w:p>
        </w:tc>
        <w:tc>
          <w:tcPr>
            <w:tcW w:w="19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9300" w:type="dxa"/>
            <w:vAlign w:val="bottom"/>
          </w:tcPr>
          <w:p>
            <w:pPr>
              <w:spacing w:after="0"/>
              <w:rPr>
                <w:sz w:val="20"/>
                <w:szCs w:val="20"/>
                <w:color w:val="auto"/>
              </w:rPr>
            </w:pPr>
            <w:r>
              <w:rPr>
                <w:rFonts w:ascii="Arial" w:cs="Arial" w:eastAsia="Arial" w:hAnsi="Arial"/>
                <w:sz w:val="18"/>
                <w:szCs w:val="18"/>
                <w:color w:val="auto"/>
              </w:rPr>
              <w:t>(b)</w:t>
            </w:r>
          </w:p>
        </w:tc>
        <w:tc>
          <w:tcPr>
            <w:tcW w:w="194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30"/>
        </w:trPr>
        <w:tc>
          <w:tcPr>
            <w:tcW w:w="9300" w:type="dxa"/>
            <w:vAlign w:val="bottom"/>
          </w:tcPr>
          <w:p>
            <w:pPr>
              <w:spacing w:after="0"/>
              <w:rPr>
                <w:sz w:val="20"/>
                <w:szCs w:val="20"/>
                <w:color w:val="auto"/>
              </w:rPr>
            </w:pPr>
            <w:r>
              <w:rPr>
                <w:rFonts w:ascii="Arial" w:cs="Arial" w:eastAsia="Arial" w:hAnsi="Arial"/>
                <w:sz w:val="18"/>
                <w:szCs w:val="18"/>
                <w:color w:val="auto"/>
              </w:rPr>
              <w:t>Section 318(a)</w:t>
            </w:r>
          </w:p>
        </w:tc>
        <w:tc>
          <w:tcPr>
            <w:tcW w:w="1940" w:type="dxa"/>
            <w:vAlign w:val="bottom"/>
          </w:tcPr>
          <w:p>
            <w:pPr>
              <w:jc w:val="right"/>
              <w:spacing w:after="0"/>
              <w:rPr>
                <w:sz w:val="20"/>
                <w:szCs w:val="20"/>
                <w:color w:val="auto"/>
              </w:rPr>
            </w:pPr>
            <w:r>
              <w:rPr>
                <w:rFonts w:ascii="Arial" w:cs="Arial" w:eastAsia="Arial" w:hAnsi="Arial"/>
                <w:sz w:val="18"/>
                <w:szCs w:val="18"/>
                <w:color w:val="auto"/>
              </w:rPr>
              <w:t>1.7</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This reconciliation and tie shall not, for any purpose, be deemed to be a part of the Indenture.</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0" w:name="page41"/>
    <w:bookmarkEnd w:id="40"/>
    <w:p>
      <w:pPr>
        <w:jc w:val="both"/>
        <w:ind w:firstLine="648"/>
        <w:spacing w:after="0" w:line="263" w:lineRule="auto"/>
        <w:rPr>
          <w:sz w:val="20"/>
          <w:szCs w:val="20"/>
          <w:color w:val="auto"/>
        </w:rPr>
      </w:pPr>
      <w:r>
        <w:rPr>
          <w:rFonts w:ascii="Arial" w:cs="Arial" w:eastAsia="Arial" w:hAnsi="Arial"/>
          <w:sz w:val="18"/>
          <w:szCs w:val="18"/>
          <w:color w:val="auto"/>
        </w:rPr>
        <w:t>INDENTURE, dated as of April 20, 2021, between HARROW HEALTH, INC., a corporation duly organized and existing under the laws of the State of Delaware (herein called the “Company”), having its principal executive office at 102 Woodmont Blvd., Suite 610, Nashville, TN 32705 and U.S. Bank National Association, as Trustee (herein called the “Trustee”).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 OF THE COMPANY</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Company has duly authorized the execution and delivery of this Indenture to provide for the issuance from time to time of its unsecured debentures, notes or other evidences of indebtedness (herein called the “Securities”), to be issued in one or more series as provided in this Indenture.</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things necessary to make this Indenture a valid agreement of the Company, in accordance with its terms, have been done.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NOW, THEREFORE, THIS INDENTURE WITNESSETH:</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and in consideration of the premises and the purchase of the Securities by the Holders thereof, it is mutually covenanted and agreed, for the equal and proportionate benefit of all Holders of the Securities or of series thereof appertaining,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AND OTHER PROVISIONS OF GENERAL APPLICATION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Definitions.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all purposes of this Indenture, except as otherwise expressly provided or unless the context otherwise requires:</w:t>
      </w:r>
    </w:p>
    <w:p>
      <w:pPr>
        <w:spacing w:after="0" w:line="225" w:lineRule="exact"/>
        <w:rPr>
          <w:sz w:val="20"/>
          <w:szCs w:val="20"/>
          <w:color w:val="auto"/>
        </w:rPr>
      </w:pPr>
    </w:p>
    <w:p>
      <w:pPr>
        <w:ind w:left="1820" w:hanging="516"/>
        <w:spacing w:after="0"/>
        <w:tabs>
          <w:tab w:leader="none" w:pos="18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terms defined in this Article have the meanings assigned to them in this Article and include the plural as well as the singular;</w:t>
      </w:r>
    </w:p>
    <w:p>
      <w:pPr>
        <w:spacing w:after="0" w:line="248" w:lineRule="exact"/>
        <w:rPr>
          <w:rFonts w:ascii="Arial" w:cs="Arial" w:eastAsia="Arial" w:hAnsi="Arial"/>
          <w:sz w:val="16"/>
          <w:szCs w:val="16"/>
          <w:color w:val="auto"/>
        </w:rPr>
      </w:pPr>
    </w:p>
    <w:p>
      <w:pPr>
        <w:ind w:left="660" w:firstLine="644"/>
        <w:spacing w:after="0" w:line="277" w:lineRule="auto"/>
        <w:tabs>
          <w:tab w:leader="none" w:pos="1846"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 other terms used herein which are defined in the Trust Indenture Act, either directly or by reference therein, have the meanings assigned to them therein;</w:t>
      </w:r>
    </w:p>
    <w:p>
      <w:pPr>
        <w:spacing w:after="0" w:line="170" w:lineRule="exact"/>
        <w:rPr>
          <w:rFonts w:ascii="Arial" w:cs="Arial" w:eastAsia="Arial" w:hAnsi="Arial"/>
          <w:sz w:val="18"/>
          <w:szCs w:val="18"/>
          <w:color w:val="auto"/>
        </w:rPr>
      </w:pPr>
    </w:p>
    <w:p>
      <w:pPr>
        <w:jc w:val="both"/>
        <w:ind w:left="660" w:firstLine="644"/>
        <w:spacing w:after="0" w:line="259" w:lineRule="auto"/>
        <w:tabs>
          <w:tab w:leader="none" w:pos="19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 accounting terms not otherwise defined herein have the meanings assigned to them in accordance with generally accepted accounting principles in the United States of America, and, except as otherwise herein expressly provided, the term “generally accepted accounting principles” with respect to any computation required or permitted hereunder shall mean such accounting principles in the United States of America as are generally accepted at the date of such computation;</w:t>
      </w:r>
    </w:p>
    <w:p>
      <w:pPr>
        <w:spacing w:after="0" w:line="186" w:lineRule="exact"/>
        <w:rPr>
          <w:rFonts w:ascii="Arial" w:cs="Arial" w:eastAsia="Arial" w:hAnsi="Arial"/>
          <w:sz w:val="18"/>
          <w:szCs w:val="18"/>
          <w:color w:val="auto"/>
        </w:rPr>
      </w:pPr>
    </w:p>
    <w:p>
      <w:pPr>
        <w:ind w:left="1820" w:hanging="516"/>
        <w:spacing w:after="0"/>
        <w:tabs>
          <w:tab w:leader="none" w:pos="1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 references to “$” refer to the lawful currency of the United States of America;</w:t>
      </w:r>
    </w:p>
    <w:p>
      <w:pPr>
        <w:spacing w:after="0" w:line="225" w:lineRule="exact"/>
        <w:rPr>
          <w:rFonts w:ascii="Arial" w:cs="Arial" w:eastAsia="Arial" w:hAnsi="Arial"/>
          <w:sz w:val="18"/>
          <w:szCs w:val="18"/>
          <w:color w:val="auto"/>
        </w:rPr>
      </w:pPr>
    </w:p>
    <w:p>
      <w:pPr>
        <w:ind w:left="660" w:firstLine="644"/>
        <w:spacing w:after="0" w:line="277" w:lineRule="auto"/>
        <w:tabs>
          <w:tab w:leader="none" w:pos="1833" w:val="left"/>
        </w:tabs>
        <w:numPr>
          <w:ilvl w:val="0"/>
          <w:numId w:val="38"/>
        </w:numPr>
        <w:rPr>
          <w:rFonts w:ascii="Arial" w:cs="Arial" w:eastAsia="Arial" w:hAnsi="Arial"/>
          <w:sz w:val="18"/>
          <w:szCs w:val="18"/>
          <w:color w:val="auto"/>
        </w:rPr>
      </w:pPr>
      <w:r>
        <w:rPr>
          <w:rFonts w:ascii="Arial" w:cs="Arial" w:eastAsia="Arial" w:hAnsi="Arial"/>
          <w:sz w:val="18"/>
          <w:szCs w:val="18"/>
          <w:color w:val="auto"/>
        </w:rPr>
        <w:t>unless the context otherwise requires, any reference to an “Article” or a “Section” refers to an Article or a Section, as the case may be, of this Indenture; and</w:t>
      </w:r>
    </w:p>
    <w:p>
      <w:pPr>
        <w:spacing w:after="0" w:line="170" w:lineRule="exact"/>
        <w:rPr>
          <w:rFonts w:ascii="Arial" w:cs="Arial" w:eastAsia="Arial" w:hAnsi="Arial"/>
          <w:sz w:val="18"/>
          <w:szCs w:val="18"/>
          <w:color w:val="auto"/>
        </w:rPr>
      </w:pPr>
    </w:p>
    <w:p>
      <w:pPr>
        <w:ind w:left="660" w:firstLine="644"/>
        <w:spacing w:after="0" w:line="277" w:lineRule="auto"/>
        <w:tabs>
          <w:tab w:leader="none" w:pos="1872"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words “herein,” “hereof” and “hereunder” and other words of similar import refer to this Indenture as a whole and not to any particular Article, Section or other subdivision.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“Act,” when used with respect to any Holder, has the meaning specified in Section 1.4. “Additional Interest” has the meaning specified in Section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5.2(b).</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“Affiliate” of any specified Person means any other Person directly or indirectly controlling or controlled by or under direct or indirect common control with such specified Person.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1" w:name="page42"/>
    <w:bookmarkEnd w:id="41"/>
    <w:p>
      <w:pPr>
        <w:jc w:val="both"/>
        <w:ind w:firstLine="648"/>
        <w:spacing w:after="0" w:line="277" w:lineRule="auto"/>
        <w:rPr>
          <w:sz w:val="20"/>
          <w:szCs w:val="20"/>
          <w:color w:val="auto"/>
        </w:rPr>
      </w:pPr>
      <w:r>
        <w:rPr>
          <w:rFonts w:ascii="Arial" w:cs="Arial" w:eastAsia="Arial" w:hAnsi="Arial"/>
          <w:sz w:val="18"/>
          <w:szCs w:val="18"/>
          <w:color w:val="auto"/>
        </w:rPr>
        <w:t>“Authenticating Agent” means any Person authorized by the Trustee pursuant to Section 6.14 to act on behalf of the Trustee to authenticate Securities of one or more series.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“Board of Directors” means either the board of directors of the Company or any duly authorized committee of that board empowered to act for it with respect to this Indenture.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“Board Resolution” means a copy of a resolution certified by the Secretary or an Assistant Secretary of the Company to have been duly adopted by the Board of Directors and to be in full force and effect on the date of such certification, and delivered to the Trustee.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“Business Day,” when used with respect to any Place of Payment, means each Monday, Tuesday, Wednesday, Thursday and Friday which is not a day on which banking institutions in that Place of Payment are authorized or obligated by law or executive order to close.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“Commission” means the Securities and Exchange Commission,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spacing w:after="0" w:line="18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“Common Stock” includes any stock of any class of the Company which has no preference in respect of dividends or of amounts payable in the event of any voluntary or involuntary liquidation, dissolution or winding-up of the Company and which is not subject to redemption by the Company; provided, however, subject to the provisions of Section 14.9, shares issuable upon conversion of Securities shall include only shares of the class designated as Common Stock of the Company at the date of this Indenture or shares of any class or classes resulting from any reclassification or reclassifications thereof and which have no preference in respect of dividends or of amounts payable in the event of any voluntary or involuntary liquidation, dissolution or winding-up of the Company and which are not subject to redemption by the Company; provided, further, that if at any time there shall be more than one such resulting class, the shares of each such class then so issuable shall be substantially in the proportion which the total number of shares of such class resulting from all such reclassifications bears to the total number of shares of all such classes resulting from all such reclassifications.</w:t>
      </w:r>
    </w:p>
    <w:p>
      <w:pPr>
        <w:spacing w:after="0" w:line="16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“Company” means the corporation named as the “Company” in the first paragraph of this instrument until a successor Person shall have become such pursuant to the applicable provisions of this Indenture, and thereafter “Company” shall mean such successor Person.</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“Company Request” or “Company Order” means a written request or order signed in the name of the Company by its Chairman of the Board, its Vice Chairman of the Board, its Chief Executive Officer, its President or a Vice President, and by its principal financial officer, its Treasurer, an Assistant Treasurer, its Secretary or an Assistant Secretary, and delivered to the Trustee.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“Constituent Person” has the meaning specified in Section 14.9.</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“Corporate Trust Office” means the corporate trust office of the Trustee at U.S. Bank National Association, Corporate Trust Services, 333 Commerce Street, Suite 800, Nashville, Tennessee 37201, Attention: Wally Jones, or such other office, designated by the Trustee by written notice to the Company, at which at any particular time its corporate trust business shall be administered.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“corporation” means a corporation, association, company, joint-stock company or business trust.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“Covenant Defeasance” has the meaning specified in Section 13.3.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2" w:name="page43"/>
    <w:bookmarkEnd w:id="42"/>
    <w:p>
      <w:pPr>
        <w:ind w:left="660"/>
        <w:spacing w:after="0"/>
        <w:rPr>
          <w:sz w:val="20"/>
          <w:szCs w:val="20"/>
          <w:color w:val="auto"/>
        </w:rPr>
      </w:pPr>
      <w:r>
        <w:rPr>
          <w:rFonts w:ascii="Arial" w:cs="Arial" w:eastAsia="Arial" w:hAnsi="Arial"/>
          <w:sz w:val="18"/>
          <w:szCs w:val="18"/>
          <w:color w:val="auto"/>
        </w:rPr>
        <w:t>“Defaulted Interest” has the meaning specified in Section 3.7.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“Defeasance” has the meaning specified in Section 13.2.</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“Depositary” means, with respect to Securities of any series issuable in whole or in part in the form of one or more Global Securities, a clearing agency registered under the Exchange Act that is designated to act as Depositary for such Securities as contemplated by Section 3.1.</w:t>
      </w:r>
    </w:p>
    <w:p>
      <w:pPr>
        <w:spacing w:after="0" w:line="14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“euro” or “euros” means the currency adopted by those nations participating in the third stage of the economic and monetary union provisions of the Treaty on European Union, signed at Maastricht on February 7, 1992.</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“European Economic Area” means the member nations of the European Economic Area pursuant to the Oporto Agreement on the European Economic Area dated May 2, 1992, as amended.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“European Union” means the member nations of the European Union established by the Treaty of European Union, signed at Maastricht on February 7, 1992, which amended the Treaty of Rome establishing the European Community.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“Event of Default” has the meaning specified in Section 5.1.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“Exchange Act” means the Securities Exchange Act of 1934 and any statute successor thereto, in each case as amended from time to time.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“Expiration Date” has the meaning specified in Section 1.4.</w:t>
      </w:r>
    </w:p>
    <w:p>
      <w:pPr>
        <w:spacing w:after="0" w:line="21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“Foreign Government Obligation” means with respect to Securities of any series which are not denominated in the currency of the United States of America (x) any security which is (i) a direct obligation of the government which issued or caused to be issued the currency in which such security is denominated and for the payment of which obligations its full faith and credit is pledged or, with respect to Securities of any series which are denominated in euros, a direct obligation of any member nation of the European Union for the payment of which obligation the full faith and credit of the respective nation is pledged so long as such nation has a credit rating at least equal to that of the highest rated member nation of the European Economic Area, or (ii) an obligation of a Person controlled or supervised by and acting as an agency or instrumentality of a government specified in clause (i) above the payment of which is unconditionally guaranteed as a full faith and credit obligation by the such government, which, in either case (i) or (ii), is not callable or redeemable at the option of the issuer thereof, and (y) any depositary receipt issued by a bank (as defined in Section 3(a)(2) of the Securities Act) as custodian with respect to any Foreign Government Obligation which is specified in clause (x) above and held by such bank for the account of the holder of such depositary receipt, or with respect to any specific payment of principal of or interest on any Foreign Government Obligation which is so specified and held, provided that (except as required by law) such custodian is not authorized to make any deduction from the amount payable to the holder of such depositary receipt from any amount received by the custodian in respect of the Foreign Government Obligation or the specific payment of principal or interest evidenced by such depositary receipt.</w:t>
      </w:r>
    </w:p>
    <w:p>
      <w:pPr>
        <w:spacing w:after="0" w:line="18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“Global Security” means a Security that evidences all or part of the Securities of any series and bears the legend set forth in Section 2.4 (or such legend as may be specified as contemplated by Section 3.1 for such Securities).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“Holder” means a Person in whose name a Security is registered in the Security Register.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3" w:name="page44"/>
    <w:bookmarkEnd w:id="43"/>
    <w:p>
      <w:pPr>
        <w:jc w:val="both"/>
        <w:ind w:firstLine="648"/>
        <w:spacing w:after="0" w:line="286" w:lineRule="auto"/>
        <w:rPr>
          <w:sz w:val="20"/>
          <w:szCs w:val="20"/>
          <w:color w:val="auto"/>
        </w:rPr>
      </w:pPr>
      <w:r>
        <w:rPr>
          <w:rFonts w:ascii="Arial" w:cs="Arial" w:eastAsia="Arial" w:hAnsi="Arial"/>
          <w:sz w:val="16"/>
          <w:szCs w:val="16"/>
          <w:color w:val="auto"/>
        </w:rPr>
        <w:t xml:space="preserve">“Indenture” means this instrument as originally executed and as it may from time to time be supplemented or amended by one or more indentures supplemental hereto entered into pursuant to the applicable provisions hereof, including, for all purposes of this instrument and any such supplemental indenture, the provisions of the Trust Indenture Act that are deemed to be a part of and govern this instrument and any such supplemental indenture, respectively. The term “Indenture” shall also include the terms of particular series of Securities established as contemplated by Section 3.1;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at any time more than one Person is acting as Trustee under this Indenture due to the appointment of one or more separate Trustees for any one or more separate series of Securities, “Indenture” shall mean, with respect to such series of Securities for which any such Person is Trustee, this instrument as originally executed or as it may from time to time be supplemented or amended by one or more indentures supplemental hereto entered into pursuant to the applicable provisions hereof and shall include the terms of particular series of Securities for which such Person is Trustee established as contemplated by Section 3. 1, exclusive, however, of any provisions or terms which relate solely to other series of Securities for which such Person is not Trustee, regardless of when such terms or provisions were adopted, and exclusive of any provisions or terms adopted by means of one or more indentures supplemental hereto executed and delivered after such Person had become such Trustee, but to which such person, as such Trustee, was not a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in the event that this Indenture is supplemented or amended by one or more indentures supplemental hereto which are only applicable to certain series of Securities, the term “Indenture” for a particular series of Securities shall only include the supplemental indentures applicable thereto.</w:t>
      </w:r>
    </w:p>
    <w:p>
      <w:pPr>
        <w:spacing w:after="0" w:line="17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“interest,” when used with respect to an Original Issue Discount Security, which by its terms bears interest only after Maturity, means interest payable after Maturity.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“Interest Payment Date,” when used with respect to any Security, means the Stated Maturity of an installment of interest on such Security.</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“Investment Company Act” means the Investment Company Act of 1940 and any statute successor thereto, in each case as amended from time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“Maturity,” when used with respect to any Security, means the date on which the principal of such Security or an installment of principal becomes due and payable as therein or herein provided, whether at the Stated Maturity or by declaration of acceleration, repurchase at the option of the Holder, upon redemption or otherwise.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“Non-electing Share” has the meaning specified in Section 14.9.</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“Notice of Default” means a written notice of the kind specified in Section 5.1(4).</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“Officers’ Certificate” means a certificate signed by the Chairman of the Board, a Vice Chairman of the Board, the Chief Executive Officer, the President or a Vice President, and by the principal financial officer, the Treasurer, an Assistant Treasurer, the Secretary or an Assistant Secretary, of the Company, and delivered to the Trustee. One of the officers signing an Officers’ Certificate given pursuant to Section 10.4 shall be the principal executive, financial or accounting officer of the Company.</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“Opinion of Counsel” means a written opinion from legal counsel counsel reasonably acceptable to Trustee, which meets the requirements of Section 1.02.</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“Original Issue Discount Security” means any Security that provides for an amount less than the principal amount thereof to be due and payable upon a declaration of acceleration of the Maturity thereof pursuant to Section 5.2.</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“Outstanding,” when used with respect to Securities, means, as of the date of determination, all Securities theretofore authenticated and delivered under this Indenture, except</w:t>
      </w:r>
    </w:p>
    <w:p>
      <w:pPr>
        <w:spacing w:after="0" w:line="170" w:lineRule="exact"/>
        <w:rPr>
          <w:sz w:val="20"/>
          <w:szCs w:val="20"/>
          <w:color w:val="auto"/>
        </w:rPr>
      </w:pPr>
    </w:p>
    <w:p>
      <w:pPr>
        <w:ind w:left="1240" w:hanging="260"/>
        <w:spacing w:after="0"/>
        <w:tabs>
          <w:tab w:leader="none" w:pos="12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Securities theretofore canceled by the Trustee or delivered to the Trustee for cancellation;</w:t>
      </w:r>
    </w:p>
    <w:p>
      <w:pPr>
        <w:spacing w:after="0" w:line="225" w:lineRule="exact"/>
        <w:rPr>
          <w:rFonts w:ascii="Arial" w:cs="Arial" w:eastAsia="Arial" w:hAnsi="Arial"/>
          <w:sz w:val="18"/>
          <w:szCs w:val="18"/>
          <w:color w:val="auto"/>
        </w:rPr>
      </w:pPr>
    </w:p>
    <w:p>
      <w:pPr>
        <w:jc w:val="both"/>
        <w:ind w:left="660" w:firstLine="320"/>
        <w:spacing w:after="0" w:line="259" w:lineRule="auto"/>
        <w:tabs>
          <w:tab w:leader="none" w:pos="1239"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Securities for whose payment or redemption money in the necessary amount has been theretofore deposited with the Trustee or any Paying Agent (other than the Company) in trust or set aside and segregated in trust by the Company (if the Company shall act as its own Paying Agent) for the Holders of such Securities;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Securities are to be redeemed, notice of such redemption has been duly given pursuant to this Indenture or provision therefor satisfactory to the Trustee has been made;</w:t>
      </w:r>
    </w:p>
    <w:p>
      <w:pPr>
        <w:spacing w:after="0" w:line="186" w:lineRule="exact"/>
        <w:rPr>
          <w:rFonts w:ascii="Arial" w:cs="Arial" w:eastAsia="Arial" w:hAnsi="Arial"/>
          <w:sz w:val="18"/>
          <w:szCs w:val="18"/>
          <w:color w:val="auto"/>
        </w:rPr>
      </w:pPr>
    </w:p>
    <w:p>
      <w:pPr>
        <w:ind w:left="1240" w:hanging="260"/>
        <w:spacing w:after="0"/>
        <w:tabs>
          <w:tab w:leader="none" w:pos="12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Securities as to which Defeasance has been effected pursuant to Section 13.2;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4" w:name="page45"/>
    <w:bookmarkEnd w:id="44"/>
    <w:p>
      <w:pPr>
        <w:jc w:val="both"/>
        <w:ind w:left="660" w:firstLine="320"/>
        <w:spacing w:after="0" w:line="311" w:lineRule="auto"/>
        <w:tabs>
          <w:tab w:leader="none" w:pos="1239" w:val="left"/>
        </w:tabs>
        <w:numPr>
          <w:ilvl w:val="0"/>
          <w:numId w:val="40"/>
        </w:numPr>
        <w:rPr>
          <w:rFonts w:ascii="Arial" w:cs="Arial" w:eastAsia="Arial" w:hAnsi="Arial"/>
          <w:sz w:val="16"/>
          <w:szCs w:val="16"/>
          <w:color w:val="auto"/>
        </w:rPr>
      </w:pPr>
      <w:r>
        <w:rPr>
          <w:rFonts w:ascii="Arial" w:cs="Arial" w:eastAsia="Arial" w:hAnsi="Arial"/>
          <w:sz w:val="16"/>
          <w:szCs w:val="16"/>
          <w:color w:val="auto"/>
        </w:rPr>
        <w:t>Securities which have been paid pursuant to Section 3.6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bona fide purchaser in whose hands such Securities are valid obligations of the Company; and</w:t>
      </w:r>
    </w:p>
    <w:p>
      <w:pPr>
        <w:spacing w:after="0" w:line="148" w:lineRule="exact"/>
        <w:rPr>
          <w:rFonts w:ascii="Arial" w:cs="Arial" w:eastAsia="Arial" w:hAnsi="Arial"/>
          <w:sz w:val="16"/>
          <w:szCs w:val="16"/>
          <w:color w:val="auto"/>
        </w:rPr>
      </w:pPr>
    </w:p>
    <w:p>
      <w:pPr>
        <w:ind w:left="660" w:firstLine="320"/>
        <w:spacing w:after="0" w:line="277" w:lineRule="auto"/>
        <w:tabs>
          <w:tab w:leader="none" w:pos="1241"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Securities converted or exchanged as contemplated by this Indenture into Capital Stock or other securities or property, if the terms of such Security provide for such conversion or exchange pursuant to Section 3.1;</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determining whether the Holders of the requisite principal amount of the Outstanding Securities have given, made or taken any request, demand, authorization, direction, notice, consent, waiver or other action hereunder as of any date, (A) the principal amount of an Original Issue Discount Security which shall be deemed to be Outstanding shall be the amount of the principal thereof which would be due and payable as of such date upon acceleration of the Maturity thereof to such date pursuant to Section 5.2, (B) if, as of such date, the principal amount payable at the Stated Maturity of a Security is not determinable, the principal amount of such Security which shall be deemed to be Outstanding shall be the amount as specified or determined as contemplated by Section 3. 1, (C) the principal amount of a Security denominated in one or more non-U.S. dollar currencies or currency units which shall be deemed to be Outstanding shall be the U.S. dollar equivalent, determined as of such date in the manner provided as contemplated by Section 3. 1, of the principal amount of such Security (or, in the case of a Security described in clause (A) or (B) above, of the amount determined as provided in such clause), and (D) Securities owned by the Company or any other obligor upon the Securities or any Affiliate of the Company or of such other obligor shall be disregarded and deemed not to be Outstanding, except that, in determining whether the Trustee shall be protected in relying upon any such request, demand, authorization, direction, notice, consent, waiver or other action, only Securities which the Trustee knows to be so owned shall be so disregarded. Securities so owned which have been pledged in good faith may be regarded as Outstanding if the pledgee establishes to the satisfaction of the Trustee the pledgee’s right so to act with respect to such Securities and that the pledgee is not the Company or any other obligor upon the Securities or any Affiliate of the Company or of such other obligor.</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“Paying Agent” means any Person authorized by the Company to pay the principal of or any premium or interest on any Securities on behalf of the Company.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“Person” means any individual, corporation, limited liability company, partnership, joint venture, trust, unincorporated organization or government or any agency or political subdivision thereof.</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“Place of Payment,” when used with respect to the Securities of any series, means the place or places where the principal of and any premium and interest on the Securities of that series are payable as specified as contemplated by Section 3.1.</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“Predecessor Security” of any particular Security means every previous Security evidencing all or a portion of the same debt as that evidenced by such particular Security; and, for the purposes of this definition, any Security authenticated and delivered under Section 3.6 in exchange for or in lieu of a mutilated, destroyed, lost or stolen Security shall be deemed to evidence the same debt as the mutilated, destroyed, lost or stolen Security.</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“Record Date” means any Regular Record Date or Special Record Date.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“Redemption Date,” when used with respect to any Security to be redeemed, means the date fixed for such redemption by or pursuant to this Indenture.</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“Redemption Price,” when used with respect to any Security to be redeemed, means the price at which it is to be redeemed pursuant to this Indenture.</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“Regular Record Date” for the interest payable on any Interest Payment Date on the Securities of any series means the date specified for that purpose as contemplated by Section 3.1.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5" w:name="page46"/>
    <w:bookmarkEnd w:id="45"/>
    <w:p>
      <w:pPr>
        <w:ind w:left="660"/>
        <w:spacing w:after="0"/>
        <w:rPr>
          <w:sz w:val="20"/>
          <w:szCs w:val="20"/>
          <w:color w:val="auto"/>
        </w:rPr>
      </w:pPr>
      <w:r>
        <w:rPr>
          <w:rFonts w:ascii="Arial" w:cs="Arial" w:eastAsia="Arial" w:hAnsi="Arial"/>
          <w:sz w:val="18"/>
          <w:szCs w:val="18"/>
          <w:color w:val="auto"/>
        </w:rPr>
        <w:t>“Reporting Default” has the meaning specified in Section 5.2(b).</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“Responsible Officer” means, when used with respect to the Trustee, an officer of the Trustee in the Corporate Trust Office assigned and duly authorized by the Trustee to administer its corporate trust matters.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“Securities” has the meaning stated in the first recital of this Indenture and more particularly means any Securities authenticated and delivered under this Indenture.</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“Securities Act” means the Securities Act of 1933 and any statute successor thereto, in each case as amended from time to time. “Security Register” and “Security Registrar” have the respective meanings specified in Section 3.5.</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“Special Record Date” for the payment of any Defaulted Interest means a date fixed by the Trustee pursuant to Section 3.7.</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“Stated Maturity,” when used with respect to any Security or any installment of principal thereof or interest thereon, means the date specified in such Security as the fixed date on which the principal of such Security or such installment of principal or interest is due and payable.</w:t>
      </w:r>
    </w:p>
    <w:p>
      <w:pPr>
        <w:spacing w:after="0" w:line="14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“Subsidiary” means a Person of which at least a majority of the outstanding voting stock having the power to elect a majority of the board of directors of such Person (in the case of a corporation) is, or of which at least a majority of the equity interests (in the case of a Person which is not a corporation) are, at the time owned, directly or indirectly, by the Company or by one or more other Subsidiaries, or by the Company and one or more other Subsidiaries. For the purposes of this definition, “voting stock” means stock or similar interests to the Company which ordinarily has or have voting power for the election of directors, or persons performing similar functions, whether at all times or only so long as no senior class of stock or other interests has or have such voting power by reason of any contingency.</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“Trust Indenture Act” means the Trust Indenture Act of 1939 as in force at the date as of which this instrument was executed;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event the Trust Indenture Act of 1939 is amended after such date, “Trust Indenture Act” means, to the extent required by any such amendment, the Trust Indenture Act of 1939 as so amended.</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“Trustee”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“U.S. Government Obligation” means (x) any security which is (i) a direct obligation of the United States of America for the payment of which the full faith and credit of the United States of America is pledged or (ii) an obligation of a Person controlled or supervised by and acting as an agency or instrumentality of the United States of America the payment of which is unconditionally guaranteed as a full faith and credit obligation by the United States of America, which, in either case (i) or (ii), is not callable or redeemable at the option of the issuer thereof, and (y) any depositary receipt issued by a bank (as defined in Section 3(a)(2) of the Securities Act) as custodian with respect to any U.S. Government Obligation which is specified in clause (x) above and held by such bank for the account of the holder of such depositary receipt, or with respect to any specific payment of principal of or interest on any U.S. Government Obligation which is so specified and held,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(except as required by law) such custodian is not authorized to make any deduction from the amount payable to the holder of such depositary receipt from any amount received by the custodian in respect of the U.S. Government Obligation or the specific payment of principal or interest evidenced by such depositary receipt.</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“Vice President,” when used with respect to the Company or the Trustee, means any vice president, whether or not designated by a number or a word or words added before or after the title “vice president.”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Section 1.2 Compliance Certificates and Opinions.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Upon any application or request by the Company to the Trustee to take any action under any provision of this Indenture, the Company shall furnish to the Trustee such certificates and opinions as may be required under the Trust Indenture Act. Each such certificate or opinion shall be given in the form of an Officers’ Certificate, if to be given by an officer of the Company, or an Opinion of Counsel, if to be given by counsel, and shall comply with the requirements of the Trust Indenture Act and any other requirements set forth in this Indenture.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Every certificate or opinion with respect to compliance with a condition or covenant provided for in this Indenture shall include,</w:t>
      </w:r>
    </w:p>
    <w:p>
      <w:pPr>
        <w:spacing w:after="0" w:line="225" w:lineRule="exact"/>
        <w:rPr>
          <w:sz w:val="20"/>
          <w:szCs w:val="20"/>
          <w:color w:val="auto"/>
        </w:rPr>
      </w:pPr>
    </w:p>
    <w:p>
      <w:pPr>
        <w:ind w:left="1240" w:hanging="260"/>
        <w:spacing w:after="0"/>
        <w:tabs>
          <w:tab w:leader="none" w:pos="12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 statement that each individual signing such certificate or opinion has read such covenant or condition and the definitions herein relating</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thereto;</w:t>
      </w:r>
    </w:p>
    <w:p>
      <w:pPr>
        <w:spacing w:after="0" w:line="210" w:lineRule="exact"/>
        <w:rPr>
          <w:rFonts w:ascii="Arial" w:cs="Arial" w:eastAsia="Arial" w:hAnsi="Arial"/>
          <w:sz w:val="16"/>
          <w:szCs w:val="16"/>
          <w:color w:val="auto"/>
        </w:rPr>
      </w:pPr>
    </w:p>
    <w:p>
      <w:pPr>
        <w:ind w:left="660" w:firstLine="320"/>
        <w:spacing w:after="0" w:line="277" w:lineRule="auto"/>
        <w:tabs>
          <w:tab w:leader="none" w:pos="1248"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170" w:lineRule="exact"/>
        <w:rPr>
          <w:rFonts w:ascii="Arial" w:cs="Arial" w:eastAsia="Arial" w:hAnsi="Arial"/>
          <w:sz w:val="18"/>
          <w:szCs w:val="18"/>
          <w:color w:val="auto"/>
        </w:rPr>
      </w:pPr>
    </w:p>
    <w:p>
      <w:pPr>
        <w:ind w:left="660" w:firstLine="320"/>
        <w:spacing w:after="0" w:line="308" w:lineRule="auto"/>
        <w:tabs>
          <w:tab w:leader="none" w:pos="1239" w:val="left"/>
        </w:tabs>
        <w:numPr>
          <w:ilvl w:val="0"/>
          <w:numId w:val="41"/>
        </w:numPr>
        <w:rPr>
          <w:rFonts w:ascii="Arial" w:cs="Arial" w:eastAsia="Arial" w:hAnsi="Arial"/>
          <w:sz w:val="17"/>
          <w:szCs w:val="17"/>
          <w:color w:val="auto"/>
        </w:rPr>
      </w:pPr>
      <w:r>
        <w:rPr>
          <w:rFonts w:ascii="Arial" w:cs="Arial" w:eastAsia="Arial" w:hAnsi="Arial"/>
          <w:sz w:val="17"/>
          <w:szCs w:val="17"/>
          <w:color w:val="auto"/>
        </w:rPr>
        <w:t>a statement that, in the opinion of each such individual, he or she has made such examination or investigation as is necessary to enable him or her to express an informed opinion as to whether or not such covenant or condition has been complied with; and</w:t>
      </w:r>
    </w:p>
    <w:p>
      <w:pPr>
        <w:spacing w:after="0" w:line="146" w:lineRule="exact"/>
        <w:rPr>
          <w:rFonts w:ascii="Arial" w:cs="Arial" w:eastAsia="Arial" w:hAnsi="Arial"/>
          <w:sz w:val="17"/>
          <w:szCs w:val="17"/>
          <w:color w:val="auto"/>
        </w:rPr>
      </w:pPr>
    </w:p>
    <w:p>
      <w:pPr>
        <w:ind w:left="1240" w:hanging="260"/>
        <w:spacing w:after="0"/>
        <w:tabs>
          <w:tab w:leader="none" w:pos="12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statement as to whether, in the opinion of each such individual, such condition or covenant has been complied with.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 Form of Documents Delivered to Trustee.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Any certificate or opinion of an officer of the Company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or her certificate or opinion is based are erroneous. Any such certificate or opinion of counsel may be based, insofar as it relates to factual matters, upon a certificate or opinion of, or representations by, an officer or officers of the Company stating that the information with respect to such factual matters is in the possession of the Company, unless such counsel knows, or in the exercise of reasonable care should know, that the certificate or opinion or representations with respect to such matters are erroneous.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 Acts of Holders; Record Dates.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Any request, demand, authorization, direction, notice, consent, waiver or other action provided or permitted by this Indenture to be given, made or taken by Holders may be embodied in and evidenced by one or more instruments of substantially similar tenor signed by such Holders in person or by agent duly appointed in writing; and, except as herein otherwise expressly provided, such action shall become effective when such instrument or instruments are delivered to the Trustee and, where it is hereby expressly required, to the Company. The Trustee shall promptly deliver to the Company copies of all such instrument or instruments delivered to the Trustee. Such instrument or instruments (and the action embodied therein and evidenced thereby) are herein sometimes referred to as the “Act” of the Holders signing such instrument or instruments. Proof of execution of any such instrument or of a writing appointing any such agent shall be sufficient for any purpose of this Indenture and (subject to Section 6.1) conclusive in favor of the Trustee and the Company, if made in the manner provided in this Section.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7" w:name="page48"/>
    <w:bookmarkEnd w:id="47"/>
    <w:p>
      <w:pPr>
        <w:jc w:val="both"/>
        <w:ind w:firstLine="648"/>
        <w:spacing w:after="0" w:line="296" w:lineRule="auto"/>
        <w:rPr>
          <w:sz w:val="20"/>
          <w:szCs w:val="20"/>
          <w:color w:val="auto"/>
        </w:rPr>
      </w:pPr>
      <w:r>
        <w:rPr>
          <w:rFonts w:ascii="Arial" w:cs="Arial" w:eastAsia="Arial" w:hAnsi="Arial"/>
          <w:sz w:val="16"/>
          <w:szCs w:val="16"/>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or her the execution thereof. Where such execution is by a signer acting in a capacity other than his or her individual capacity, such certificate or affidavit shall also constitute sufficient proof of his or her authority. The fact and date of the execution of any such instrument or writing, or the authority of the Person executing the same, may also be proved in any other manner that the Trustee deems sufficient.</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ownership of Securities shall be proved by the Security Register.</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or the Company in reliance thereon, whether or not notation of such action is made upon such Security.</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The Company may set any day as a record date for the purpose of determining the Holders of Outstanding Securities of any series entitled to give, make or take any request, demand, authorization, direction, vote, notice, consent, waiver or other action provided or permitted by this Indenture to be given, made or taken by Holders of Securities of such series,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may not set a record date for, and the provisions of this paragraph shall not apply with respect to, the giving or making of any notice, declaration, request or direction referred to in the next paragraph. If any record date is set pursuant to this paragraph, the Holders of Outstanding Securities of the relevant series on such record date, and no other Holders, shall be entitled to take the relevant action, whether or not such Holders remain Holders after such record date; provided that no such action shall be effective hereunder unless taken on or prior to the applicable Expiration Date by Holders of the requisite principal amount of Outstanding Securities of such series on such record date. Nothing in this paragraph shall be construed to prevent the Company from setting a new record date for any action for which a record date has previously been set pursuant to this paragraph (whereupon the record date previously set shall automatically and with no action by any Person be canceled and of no effect), and nothing in this paragraph shall be construed to render ineffective any action taken by Holders of the requisite principal amount of Outstanding Securities of the relevant series on the date such action is taken. Promptly after any record date is set pursuant to this paragraph, the Company, at its own expense, shall cause notice of such record date, the proposed action by Holders and the applicable Expiration Date to be given to the Trustee in writing and to each Holder of Securities of the relevant series in the manner set forth in Section 1.6.</w:t>
      </w:r>
    </w:p>
    <w:p>
      <w:pPr>
        <w:spacing w:after="0" w:line="17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The Trustee may set any day as a record date for the purpose of determining the Holders of Outstanding Securities of any series entitled to join in the giving or making of (i) any Notice of Default, (ii) any declaration of acceleration referred to in Section 5.2, (iii) any request to institute proceedings referred to in Section 5.7(2) or (iv) any direction referred to in Section 5.12, in each case with respect to Securities of such series. If any record date is set pursuant to this paragraph, the Holders of Outstanding Securities of such series on such record date, and no other Holders, shall be entitled to join in such notice, declaration, request or direction, whether or not such Holders remain Holders after such record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action shall be effective hereunder unless taken on or prior to the applicable Expiration Date by Holders of the requisite principal amount of Outstanding Securities of such series on such record date. Nothing in this paragraph shall be construed to prevent the Trustee from setting a new record date for any action for which a record date has previously been set pursuant to this paragraph (whereupon the record date previously set shall automatically and with no action by any Person be canceled and of no effect), and nothing in this paragraph shall be construed to render ineffective any action taken by Holders of the requisite principal amount of Outstanding Securities of the relevant series on the date such action is taken. Promptly after any record date is set pursuant to this paragraph, the Trustee, at the Company’s expense, shall cause notice of such record date, the proposed action by Holders and the applicable Expiration Date to be given to the Company in writing and to each Holder of Securities of the relevant series in the manner set forth in Section 1.6.</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8" w:name="page49"/>
    <w:bookmarkEnd w:id="48"/>
    <w:p>
      <w:pPr>
        <w:jc w:val="both"/>
        <w:ind w:firstLine="648"/>
        <w:spacing w:after="0" w:line="272" w:lineRule="auto"/>
        <w:rPr>
          <w:sz w:val="20"/>
          <w:szCs w:val="20"/>
          <w:color w:val="auto"/>
        </w:rPr>
      </w:pPr>
      <w:r>
        <w:rPr>
          <w:rFonts w:ascii="Arial" w:cs="Arial" w:eastAsia="Arial" w:hAnsi="Arial"/>
          <w:sz w:val="17"/>
          <w:szCs w:val="17"/>
          <w:color w:val="auto"/>
        </w:rPr>
        <w:t xml:space="preserve">With respect to any record date set pursuant to this Section, the party hereto which sets such record dates may designate any day as the “Expiration Date” and from time to time may change the Expiration Date to any earlier or later day;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change shall be effective unless notice of the proposed new Expiration Date is given to the other party hereto in writing, and to each Holder of Securities of the relevant series in the manner set forth in Section 1.6, on or prior to the existing Expiration Date. If an Expiration Date is not designated with respect to any record date set pursuant to this Section, the party hereto which set such record date shall be deemed to have initially designated the 180th day after such record date as the Expiration Date with respect thereto, subject to its right to change the Expiration Date as provided in this paragraph. Notwithstanding the foregoing, no Expiration Date shall be later than the 180th day after the applicable record date.</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Without limiting the foregoing, a Holder entitled hereunder to take any action hereunder with regard to any particular Security may do so with regard to all or any part of the principal amount of such Security or by one or more duly appointed agents each of which may do so pursuant to such appointment with regard to all or any part of such principal amount.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1.5 Notices, etc., to Trustee and Company.</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Any request, demand, authorization, direction, notice, consent, waiver or Act of Holders or other document provided or permitted by this Indenture to be made upon, given or furnished to, or filed with,</w:t>
      </w:r>
    </w:p>
    <w:p>
      <w:pPr>
        <w:spacing w:after="0" w:line="170" w:lineRule="exact"/>
        <w:rPr>
          <w:sz w:val="20"/>
          <w:szCs w:val="20"/>
          <w:color w:val="auto"/>
        </w:rPr>
      </w:pPr>
    </w:p>
    <w:p>
      <w:pPr>
        <w:jc w:val="both"/>
        <w:ind w:left="660" w:firstLine="644"/>
        <w:spacing w:after="0" w:line="263" w:lineRule="auto"/>
        <w:tabs>
          <w:tab w:leader="none" w:pos="1859"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the Trustee by any Holder or by the Company shall be sufficient for every purpose hereunder if made, given, furnished or filed in writing (or by facsimile transmissions,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oral confirmation of receipt shall have been received) to or with the Trustee at its Corporate Trust Office, or</w:t>
      </w:r>
    </w:p>
    <w:p>
      <w:pPr>
        <w:spacing w:after="0" w:line="183" w:lineRule="exact"/>
        <w:rPr>
          <w:rFonts w:ascii="Arial" w:cs="Arial" w:eastAsia="Arial" w:hAnsi="Arial"/>
          <w:sz w:val="18"/>
          <w:szCs w:val="18"/>
          <w:color w:val="auto"/>
        </w:rPr>
      </w:pPr>
    </w:p>
    <w:p>
      <w:pPr>
        <w:jc w:val="both"/>
        <w:ind w:left="660" w:firstLine="644"/>
        <w:spacing w:after="0" w:line="259" w:lineRule="auto"/>
        <w:tabs>
          <w:tab w:leader="none" w:pos="1884"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Company by the Trustee or by any Holder shall be sufficient for every purpose hereunder (unless otherwise herein expressly provided) if in writing and mailed, first-class postage prepaid, personally delivered or sent via overnight courier to the Company addressed to it at the address of its principal office specified in the first paragraph of this instrument or at any other address previously furnished in writing to the Trustee by the Company, Attention: Chief Financial Officer.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 Notice to Holders; Waiver.</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Where this Indenture provides for notice to Holders of any event, such notice shall be sufficiently given (unless otherwise herein expressly provided) if in writing and mailed, first-class postage prepaid, or delivered by hand or overnight courier to each Holder affected by such event, at its address as it appears in the Security Register, not later than the latest date (if any), and not earlier than the earliest date (if any), prescribed for the giving of such notice. Neither the failure to mail or deliver by hand or overnight courier any notice, nor any defect in any notice so mailed or delivered by hand or overnight courier, to any particular Holder shall affect the sufficiency of such notice with respect to other Holders. Where this Indenture provides for notice in any manner, such notice may be waived in writing by the Person entitled to receive such notice, either before or after the event, and such waiver shall be the equivalent of such notice.</w:t>
      </w:r>
    </w:p>
    <w:p>
      <w:pPr>
        <w:spacing w:after="0" w:line="19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Waivers of notice by Holders shall be filed with the Trustee, but such filing shall not be a condition precedent to the validity of any action taken in reliance upon such waiver.</w:t>
      </w:r>
    </w:p>
    <w:p>
      <w:pPr>
        <w:spacing w:after="0" w:line="170"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In case by reason of the suspension of regular mail service or by reason of any other cause it shall be impracticable to give such notice by mail, then such notification as shall be made with the approval of the Trustee shall constitute a sufficient notification for every purpose hereunder.</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1.7 Conflict with Trust Indenture Act.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any provision hereof limits, qualifies or conflicts with a provision of the Trust Indenture Act that is required under the Trust Indenture Act to be a part of and govern this Indenture, the latter provision shall control. If any provision of this Indenture modifies or excludes any provision of the Trust Indenture Act, that may be so modified or excluded, the latter provision shall be deemed to apply to this Indenture as so modified or to be excluded, as the case may be.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Section 1.8 Effect of Headings and Table of Contents.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Article and Section headings herein and the Table of Contents are for convenience only and shall not affect the construction hereof.</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1.9 Successors and Assigns.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covenants and agreements in this Indenture by the Company shall bind its successors and assigns, whether so expressed or not.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1.10 Separability Clause.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case any provision in this Indenture or in the Securities shall be invalid, illegal or unenforceable, the validity, legality and enforceability of the remaining provisions shall not in any way be affected or impaired thereby.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1.11 Benefits of Indenture.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Nothing in this Indenture or in the Securities, express or implied, shall give to any Person, other than the parties hereto and their successors hereunder and the Holders, any benefit or any legal or equitable right, remedy or claim under this Indenture.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1.12 Governing Law.</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INDENTURE AND THE SECURITIES SHALL BE GOVERNED BY AND CONSTRUED IN ACCORDANCE WITH THE LAWS OF THE STATE OF NEW YORK.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1.13 Legal Holidays.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any case where any Interest Payment Date, Redemption Date or Stated Maturity of any Security or the last date on which a Holder has the right to convert a Security at a particular conversion price or conversion rate, as the case may be, shall not be a Business Day at any Place of Payment, then (notwithstanding any other provision of this Indenture or of the Securities (other than a provision of any Security which specifically states that such provision shall apply in lieu of this Section)) payment of interest or principal (and premium, if any) or, if applicable to a particular series of Securities, conversion need not be made at such Place of Payment on such date, but may be made on the next succeeding Business Day at such Place of Payment with the same force and effect as if made on the Interest Payment Date or Redemption Date, at the Stated Maturity or on such last day for conversion, provided that no interest shall accrue on the amount then payable for the period from and after such Interest Payment Date, Redemption Date, Stated Maturity or such last day for conversion, as the case may be.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1.14 Indenture and Securities Solely Corporate Obligations.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No recourse for the payment of the principal of or premium, if any, or interest on any Security, or for any claim based thereon or otherwise in respect thereof, and no recourse under or upon any obligation, covenant or agreement of the Company in this Indenture or in any supplemental indenture or in any Security, or because of the creation of any indebtedness represented thereby, shall be had against any incorporator, stockholder, employee, agent, officer, or director or subsidiary, as such, past, present or future, of the Company or of any successor corporation, either directly or through the Company or any successor corporation, whether by virtue of any constitution, statute or rule of law, or by the enforcement of any assessment or penalty or otherwise; it being expressly understood that all such liability is hereby expressly waived and released as a condition of, and as a consideration for, the execution of this Indenture and the issue of the Securities.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Section 1.15 Indenture May be Executed in Counterparts.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instrument may be executed in any number of counterparts, each of which shall be an original, but such counterparts shall together constitute but one and the same instrument. The exchange of copies of this Indenture and of signature pages by facsimile, PDF or other electronic transmission shall constitute effective execution and delivery of this Indenture as to the parties hereto and may be used in lieu of the original Indenture and signature pages for all purposes.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FORMS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2.1 Forms Generally.</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Securities of each series shall be in substantially the form set forth in this Article, or in such other form as shall be established by or pursuant to a Board Resolution or in one or more indentures supplemental hereto, in each case with such appropriate insertions, omissions, substitutions and other variations as are required or permitted by this Indenture, and may have such letters, numbers or other marks of identification and such legends or endorsements placed thereon as may be required to comply with the rules of any securities exchange or Depositary therefor or as may, consistently herewith, be determined by the officers executing such Securities, as evidenced by their execution thereof. If the form of Securities of any series is established by action taken pursuant to a Board Resolution, a copy of an appropriate record of such action shall be certified by the Secretary or an Assistant Secretary of the Company and delivered to the Trustee at or prior to the delivery of the Company Order contemplated by Section 3.3 for the authentication and delivery of such Securities. Any such Board Resolution or record of such action shall have attached thereto a true and correct copy of the form of Security referred to therein approved by or pursuant to such Board Resolution.</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definitive Securities shall be printed, lithographed or engraved on steel engraved borders or may be produced in any other manner, all as determined by the officers executing such Securities, as evidenced by their execution of such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2.2 Form of Face of Security.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[INSERT ANY LEGEND REQUIRED BY THE INTERNAL REVENUE CODE AND THE REGULATIONS THEREUNDER.]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HARROW HEALTH, INC.</w:t>
      </w:r>
    </w:p>
    <w:p>
      <w:pPr>
        <w:sectPr>
          <w:pgSz w:w="11900" w:h="16838" w:orient="portrait"/>
          <w:cols w:equalWidth="0" w:num="1">
            <w:col w:w="11240"/>
          </w:cols>
          <w:pgMar w:left="320" w:top="661" w:right="3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NO. _______</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$______</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CUSIP:______</w:t>
      </w:r>
    </w:p>
    <w:p>
      <w:pPr>
        <w:spacing w:after="0" w:line="200" w:lineRule="exact"/>
        <w:rPr>
          <w:sz w:val="20"/>
          <w:szCs w:val="20"/>
          <w:color w:val="auto"/>
        </w:rPr>
      </w:pPr>
    </w:p>
    <w:p>
      <w:pPr>
        <w:sectPr>
          <w:pgSz w:w="11900" w:h="16838" w:orient="portrait"/>
          <w:cols w:equalWidth="0" w:num="2">
            <w:col w:w="9420" w:space="720"/>
            <w:col w:w="1100"/>
          </w:cols>
          <w:pgMar w:left="320" w:top="661" w:right="339" w:bottom="1440" w:gutter="0" w:footer="0" w:header="0"/>
          <w:type w:val="continuous"/>
        </w:sectPr>
      </w:pPr>
    </w:p>
    <w:p>
      <w:pPr>
        <w:spacing w:after="0" w:line="3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HARROW HEALTH, INC., a corporation duly organized and existing under the laws of Delaware (herein called the “Company,” which term includes any successor Person under the Indenture hereinafter referred to), for value received, hereby promises to pay to , or registered assigns, the principal sum of dollars on [</w:t>
      </w:r>
      <w:r>
        <w:rPr>
          <w:rFonts w:ascii="Arial" w:cs="Arial" w:eastAsia="Arial" w:hAnsi="Arial"/>
          <w:sz w:val="16"/>
          <w:szCs w:val="16"/>
          <w:b w:val="1"/>
          <w:bCs w:val="1"/>
          <w:color w:val="auto"/>
        </w:rPr>
        <w:t>if the Security is to bear interest prior to Maturity, insert —</w:t>
      </w:r>
      <w:r>
        <w:rPr>
          <w:rFonts w:ascii="Arial" w:cs="Arial" w:eastAsia="Arial" w:hAnsi="Arial"/>
          <w:sz w:val="16"/>
          <w:szCs w:val="16"/>
          <w:color w:val="auto"/>
        </w:rPr>
        <w:t xml:space="preserve"> , and to pay interest thereon from or from the most recent Interest Payment Date to which interest has been paid or duly provided for, semi-annually on and in each year, commencing , at the rate of % per annum, until the principal hereof is paid or made available for payment [</w:t>
      </w:r>
      <w:r>
        <w:rPr>
          <w:rFonts w:ascii="Arial" w:cs="Arial" w:eastAsia="Arial" w:hAnsi="Arial"/>
          <w:sz w:val="16"/>
          <w:szCs w:val="16"/>
          <w:b w:val="1"/>
          <w:bCs w:val="1"/>
          <w:color w:val="auto"/>
        </w:rPr>
        <w:t>if applicable, insert —</w:t>
      </w:r>
      <w:r>
        <w:rPr>
          <w:rFonts w:ascii="Arial" w:cs="Arial" w:eastAsia="Arial" w:hAnsi="Arial"/>
          <w:sz w:val="16"/>
          <w:szCs w:val="16"/>
          <w:color w:val="auto"/>
        </w:rPr>
        <w:t xml:space="preserve"> ,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principal and premium, and any such installment of interest, which is overdue shall bear interest at the rate of % per annum (to the extent that the payment of such interest shall be legally enforceable), from the dates such amounts are due until they are paid or made available for payment, and such interest shall be payable on demand]. The interest so payable, and punctually paid or duly provided for, on any Interest Payment Date will, as provided in such Indenture, be paid to the Person in whose name this Security (or one or more Predecessor Securities) is registered at the close of business on the Regular Record Date for such interest, which shall be the or (whether or not a Business Day), as the case may be, next preceding such Interest Payment Date. Any such interest not so punctually paid or duly provided for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type w:val="continuous"/>
        </w:sectPr>
      </w:pPr>
    </w:p>
    <w:bookmarkStart w:id="51" w:name="page52"/>
    <w:bookmarkEnd w:id="51"/>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If the Security is not to bear interest prior to Maturity, insert —</w:t>
      </w:r>
      <w:r>
        <w:rPr>
          <w:rFonts w:ascii="Arial" w:cs="Arial" w:eastAsia="Arial" w:hAnsi="Arial"/>
          <w:sz w:val="17"/>
          <w:szCs w:val="17"/>
          <w:color w:val="auto"/>
        </w:rPr>
        <w:t xml:space="preserve"> The principal of this Security shall not bear interest except in the case of a default in payment of principal upon acceleration, upon redemption or at Stated Maturity and in such case the overdue principal and any overdue premium shall bear interest at the rate of % per annum (to the extent that the payment of such interest shall be legally enforceable), from the dates such amounts are due until they are paid or made available for payment. Interest on any overdue principal or premium shall be payable on demand. [Any such interest on overdue principal or premium which is not paid on demand shall bear interest at the rate of % per annum (to the extent that the payment of such interest on interest shall be legally enforceable), from the date of such demand until the amount so demanded is paid or made available for payment. Interest on any overdue interest shall be payable on demand.]]</w:t>
      </w:r>
    </w:p>
    <w:p>
      <w:pPr>
        <w:spacing w:after="0" w:line="172"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Payment of the principal of (and premium, if any) and [</w:t>
      </w:r>
      <w:r>
        <w:rPr>
          <w:rFonts w:ascii="Arial" w:cs="Arial" w:eastAsia="Arial" w:hAnsi="Arial"/>
          <w:sz w:val="17"/>
          <w:szCs w:val="17"/>
          <w:b w:val="1"/>
          <w:bCs w:val="1"/>
          <w:color w:val="auto"/>
        </w:rPr>
        <w:t>if applicable, insert —</w:t>
      </w:r>
      <w:r>
        <w:rPr>
          <w:rFonts w:ascii="Arial" w:cs="Arial" w:eastAsia="Arial" w:hAnsi="Arial"/>
          <w:sz w:val="17"/>
          <w:szCs w:val="17"/>
          <w:color w:val="auto"/>
        </w:rPr>
        <w:t xml:space="preserve"> any such] interest on this Security will be made at the office or agency of the Company maintained for that purpose in , in such coin or currency of the United States of America as at the time of payment is legal tender for payment of public and private debts [</w:t>
      </w:r>
      <w:r>
        <w:rPr>
          <w:rFonts w:ascii="Arial" w:cs="Arial" w:eastAsia="Arial" w:hAnsi="Arial"/>
          <w:sz w:val="17"/>
          <w:szCs w:val="17"/>
          <w:b w:val="1"/>
          <w:bCs w:val="1"/>
          <w:color w:val="auto"/>
        </w:rPr>
        <w:t>if applicable, insert —</w:t>
      </w:r>
      <w:r>
        <w:rPr>
          <w:rFonts w:ascii="Arial" w:cs="Arial" w:eastAsia="Arial" w:hAnsi="Arial"/>
          <w:sz w:val="17"/>
          <w:szCs w:val="17"/>
          <w:color w:val="auto"/>
        </w:rPr>
        <w:t xml:space="preserve"> ;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at the option of the Company payment of interest may be made by check mailed to the address of the Person entitled thereto as such address shall appear in the Security Register].</w:t>
      </w:r>
    </w:p>
    <w:p>
      <w:pPr>
        <w:spacing w:after="0" w:line="16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Reference is hereby made to the further provisions of this Security set forth on the reverse hereof, which further provisions shall for all purposes have the same effect as if set forth at this place.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Unless the certificate of authentication hereon has been executed by the Trustee referred to on the reverse hereof by manual signature, this Security shall not be entitled to any benefit under the Indenture or be valid or obligatory for any purpose.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Company has caused this instrument to be duly executed.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Dated: ___________</w:t>
            </w:r>
          </w:p>
        </w:tc>
        <w:tc>
          <w:tcPr>
            <w:tcW w:w="6920" w:type="dxa"/>
            <w:vAlign w:val="bottom"/>
            <w:gridSpan w:val="2"/>
          </w:tcPr>
          <w:p>
            <w:pPr>
              <w:ind w:left="1320"/>
              <w:spacing w:after="0"/>
              <w:rPr>
                <w:sz w:val="20"/>
                <w:szCs w:val="20"/>
                <w:color w:val="auto"/>
              </w:rPr>
            </w:pPr>
            <w:r>
              <w:rPr>
                <w:rFonts w:ascii="Arial" w:cs="Arial" w:eastAsia="Arial" w:hAnsi="Arial"/>
                <w:sz w:val="18"/>
                <w:szCs w:val="18"/>
                <w:color w:val="auto"/>
              </w:rPr>
              <w:t>HARROW HEALTH, INC.</w:t>
            </w:r>
          </w:p>
        </w:tc>
        <w:tc>
          <w:tcPr>
            <w:tcW w:w="0" w:type="dxa"/>
            <w:vAlign w:val="bottom"/>
          </w:tcPr>
          <w:p>
            <w:pPr>
              <w:spacing w:after="0"/>
              <w:rPr>
                <w:sz w:val="1"/>
                <w:szCs w:val="1"/>
                <w:color w:val="auto"/>
              </w:rPr>
            </w:pPr>
          </w:p>
        </w:tc>
      </w:tr>
      <w:tr>
        <w:trPr>
          <w:trHeight w:val="439"/>
        </w:trPr>
        <w:tc>
          <w:tcPr>
            <w:tcW w:w="4320" w:type="dxa"/>
            <w:vAlign w:val="bottom"/>
          </w:tcPr>
          <w:p>
            <w:pPr>
              <w:spacing w:after="0"/>
              <w:rPr>
                <w:sz w:val="24"/>
                <w:szCs w:val="24"/>
                <w:color w:val="auto"/>
              </w:rPr>
            </w:pPr>
          </w:p>
        </w:tc>
        <w:tc>
          <w:tcPr>
            <w:tcW w:w="6920" w:type="dxa"/>
            <w:vAlign w:val="bottom"/>
            <w:gridSpan w:val="2"/>
          </w:tcPr>
          <w:p>
            <w:pPr>
              <w:ind w:left="1320"/>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196"/>
        </w:trPr>
        <w:tc>
          <w:tcPr>
            <w:tcW w:w="4320" w:type="dxa"/>
            <w:vAlign w:val="bottom"/>
            <w:vMerge w:val="restart"/>
          </w:tcPr>
          <w:p>
            <w:pPr>
              <w:spacing w:after="0"/>
              <w:rPr>
                <w:sz w:val="20"/>
                <w:szCs w:val="20"/>
                <w:color w:val="auto"/>
              </w:rPr>
            </w:pPr>
            <w:r>
              <w:rPr>
                <w:rFonts w:ascii="Arial" w:cs="Arial" w:eastAsia="Arial" w:hAnsi="Arial"/>
                <w:sz w:val="18"/>
                <w:szCs w:val="18"/>
                <w:color w:val="auto"/>
              </w:rPr>
              <w:t>ATTEST: _________________________</w:t>
            </w:r>
          </w:p>
        </w:tc>
        <w:tc>
          <w:tcPr>
            <w:tcW w:w="1880" w:type="dxa"/>
            <w:vAlign w:val="bottom"/>
          </w:tcPr>
          <w:p>
            <w:pPr>
              <w:ind w:left="1320"/>
              <w:spacing w:after="0" w:line="189" w:lineRule="exact"/>
              <w:rPr>
                <w:sz w:val="20"/>
                <w:szCs w:val="20"/>
                <w:color w:val="auto"/>
              </w:rPr>
            </w:pPr>
            <w:r>
              <w:rPr>
                <w:rFonts w:ascii="Arial" w:cs="Arial" w:eastAsia="Arial" w:hAnsi="Arial"/>
                <w:sz w:val="18"/>
                <w:szCs w:val="18"/>
                <w:color w:val="auto"/>
              </w:rPr>
              <w:t>Title:</w:t>
            </w:r>
          </w:p>
        </w:tc>
        <w:tc>
          <w:tcPr>
            <w:tcW w:w="504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vMerge w:val="continue"/>
          </w:tcPr>
          <w:p>
            <w:pPr>
              <w:spacing w:after="0"/>
              <w:rPr>
                <w:sz w:val="17"/>
                <w:szCs w:val="17"/>
                <w:color w:val="auto"/>
              </w:rPr>
            </w:pPr>
          </w:p>
        </w:tc>
        <w:tc>
          <w:tcPr>
            <w:tcW w:w="188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2.3 Form of Reverse of Security.</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This Security is one of a duly authorized issue of securities of the Company (herein called the “Securities”), issued and to be issued in one or more series under an Indenture, dated as of (herein called the “Indenture,” which term shall have the meaning assigned to it in such instrument), between the Company and , as Trustee (herein called the “Trustee,” which term includes any successor trustee under the Indenture), and reference is hereby made to the Indenture and all indentures supplemental thereto for a statement of the respective rights, limitations of rights, duties and immunities thereunder of the Company, the Trustee and the Holders of the Securities and of the terms upon which the Securities are, and are to be, authenticated and delivered. This Security is one of the series designated on the face hereof [</w:t>
      </w:r>
      <w:r>
        <w:rPr>
          <w:rFonts w:ascii="Arial" w:cs="Arial" w:eastAsia="Arial" w:hAnsi="Arial"/>
          <w:sz w:val="16"/>
          <w:szCs w:val="16"/>
          <w:b w:val="1"/>
          <w:bCs w:val="1"/>
          <w:color w:val="auto"/>
        </w:rPr>
        <w:t>if applicable, insert —</w:t>
      </w:r>
      <w:r>
        <w:rPr>
          <w:rFonts w:ascii="Arial" w:cs="Arial" w:eastAsia="Arial" w:hAnsi="Arial"/>
          <w:sz w:val="16"/>
          <w:szCs w:val="16"/>
          <w:color w:val="auto"/>
        </w:rPr>
        <w:t xml:space="preserve"> , limited in aggregate principal amount to $ ].</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2" w:name="page53"/>
    <w:bookmarkEnd w:id="52"/>
    <w:p>
      <w:pPr>
        <w:jc w:val="both"/>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If applicable, insert —</w:t>
      </w:r>
      <w:r>
        <w:rPr>
          <w:rFonts w:ascii="Arial" w:cs="Arial" w:eastAsia="Arial" w:hAnsi="Arial"/>
          <w:sz w:val="18"/>
          <w:szCs w:val="18"/>
          <w:color w:val="auto"/>
        </w:rPr>
        <w:t xml:space="preserve"> The Securities of this series are subject to redemption upon not less than [</w:t>
      </w:r>
      <w:r>
        <w:rPr>
          <w:rFonts w:ascii="Arial" w:cs="Arial" w:eastAsia="Arial" w:hAnsi="Arial"/>
          <w:sz w:val="18"/>
          <w:szCs w:val="18"/>
          <w:b w:val="1"/>
          <w:bCs w:val="1"/>
          <w:color w:val="auto"/>
        </w:rPr>
        <w:t>if applicable, insert —</w:t>
      </w:r>
      <w:r>
        <w:rPr>
          <w:rFonts w:ascii="Arial" w:cs="Arial" w:eastAsia="Arial" w:hAnsi="Arial"/>
          <w:sz w:val="18"/>
          <w:szCs w:val="18"/>
          <w:color w:val="auto"/>
        </w:rPr>
        <w:t xml:space="preserve"> 30] days’ notice by mail, [</w:t>
      </w:r>
      <w:r>
        <w:rPr>
          <w:rFonts w:ascii="Arial" w:cs="Arial" w:eastAsia="Arial" w:hAnsi="Arial"/>
          <w:sz w:val="18"/>
          <w:szCs w:val="18"/>
          <w:b w:val="1"/>
          <w:bCs w:val="1"/>
          <w:color w:val="auto"/>
        </w:rPr>
        <w:t>if</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applicable, insert— </w:t>
      </w:r>
      <w:r>
        <w:rPr>
          <w:rFonts w:ascii="Arial" w:cs="Arial" w:eastAsia="Arial" w:hAnsi="Arial"/>
          <w:sz w:val="18"/>
          <w:szCs w:val="18"/>
          <w:color w:val="auto"/>
        </w:rPr>
        <w:t>(1) on in any year commencing with the year and ending with the year through operation of the sinking fund for this series at a</w:t>
      </w:r>
      <w:r>
        <w:rPr>
          <w:rFonts w:ascii="Arial" w:cs="Arial" w:eastAsia="Arial" w:hAnsi="Arial"/>
          <w:sz w:val="18"/>
          <w:szCs w:val="18"/>
          <w:b w:val="1"/>
          <w:bCs w:val="1"/>
          <w:color w:val="auto"/>
        </w:rPr>
        <w:t xml:space="preserve"> </w:t>
      </w:r>
      <w:r>
        <w:rPr>
          <w:rFonts w:ascii="Arial" w:cs="Arial" w:eastAsia="Arial" w:hAnsi="Arial"/>
          <w:sz w:val="18"/>
          <w:szCs w:val="18"/>
          <w:color w:val="auto"/>
        </w:rPr>
        <w:t>Redemption Price equal to 100% of the principal amount, and (2)] at any time [</w:t>
      </w:r>
      <w:r>
        <w:rPr>
          <w:rFonts w:ascii="Arial" w:cs="Arial" w:eastAsia="Arial" w:hAnsi="Arial"/>
          <w:sz w:val="18"/>
          <w:szCs w:val="18"/>
          <w:b w:val="1"/>
          <w:bCs w:val="1"/>
          <w:color w:val="auto"/>
        </w:rPr>
        <w:t>if applicable, insert—</w:t>
      </w:r>
      <w:r>
        <w:rPr>
          <w:rFonts w:ascii="Arial" w:cs="Arial" w:eastAsia="Arial" w:hAnsi="Arial"/>
          <w:sz w:val="18"/>
          <w:szCs w:val="18"/>
          <w:color w:val="auto"/>
        </w:rPr>
        <w:t xml:space="preserve"> on or after , 20 ], as a whole or in part, at the election of the Company, at the following Redemption Prices (expressed as percentages of the principal amount): If redeemed [</w:t>
      </w:r>
      <w:r>
        <w:rPr>
          <w:rFonts w:ascii="Arial" w:cs="Arial" w:eastAsia="Arial" w:hAnsi="Arial"/>
          <w:sz w:val="18"/>
          <w:szCs w:val="18"/>
          <w:b w:val="1"/>
          <w:bCs w:val="1"/>
          <w:color w:val="auto"/>
        </w:rPr>
        <w:t>if applicable, insert—</w:t>
      </w:r>
      <w:r>
        <w:rPr>
          <w:rFonts w:ascii="Arial" w:cs="Arial" w:eastAsia="Arial" w:hAnsi="Arial"/>
          <w:sz w:val="18"/>
          <w:szCs w:val="18"/>
          <w:color w:val="auto"/>
        </w:rPr>
        <w:t xml:space="preserve"> on or before , %, and if redeemed] during the 12-month period beginning of the years indicated,</w:t>
      </w:r>
    </w:p>
    <w:p>
      <w:pPr>
        <w:spacing w:after="0" w:line="201" w:lineRule="exact"/>
        <w:rPr>
          <w:sz w:val="20"/>
          <w:szCs w:val="20"/>
          <w:color w:val="auto"/>
        </w:rPr>
      </w:pPr>
    </w:p>
    <w:p>
      <w:pPr>
        <w:ind w:left="1620"/>
        <w:spacing w:after="0"/>
        <w:tabs>
          <w:tab w:leader="none" w:pos="3660" w:val="left"/>
          <w:tab w:leader="none" w:pos="6660" w:val="left"/>
          <w:tab w:leader="none" w:pos="8800" w:val="left"/>
        </w:tabs>
        <w:rPr>
          <w:sz w:val="20"/>
          <w:szCs w:val="20"/>
          <w:color w:val="auto"/>
        </w:rPr>
      </w:pPr>
      <w:r>
        <w:rPr>
          <w:rFonts w:ascii="Arial" w:cs="Arial" w:eastAsia="Arial" w:hAnsi="Arial"/>
          <w:sz w:val="18"/>
          <w:szCs w:val="18"/>
          <w:color w:val="auto"/>
        </w:rPr>
        <w:t>Year</w:t>
      </w:r>
      <w:r>
        <w:rPr>
          <w:sz w:val="20"/>
          <w:szCs w:val="20"/>
          <w:color w:val="auto"/>
        </w:rPr>
        <w:tab/>
      </w:r>
      <w:r>
        <w:rPr>
          <w:rFonts w:ascii="Arial" w:cs="Arial" w:eastAsia="Arial" w:hAnsi="Arial"/>
          <w:sz w:val="18"/>
          <w:szCs w:val="18"/>
          <w:color w:val="auto"/>
        </w:rPr>
        <w:t>Redemption Price</w:t>
      </w:r>
      <w:r>
        <w:rPr>
          <w:sz w:val="20"/>
          <w:szCs w:val="20"/>
          <w:color w:val="auto"/>
        </w:rPr>
        <w:tab/>
      </w:r>
      <w:r>
        <w:rPr>
          <w:rFonts w:ascii="Arial" w:cs="Arial" w:eastAsia="Arial" w:hAnsi="Arial"/>
          <w:sz w:val="18"/>
          <w:szCs w:val="18"/>
          <w:color w:val="auto"/>
        </w:rPr>
        <w:t>Year</w:t>
      </w:r>
      <w:r>
        <w:rPr>
          <w:sz w:val="20"/>
          <w:szCs w:val="20"/>
          <w:color w:val="auto"/>
        </w:rPr>
        <w:tab/>
      </w:r>
      <w:r>
        <w:rPr>
          <w:rFonts w:ascii="Arial" w:cs="Arial" w:eastAsia="Arial" w:hAnsi="Arial"/>
          <w:sz w:val="16"/>
          <w:szCs w:val="16"/>
          <w:color w:val="auto"/>
        </w:rPr>
        <w:t>Redemption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306070</wp:posOffset>
            </wp:positionV>
            <wp:extent cx="641223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14605</wp:posOffset>
            </wp:positionV>
            <wp:extent cx="6412230" cy="1543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and thereafter at a Redemption Price equal to % of the principal amount, together in the case of any such redemption [</w:t>
      </w:r>
      <w:r>
        <w:rPr>
          <w:rFonts w:ascii="Arial" w:cs="Arial" w:eastAsia="Arial" w:hAnsi="Arial"/>
          <w:sz w:val="18"/>
          <w:szCs w:val="18"/>
          <w:b w:val="1"/>
          <w:bCs w:val="1"/>
          <w:color w:val="auto"/>
        </w:rPr>
        <w:t>if applicable, insert—</w:t>
      </w:r>
      <w:r>
        <w:rPr>
          <w:rFonts w:ascii="Arial" w:cs="Arial" w:eastAsia="Arial" w:hAnsi="Arial"/>
          <w:sz w:val="18"/>
          <w:szCs w:val="18"/>
          <w:color w:val="auto"/>
        </w:rPr>
        <w:t xml:space="preserve"> (whether through operation of the sinking fund or otherwise)] with accrued interest to the Redemption Date, but interest installments whose Stated Maturity is on or prior to such Redemption Date will be payable to the Holders of such Securities, or one or more Predecessor Securities, of record at the close of business on the relevant Record Dates referred to on the face hereof, all as provided in the Indenture.]</w:t>
      </w:r>
    </w:p>
    <w:p>
      <w:pPr>
        <w:spacing w:after="0" w:line="18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If applicable, insert—</w:t>
      </w:r>
      <w:r>
        <w:rPr>
          <w:rFonts w:ascii="Arial" w:cs="Arial" w:eastAsia="Arial" w:hAnsi="Arial"/>
          <w:sz w:val="18"/>
          <w:szCs w:val="18"/>
          <w:color w:val="auto"/>
        </w:rPr>
        <w:t xml:space="preserve"> The Securities of this series are subject to redemption upon not less than [</w:t>
      </w:r>
      <w:r>
        <w:rPr>
          <w:rFonts w:ascii="Arial" w:cs="Arial" w:eastAsia="Arial" w:hAnsi="Arial"/>
          <w:sz w:val="18"/>
          <w:szCs w:val="18"/>
          <w:b w:val="1"/>
          <w:bCs w:val="1"/>
          <w:color w:val="auto"/>
        </w:rPr>
        <w:t>if applicable, insert—</w:t>
      </w:r>
      <w:r>
        <w:rPr>
          <w:rFonts w:ascii="Arial" w:cs="Arial" w:eastAsia="Arial" w:hAnsi="Arial"/>
          <w:sz w:val="18"/>
          <w:szCs w:val="18"/>
          <w:color w:val="auto"/>
        </w:rPr>
        <w:t xml:space="preserve"> 30] days’ notice by mail, (1) on in any year commencing with the year and ending with the year through operation of the sinking fund for this series at the Redemption Prices for redemption through operation of the sinking fund (expressed as percentages of the principal amount) set forth in the table below, and (2) at any time [</w:t>
      </w:r>
      <w:r>
        <w:rPr>
          <w:rFonts w:ascii="Arial" w:cs="Arial" w:eastAsia="Arial" w:hAnsi="Arial"/>
          <w:sz w:val="18"/>
          <w:szCs w:val="18"/>
          <w:b w:val="1"/>
          <w:bCs w:val="1"/>
          <w:color w:val="auto"/>
        </w:rPr>
        <w:t>if</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applicable, insert— </w:t>
      </w:r>
      <w:r>
        <w:rPr>
          <w:rFonts w:ascii="Arial" w:cs="Arial" w:eastAsia="Arial" w:hAnsi="Arial"/>
          <w:sz w:val="18"/>
          <w:szCs w:val="18"/>
          <w:color w:val="auto"/>
        </w:rPr>
        <w:t>on or after ], as a whole or in part, at the election of the Company, at the Redemption Prices for redemption otherwise than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 of the sinking fund (expressed as percentages of the principal amount) set forth in the table below: If redeemed during the 12-month period beginning of the years indicated,</w:t>
      </w:r>
    </w:p>
    <w:p>
      <w:pPr>
        <w:spacing w:after="0" w:line="19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2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Redemption Price For</w:t>
            </w:r>
          </w:p>
        </w:tc>
        <w:tc>
          <w:tcPr>
            <w:tcW w:w="3040" w:type="dxa"/>
            <w:vAlign w:val="bottom"/>
          </w:tcPr>
          <w:p>
            <w:pPr>
              <w:jc w:val="center"/>
              <w:spacing w:after="0"/>
              <w:rPr>
                <w:sz w:val="20"/>
                <w:szCs w:val="20"/>
                <w:color w:val="auto"/>
              </w:rPr>
            </w:pPr>
            <w:r>
              <w:rPr>
                <w:rFonts w:ascii="Arial" w:cs="Arial" w:eastAsia="Arial" w:hAnsi="Arial"/>
                <w:sz w:val="18"/>
                <w:szCs w:val="18"/>
                <w:color w:val="auto"/>
                <w:w w:val="91"/>
              </w:rPr>
              <w:t>Redemption Price For</w:t>
            </w:r>
          </w:p>
        </w:tc>
      </w:tr>
      <w:tr>
        <w:trPr>
          <w:trHeight w:val="216"/>
        </w:trPr>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2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Redemption Through</w:t>
            </w:r>
          </w:p>
        </w:tc>
        <w:tc>
          <w:tcPr>
            <w:tcW w:w="3040" w:type="dxa"/>
            <w:vAlign w:val="bottom"/>
          </w:tcPr>
          <w:p>
            <w:pPr>
              <w:jc w:val="center"/>
              <w:spacing w:after="0"/>
              <w:rPr>
                <w:sz w:val="20"/>
                <w:szCs w:val="20"/>
                <w:color w:val="auto"/>
              </w:rPr>
            </w:pPr>
            <w:r>
              <w:rPr>
                <w:rFonts w:ascii="Arial" w:cs="Arial" w:eastAsia="Arial" w:hAnsi="Arial"/>
                <w:sz w:val="18"/>
                <w:szCs w:val="18"/>
                <w:color w:val="auto"/>
                <w:w w:val="91"/>
              </w:rPr>
              <w:t>Redemption Otherwise Than Through</w:t>
            </w:r>
          </w:p>
        </w:tc>
      </w:tr>
      <w:tr>
        <w:trPr>
          <w:trHeight w:val="216"/>
        </w:trPr>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2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Operation of the</w:t>
            </w:r>
          </w:p>
        </w:tc>
        <w:tc>
          <w:tcPr>
            <w:tcW w:w="3040" w:type="dxa"/>
            <w:vAlign w:val="bottom"/>
          </w:tcPr>
          <w:p>
            <w:pPr>
              <w:jc w:val="center"/>
              <w:spacing w:after="0"/>
              <w:rPr>
                <w:sz w:val="20"/>
                <w:szCs w:val="20"/>
                <w:color w:val="auto"/>
              </w:rPr>
            </w:pPr>
            <w:r>
              <w:rPr>
                <w:rFonts w:ascii="Arial" w:cs="Arial" w:eastAsia="Arial" w:hAnsi="Arial"/>
                <w:sz w:val="18"/>
                <w:szCs w:val="18"/>
                <w:color w:val="auto"/>
                <w:w w:val="91"/>
              </w:rPr>
              <w:t>Operation of the</w:t>
            </w:r>
          </w:p>
        </w:tc>
      </w:tr>
      <w:tr>
        <w:trPr>
          <w:trHeight w:val="190"/>
        </w:trPr>
        <w:tc>
          <w:tcPr>
            <w:tcW w:w="3540" w:type="dxa"/>
            <w:vAlign w:val="bottom"/>
            <w:gridSpan w:val="4"/>
          </w:tcPr>
          <w:p>
            <w:pPr>
              <w:ind w:left="1500"/>
              <w:spacing w:after="0" w:line="190" w:lineRule="exact"/>
              <w:rPr>
                <w:sz w:val="20"/>
                <w:szCs w:val="20"/>
                <w:color w:val="auto"/>
              </w:rPr>
            </w:pPr>
            <w:r>
              <w:rPr>
                <w:rFonts w:ascii="Arial" w:cs="Arial" w:eastAsia="Arial" w:hAnsi="Arial"/>
                <w:sz w:val="18"/>
                <w:szCs w:val="18"/>
                <w:color w:val="auto"/>
              </w:rPr>
              <w:t>Year</w:t>
            </w:r>
          </w:p>
        </w:tc>
        <w:tc>
          <w:tcPr>
            <w:tcW w:w="3520" w:type="dxa"/>
            <w:vAlign w:val="bottom"/>
            <w:gridSpan w:val="2"/>
          </w:tcPr>
          <w:p>
            <w:pPr>
              <w:jc w:val="center"/>
              <w:ind w:right="200"/>
              <w:spacing w:after="0" w:line="190" w:lineRule="exact"/>
              <w:rPr>
                <w:sz w:val="20"/>
                <w:szCs w:val="20"/>
                <w:color w:val="auto"/>
              </w:rPr>
            </w:pPr>
            <w:r>
              <w:rPr>
                <w:rFonts w:ascii="Arial" w:cs="Arial" w:eastAsia="Arial" w:hAnsi="Arial"/>
                <w:sz w:val="18"/>
                <w:szCs w:val="18"/>
                <w:color w:val="auto"/>
                <w:w w:val="91"/>
              </w:rPr>
              <w:t>Sinking Fund</w:t>
            </w:r>
          </w:p>
        </w:tc>
        <w:tc>
          <w:tcPr>
            <w:tcW w:w="3040" w:type="dxa"/>
            <w:vAlign w:val="bottom"/>
          </w:tcPr>
          <w:p>
            <w:pPr>
              <w:jc w:val="center"/>
              <w:spacing w:after="0" w:line="190" w:lineRule="exact"/>
              <w:rPr>
                <w:sz w:val="20"/>
                <w:szCs w:val="20"/>
                <w:color w:val="auto"/>
              </w:rPr>
            </w:pPr>
            <w:r>
              <w:rPr>
                <w:rFonts w:ascii="Arial" w:cs="Arial" w:eastAsia="Arial" w:hAnsi="Arial"/>
                <w:sz w:val="18"/>
                <w:szCs w:val="18"/>
                <w:color w:val="auto"/>
                <w:w w:val="91"/>
              </w:rPr>
              <w:t>Sinking Fund</w:t>
            </w:r>
          </w:p>
        </w:tc>
      </w:tr>
      <w:tr>
        <w:trPr>
          <w:trHeight w:val="28"/>
        </w:trPr>
        <w:tc>
          <w:tcPr>
            <w:tcW w:w="1500" w:type="dxa"/>
            <w:vAlign w:val="bottom"/>
            <w:tcBorders>
              <w:bottom w:val="single" w:sz="8" w:color="auto"/>
            </w:tcBorders>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r>
      <w:tr>
        <w:trPr>
          <w:trHeight w:val="216"/>
        </w:trPr>
        <w:tc>
          <w:tcPr>
            <w:tcW w:w="1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40" w:type="dxa"/>
            <w:vAlign w:val="bottom"/>
          </w:tcPr>
          <w:p>
            <w:pPr>
              <w:spacing w:after="0"/>
              <w:rPr>
                <w:sz w:val="18"/>
                <w:szCs w:val="18"/>
                <w:color w:val="auto"/>
              </w:rPr>
            </w:pPr>
          </w:p>
        </w:tc>
      </w:tr>
      <w:tr>
        <w:trPr>
          <w:trHeight w:val="216"/>
        </w:trPr>
        <w:tc>
          <w:tcPr>
            <w:tcW w:w="1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and thereafter at a Redemption Price equal to % of the principal amount, together in the case of any such redemption (whether through operation of the sinking fund or otherwise) with accrued interest to the Redemption Date,but interest installments whose Stated Maturity is on or prior to such Redemption Date will be payable to the Holders of such Securities, or one or more Predecessor Securities, of record at the close of business on the relevant Record Dates referred to on the face hereof, all as provided in the Indenture.]</w:t>
      </w:r>
    </w:p>
    <w:p>
      <w:pPr>
        <w:spacing w:after="0" w:line="18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If applicable, insert —</w:t>
      </w:r>
      <w:r>
        <w:rPr>
          <w:rFonts w:ascii="Arial" w:cs="Arial" w:eastAsia="Arial" w:hAnsi="Arial"/>
          <w:sz w:val="18"/>
          <w:szCs w:val="18"/>
          <w:color w:val="auto"/>
        </w:rPr>
        <w:t xml:space="preserve"> Notwithstanding the foregoing, the Company may not, prior to , redeem any Securities of this series as contemplated by [</w:t>
      </w:r>
      <w:r>
        <w:rPr>
          <w:rFonts w:ascii="Arial" w:cs="Arial" w:eastAsia="Arial" w:hAnsi="Arial"/>
          <w:sz w:val="18"/>
          <w:szCs w:val="18"/>
          <w:b w:val="1"/>
          <w:bCs w:val="1"/>
          <w:color w:val="auto"/>
        </w:rPr>
        <w:t>if applicable, insert—</w:t>
      </w:r>
      <w:r>
        <w:rPr>
          <w:rFonts w:ascii="Arial" w:cs="Arial" w:eastAsia="Arial" w:hAnsi="Arial"/>
          <w:sz w:val="18"/>
          <w:szCs w:val="18"/>
          <w:color w:val="auto"/>
        </w:rPr>
        <w:t xml:space="preserve"> clause (2) of] the preceding paragraph as a part of, or in anticipation of, any refunding operation by the application, directly or indirectly, of moneys borrowed having an interest cost to the Company (calculated in accordance with generally accepted financial practice) of less than % per annum.]</w:t>
      </w:r>
    </w:p>
    <w:p>
      <w:pPr>
        <w:spacing w:after="0" w:line="18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If applicable, insert—</w:t>
      </w:r>
      <w:r>
        <w:rPr>
          <w:rFonts w:ascii="Arial" w:cs="Arial" w:eastAsia="Arial" w:hAnsi="Arial"/>
          <w:sz w:val="18"/>
          <w:szCs w:val="18"/>
          <w:color w:val="auto"/>
        </w:rPr>
        <w:t xml:space="preserve"> The sinking fund for this series provides for the redemption on in each year beginning with the year and ending with the year of [</w:t>
      </w:r>
      <w:r>
        <w:rPr>
          <w:rFonts w:ascii="Arial" w:cs="Arial" w:eastAsia="Arial" w:hAnsi="Arial"/>
          <w:sz w:val="18"/>
          <w:szCs w:val="18"/>
          <w:b w:val="1"/>
          <w:bCs w:val="1"/>
          <w:color w:val="auto"/>
        </w:rPr>
        <w:t>if applicable, insert—</w:t>
      </w:r>
      <w:r>
        <w:rPr>
          <w:rFonts w:ascii="Arial" w:cs="Arial" w:eastAsia="Arial" w:hAnsi="Arial"/>
          <w:sz w:val="18"/>
          <w:szCs w:val="18"/>
          <w:color w:val="auto"/>
        </w:rPr>
        <w:t xml:space="preserve"> not less than $ (“mandatory sinking fund”) and not more than] $ aggregate principal amount of Securities of this series. Securities of this series acquired or redeemed by the Company otherwise than through [</w:t>
      </w:r>
      <w:r>
        <w:rPr>
          <w:rFonts w:ascii="Arial" w:cs="Arial" w:eastAsia="Arial" w:hAnsi="Arial"/>
          <w:sz w:val="18"/>
          <w:szCs w:val="18"/>
          <w:b w:val="1"/>
          <w:bCs w:val="1"/>
          <w:color w:val="auto"/>
        </w:rPr>
        <w:t>if applicable, insert —</w:t>
      </w:r>
      <w:r>
        <w:rPr>
          <w:rFonts w:ascii="Arial" w:cs="Arial" w:eastAsia="Arial" w:hAnsi="Arial"/>
          <w:sz w:val="18"/>
          <w:szCs w:val="18"/>
          <w:color w:val="auto"/>
        </w:rPr>
        <w:t xml:space="preserve"> mandatory] sinking fund payments may be credited against subsequent [</w:t>
      </w:r>
      <w:r>
        <w:rPr>
          <w:rFonts w:ascii="Arial" w:cs="Arial" w:eastAsia="Arial" w:hAnsi="Arial"/>
          <w:sz w:val="18"/>
          <w:szCs w:val="18"/>
          <w:b w:val="1"/>
          <w:bCs w:val="1"/>
          <w:color w:val="auto"/>
        </w:rPr>
        <w:t>if applicable, insert —</w:t>
      </w:r>
      <w:r>
        <w:rPr>
          <w:rFonts w:ascii="Arial" w:cs="Arial" w:eastAsia="Arial" w:hAnsi="Arial"/>
          <w:sz w:val="18"/>
          <w:szCs w:val="18"/>
          <w:color w:val="auto"/>
        </w:rPr>
        <w:t xml:space="preserve"> mandatory] sinking fund payments otherwise required to be made [</w:t>
      </w:r>
      <w:r>
        <w:rPr>
          <w:rFonts w:ascii="Arial" w:cs="Arial" w:eastAsia="Arial" w:hAnsi="Arial"/>
          <w:sz w:val="18"/>
          <w:szCs w:val="18"/>
          <w:b w:val="1"/>
          <w:bCs w:val="1"/>
          <w:color w:val="auto"/>
        </w:rPr>
        <w:t>if applicable, insert —</w:t>
      </w:r>
      <w:r>
        <w:rPr>
          <w:rFonts w:ascii="Arial" w:cs="Arial" w:eastAsia="Arial" w:hAnsi="Arial"/>
          <w:sz w:val="18"/>
          <w:szCs w:val="18"/>
          <w:color w:val="auto"/>
        </w:rPr>
        <w:t xml:space="preserve"> , in the inverse order in which they become due].]</w:t>
      </w:r>
    </w:p>
    <w:p>
      <w:pPr>
        <w:spacing w:after="0" w:line="183"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If the Security is subject to redemption of any kind, insert —</w:t>
      </w:r>
      <w:r>
        <w:rPr>
          <w:rFonts w:ascii="Arial" w:cs="Arial" w:eastAsia="Arial" w:hAnsi="Arial"/>
          <w:sz w:val="16"/>
          <w:szCs w:val="16"/>
          <w:color w:val="auto"/>
        </w:rPr>
        <w:t xml:space="preserve"> In the event of redemption of this Security in part only, a new Security or Securities of this series and of like tenor for the unredeemed portion hereof will be issued in the name of the Holder hereof upon the cancellation hereof.]</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3" w:name="page54"/>
    <w:bookmarkEnd w:id="53"/>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If applicable, insert—</w:t>
      </w:r>
      <w:r>
        <w:rPr>
          <w:rFonts w:ascii="Arial" w:cs="Arial" w:eastAsia="Arial" w:hAnsi="Arial"/>
          <w:sz w:val="18"/>
          <w:szCs w:val="18"/>
          <w:color w:val="auto"/>
        </w:rPr>
        <w:t xml:space="preserve"> restrictive covenants and Events Indenture.]</w:t>
      </w:r>
    </w:p>
    <w:p>
      <w:pPr>
        <w:spacing w:after="0" w:line="20" w:lineRule="exact"/>
        <w:rPr>
          <w:sz w:val="20"/>
          <w:szCs w:val="20"/>
          <w:color w:val="auto"/>
        </w:rPr>
      </w:pPr>
      <w:r>
        <w:rPr>
          <w:sz w:val="20"/>
          <w:szCs w:val="20"/>
          <w:color w:val="auto"/>
        </w:rPr>
        <w:br w:type="column"/>
      </w:r>
    </w:p>
    <w:p>
      <w:pPr>
        <w:ind w:hanging="38"/>
        <w:spacing w:after="0" w:line="342" w:lineRule="auto"/>
        <w:rPr>
          <w:sz w:val="20"/>
          <w:szCs w:val="20"/>
          <w:color w:val="auto"/>
        </w:rPr>
      </w:pPr>
      <w:r>
        <w:rPr>
          <w:rFonts w:ascii="Arial" w:cs="Arial" w:eastAsia="Arial" w:hAnsi="Arial"/>
          <w:sz w:val="16"/>
          <w:szCs w:val="16"/>
          <w:color w:val="auto"/>
        </w:rPr>
        <w:t>The Indenture contains provisions for defeasance at any time of [the entire indebtedness of this Security] [or] [certain of Default with respect to this Security] [, in each case] upon compliance with certain conditions set forth in the</w:t>
      </w:r>
    </w:p>
    <w:p>
      <w:pPr>
        <w:spacing w:after="0" w:line="335" w:lineRule="exact"/>
        <w:rPr>
          <w:sz w:val="20"/>
          <w:szCs w:val="20"/>
          <w:color w:val="auto"/>
        </w:rPr>
      </w:pPr>
    </w:p>
    <w:p>
      <w:pPr>
        <w:sectPr>
          <w:pgSz w:w="11900" w:h="16838" w:orient="portrait"/>
          <w:cols w:equalWidth="0" w:num="2">
            <w:col w:w="2440" w:space="80"/>
            <w:col w:w="8720"/>
          </w:cols>
          <w:pgMar w:left="320" w:top="661" w:right="339" w:bottom="1440" w:gutter="0" w:footer="0" w:header="0"/>
        </w:sect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If the Security is convertible into other securities of the Company, specify the conversion features.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If the Security is not an Original Issue Discount Security, insert —</w:t>
      </w:r>
      <w:r>
        <w:rPr>
          <w:rFonts w:ascii="Arial" w:cs="Arial" w:eastAsia="Arial" w:hAnsi="Arial"/>
          <w:sz w:val="18"/>
          <w:szCs w:val="18"/>
          <w:color w:val="auto"/>
        </w:rPr>
        <w:t xml:space="preserve"> If an Event of Default with respect to Securities of this series shall occur and be continuing, the principal of the Securities of this series may be declared due and payable in the manner and with the effect provided in the Indenture.]</w:t>
      </w:r>
    </w:p>
    <w:p>
      <w:pPr>
        <w:spacing w:after="0" w:line="17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If the Security is an Original Issue Discount Security, insert —</w:t>
      </w:r>
      <w:r>
        <w:rPr>
          <w:rFonts w:ascii="Arial" w:cs="Arial" w:eastAsia="Arial" w:hAnsi="Arial"/>
          <w:sz w:val="18"/>
          <w:szCs w:val="18"/>
          <w:color w:val="auto"/>
        </w:rPr>
        <w:t xml:space="preserve"> If an Event of Default with respect to Securities of this series shall occur and be continuing, an amount of principal of the Securities of this series may be declared due and payable in the manner and with the effect provided in the Indenture. Such amount shall be equal to </w:t>
      </w:r>
      <w:r>
        <w:rPr>
          <w:rFonts w:ascii="Arial" w:cs="Arial" w:eastAsia="Arial" w:hAnsi="Arial"/>
          <w:sz w:val="18"/>
          <w:szCs w:val="18"/>
          <w:b w:val="1"/>
          <w:bCs w:val="1"/>
          <w:color w:val="auto"/>
        </w:rPr>
        <w:t>— insert formula for determining the amount</w:t>
      </w:r>
      <w:r>
        <w:rPr>
          <w:rFonts w:ascii="Arial" w:cs="Arial" w:eastAsia="Arial" w:hAnsi="Arial"/>
          <w:sz w:val="18"/>
          <w:szCs w:val="18"/>
          <w:color w:val="auto"/>
        </w:rPr>
        <w:t>. Upon payment (i) of the amount of principal so declared due and payable and (ii) of interest on any overdue principal, premium and interest (in each case to the extent that the payment of such interest shall be legally enforceable), all of the Company’s obligations in respect of the payment of the principal of and premium and interest, if any, on the Securities of this series shall terminate.]</w:t>
      </w:r>
    </w:p>
    <w:p>
      <w:pPr>
        <w:spacing w:after="0" w:line="19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more than 50% in principal amount of the Securities at the time Outstanding of each series to be affected. The Indenture also contains provisions permitting the Holders of specified percentages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spacing w:after="0" w:line="17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Securities of this series, the Holders of not less than a majority in principal amount of the Securities of this series at the time Outstanding shall have made written request to the Trustee to institute proceedings in respect of such Event of Default as Trustee and offered the Trustee reasonable indemnity, and the Trustee shall not have received from the Holders of a majority in principal amount of Securities of this series at the time Outstanding a direction inconsistent with such request, and shall have failed to institute any such proceeding, for 60 days after receipt of such notice, request and offer of indemnity. The foregoing shall not apply to any suit instituted by the Holder of this Security for the enforcement of any payment of principal hereof or any premium or interest hereon on or after the respective due dates expressed herein.</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 reference herein to the Indenture and no provision of this Security or of the Indenture shall alter or impair the obligation of the Company, which is absolute and unconditional, to pay the principal of and any premium and interest on this Security at the times, place and rate, and in the coin or currency, herein prescribed.</w:t>
      </w:r>
    </w:p>
    <w:p>
      <w:pPr>
        <w:spacing w:after="0" w:line="18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As provided in the Indenture and subject to certain limitations therein set forth, the transfer of this Security is registrable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its attorney duly authorized in writing, and thereupon one or more new Securities of this series and of like tenor, of authorized denominations and for the same aggregate principal amount, will be issued to the designated transferee or transferees.</w:t>
      </w:r>
    </w:p>
    <w:p>
      <w:pPr>
        <w:spacing w:after="0" w:line="16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Securities of this series are issuable only in registered form without coupons in denominations of $ and any integral multiple thereof.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type w:val="continuous"/>
        </w:sectPr>
      </w:pPr>
    </w:p>
    <w:bookmarkStart w:id="54" w:name="page55"/>
    <w:bookmarkEnd w:id="54"/>
    <w:p>
      <w:pPr>
        <w:jc w:val="both"/>
        <w:ind w:firstLine="648"/>
        <w:spacing w:after="0" w:line="277" w:lineRule="auto"/>
        <w:rPr>
          <w:sz w:val="20"/>
          <w:szCs w:val="20"/>
          <w:color w:val="auto"/>
        </w:rPr>
      </w:pPr>
      <w:r>
        <w:rPr>
          <w:rFonts w:ascii="Arial" w:cs="Arial" w:eastAsia="Arial" w:hAnsi="Arial"/>
          <w:sz w:val="18"/>
          <w:szCs w:val="18"/>
          <w:color w:val="auto"/>
        </w:rPr>
        <w:t>No service charge shall be made for any such registration of transfer or exchange, but the Company may require payment of a sum sufficient to cover any tax or other governmental charge payable in connection therewith.</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terms used in this Security which are defined in the Indenture shall have the meanings assigned to them in the Indenture.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2.4 Form of Legend for Global Securities.</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Unless otherwise specified as contemplated by Section 3.1 for the Securities evidenced thereby, every Global Security authenticated and delivered hereunder shall bear a legend in substantially the following form:</w:t>
      </w:r>
    </w:p>
    <w:p>
      <w:pPr>
        <w:spacing w:after="0" w:line="16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THIS SECURITY IS A GLOBAL SECURITY WITHIN THE MEANING OF THE INDENTURE HEREINAFTER REFERRED TO AND IS REGISTERED IN THE NAME OF A DEPOSITARY OR A NOMINEE THEREOF. THIS SECURITY MAY NOT BE EXCHANGED IN WHOLE OR IN PART FOR A SECURITY REGISTERED, AND NO TRANSFER OF THIS SECURITY IN WHOLE OR IN PART MAY BE REGISTERED, IN THE NAME OF ANY PERSON OTHER THAN SUCH DEPOSITARY OR A NOMINEE THEREOF, EXCEPT IN THE LIMITED CIRCUMSTANCES DESCRIBED IN THE INDENTURE.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2.5 Form of Trustee’s Certificate of Authentication.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Trustee’s certificates of authentication shall be in substantially the following form: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is one of the Securities of the series designated herein referred to in the within-mentioned Indenture.</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U.S. Bank National Association,</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as Trustee</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Authorized Officer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2.6 Form of Conversion Notice.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Conversion notices shall be in substantially the following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HARROW HEALTH, INC.:</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undersigned owner of this Security hereby irrevocably exercises the option to convert this Security, or portion hereof (which is $1,000 or an integral multiple thereof) below designated, into shares of Common Stock of the Company in accordance with the terms of the Indenture referred to in this Security, and directs that the shares issuable and deliverable upon the conversion, together with any check in payment for fractional shares and any Securities representing any unconverted principal amount hereof, be issued and delivered to the registered holder hereof unless a different name has been indicated below. If this Notice is being delivered on a date after the close of business on a Regular Record Date and prior to the opening of business on the related Interest Payment Date (unless this Security or the portion thereof being converted has been called for redemption on a Redemption Date during the period beginning at the close of business on a Regular Record Date and ending at the opening of business on the first Business Day after the next succeeding Interest Payment Date, or if such Interest Payment Date is not a Business Day, the second such Business Day), this Notice is accompanied by payment, in funds acceptable to the Company, of an amount equal to the interest payable on such Interest Payment Date of the principal of this Security to be converted. If shares are to be issued in the name of a person other than the undersigned, the undersigned will pay all transfer taxes payable with respect hereto. Any amount required to be paid by the undersigned on account of interest accompanies this Security.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t>Principal Amount to be Converted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an integral multiple of $1,000, if less than all)</w:t>
      </w:r>
    </w:p>
    <w:p>
      <w:pPr>
        <w:spacing w:after="0" w:line="211"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U.S. $</w:t>
      </w:r>
      <w:r>
        <w:rPr>
          <w:sz w:val="20"/>
          <w:szCs w:val="20"/>
          <w:color w:val="auto"/>
        </w:rPr>
        <w:tab/>
      </w:r>
      <w:r>
        <w:rPr>
          <w:rFonts w:ascii="Arial" w:cs="Arial" w:eastAsia="Arial" w:hAnsi="Arial"/>
          <w:sz w:val="16"/>
          <w:szCs w:val="16"/>
          <w:color w:val="auto"/>
        </w:rPr>
        <w:t>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Signature(s) must be guaranteed by an eligible guarantor institution (banks,</w:t>
      </w:r>
    </w:p>
    <w:p>
      <w:pPr>
        <w:spacing w:after="0" w:line="4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stock brokers, savings and loan</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associations and credit unions with membership in an approved signature</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guarantee medallion program)</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pursuant to Securities and Exchange Commission Rule 17Ad-15.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168910</wp:posOffset>
            </wp:positionV>
            <wp:extent cx="3566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Signature Guaranty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Fill in for registration of shares of Common Stock and Security if to be issued otherwise than to the registered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Social Security or Other Taxpayer 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349758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97580" cy="1714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Please print Name and Address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(including zip code)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above conversion notice is to be modified, as appropriate, for conversion into other securities or property of the Company.]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3.1 Amount Unlimited; Issuable in Series.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aggregate principal amount of Securities which may be authenticated and delivered under this Indenture is unlimited.</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Securities may be issued in one or more series. There shall be established in or pursuant to a Board Resolution and, subject to Section 3.3, set forth, or determined in the manner provided, in an Officers’ Certificate, or established in one or more indentures supplemental hereto, prior to the issuance of Securities of any series,</w:t>
      </w:r>
    </w:p>
    <w:p>
      <w:pPr>
        <w:spacing w:after="0" w:line="184" w:lineRule="exact"/>
        <w:rPr>
          <w:sz w:val="20"/>
          <w:szCs w:val="20"/>
          <w:color w:val="auto"/>
        </w:rPr>
      </w:pPr>
    </w:p>
    <w:p>
      <w:pPr>
        <w:ind w:left="5540" w:right="420" w:hanging="4236"/>
        <w:spacing w:after="0" w:line="527" w:lineRule="auto"/>
        <w:tabs>
          <w:tab w:leader="none" w:pos="183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title of the Securities of the series (which shall distinguish the Securities of the series from Securities of any other series);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6" w:name="page57"/>
    <w:bookmarkEnd w:id="56"/>
    <w:p>
      <w:pPr>
        <w:jc w:val="both"/>
        <w:ind w:firstLine="644"/>
        <w:spacing w:after="0" w:line="259" w:lineRule="auto"/>
        <w:tabs>
          <w:tab w:leader="none" w:pos="1201"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3.4, 3.5, 3.6, 9.6 or 11.7 and except for any Securities which, pursuant to Section 3.3, are deemed never to have been authenticated and delivered hereunder);</w:t>
      </w:r>
    </w:p>
    <w:p>
      <w:pPr>
        <w:spacing w:after="0" w:line="186" w:lineRule="exact"/>
        <w:rPr>
          <w:rFonts w:ascii="Arial" w:cs="Arial" w:eastAsia="Arial" w:hAnsi="Arial"/>
          <w:sz w:val="18"/>
          <w:szCs w:val="18"/>
          <w:color w:val="auto"/>
        </w:rPr>
      </w:pPr>
    </w:p>
    <w:p>
      <w:pPr>
        <w:ind w:right="20" w:firstLine="644"/>
        <w:spacing w:after="0" w:line="308" w:lineRule="auto"/>
        <w:tabs>
          <w:tab w:leader="none" w:pos="12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Person to whom any interest on a Security of the series shall be payable, if other than the Person in whose name that Security (or one or more Predecessor Securities) is registered at the close of business on the Regular Record Date for such interest;</w:t>
      </w:r>
    </w:p>
    <w:p>
      <w:pPr>
        <w:spacing w:after="0" w:line="146" w:lineRule="exact"/>
        <w:rPr>
          <w:rFonts w:ascii="Arial" w:cs="Arial" w:eastAsia="Arial" w:hAnsi="Arial"/>
          <w:sz w:val="17"/>
          <w:szCs w:val="17"/>
          <w:color w:val="auto"/>
        </w:rPr>
      </w:pPr>
    </w:p>
    <w:p>
      <w:pPr>
        <w:ind w:left="1160" w:hanging="516"/>
        <w:spacing w:after="0"/>
        <w:tabs>
          <w:tab w:leader="none" w:pos="1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date or dates on which the principal of any Securities of the series is payable;</w:t>
      </w:r>
    </w:p>
    <w:p>
      <w:pPr>
        <w:spacing w:after="0" w:line="225" w:lineRule="exact"/>
        <w:rPr>
          <w:rFonts w:ascii="Arial" w:cs="Arial" w:eastAsia="Arial" w:hAnsi="Arial"/>
          <w:sz w:val="18"/>
          <w:szCs w:val="18"/>
          <w:color w:val="auto"/>
        </w:rPr>
      </w:pPr>
    </w:p>
    <w:p>
      <w:pPr>
        <w:jc w:val="both"/>
        <w:ind w:firstLine="644"/>
        <w:spacing w:after="0" w:line="286" w:lineRule="auto"/>
        <w:tabs>
          <w:tab w:leader="none" w:pos="1211"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rate or rates (which may be fixed or variable) at which any Securities of the series shall bear interest, if any, the date or dates from which any such interest shall accrue, the Interest Payment Dates on which any such interest shall be payable and the Regular Record Date for any such interest payable on any Interest Payment Date (or the method for determining the dates and rates);</w:t>
      </w:r>
    </w:p>
    <w:p>
      <w:pPr>
        <w:spacing w:after="0" w:line="165" w:lineRule="exact"/>
        <w:rPr>
          <w:rFonts w:ascii="Arial" w:cs="Arial" w:eastAsia="Arial" w:hAnsi="Arial"/>
          <w:sz w:val="17"/>
          <w:szCs w:val="17"/>
          <w:color w:val="auto"/>
        </w:rPr>
      </w:pPr>
    </w:p>
    <w:p>
      <w:pPr>
        <w:ind w:left="1160" w:hanging="516"/>
        <w:spacing w:after="0"/>
        <w:tabs>
          <w:tab w:leader="none" w:pos="11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place or places where the principal of and any premium and interest on any Securities of the series shall be payable;</w:t>
      </w:r>
    </w:p>
    <w:p>
      <w:pPr>
        <w:spacing w:after="0" w:line="236" w:lineRule="exact"/>
        <w:rPr>
          <w:rFonts w:ascii="Arial" w:cs="Arial" w:eastAsia="Arial" w:hAnsi="Arial"/>
          <w:sz w:val="17"/>
          <w:szCs w:val="17"/>
          <w:color w:val="auto"/>
        </w:rPr>
      </w:pPr>
    </w:p>
    <w:p>
      <w:pPr>
        <w:jc w:val="both"/>
        <w:ind w:firstLine="644"/>
        <w:spacing w:after="0" w:line="263" w:lineRule="auto"/>
        <w:tabs>
          <w:tab w:leader="none" w:pos="1257"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period or periods within which, the price or prices at which and the terms and conditions upon which any Securities of the series may be redeemed, in whole or in part, at the option of the Company and, if other than by a Board Resolution, the manner in which any election by the Company to redeem the Securities shall be evidenced;</w:t>
      </w:r>
    </w:p>
    <w:p>
      <w:pPr>
        <w:spacing w:after="0" w:line="183" w:lineRule="exact"/>
        <w:rPr>
          <w:rFonts w:ascii="Arial" w:cs="Arial" w:eastAsia="Arial" w:hAnsi="Arial"/>
          <w:sz w:val="18"/>
          <w:szCs w:val="18"/>
          <w:color w:val="auto"/>
        </w:rPr>
      </w:pPr>
    </w:p>
    <w:p>
      <w:pPr>
        <w:jc w:val="both"/>
        <w:ind w:firstLine="644"/>
        <w:spacing w:after="0" w:line="286" w:lineRule="auto"/>
        <w:tabs>
          <w:tab w:leader="none" w:pos="1362"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obligation, if any, of the Company to redeem or purchase any Securities of the series pursuant to any sinking fund or analogous provisions or at the option of the Holder thereof and the period or periods within which, the price or prices at which and the terms and conditions upon which any Securities of the series shall be redeemed or purchased, in whole or in part, pursuant to such obligation;</w:t>
      </w:r>
    </w:p>
    <w:p>
      <w:pPr>
        <w:spacing w:after="0" w:line="165" w:lineRule="exact"/>
        <w:rPr>
          <w:rFonts w:ascii="Arial" w:cs="Arial" w:eastAsia="Arial" w:hAnsi="Arial"/>
          <w:sz w:val="17"/>
          <w:szCs w:val="17"/>
          <w:color w:val="auto"/>
        </w:rPr>
      </w:pPr>
    </w:p>
    <w:p>
      <w:pPr>
        <w:ind w:left="1240" w:hanging="596"/>
        <w:spacing w:after="0"/>
        <w:tabs>
          <w:tab w:leader="none" w:pos="12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if other than denominations of $1,000 and any integral multiple thereof, the denominations in which any Securities of the series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shall be issuable;</w:t>
      </w:r>
    </w:p>
    <w:p>
      <w:pPr>
        <w:spacing w:after="0" w:line="210" w:lineRule="exact"/>
        <w:rPr>
          <w:rFonts w:ascii="Arial" w:cs="Arial" w:eastAsia="Arial" w:hAnsi="Arial"/>
          <w:sz w:val="16"/>
          <w:szCs w:val="16"/>
          <w:color w:val="auto"/>
        </w:rPr>
      </w:pPr>
    </w:p>
    <w:p>
      <w:pPr>
        <w:ind w:firstLine="644"/>
        <w:spacing w:after="0" w:line="277" w:lineRule="auto"/>
        <w:tabs>
          <w:tab w:leader="none" w:pos="1313"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the amount of principal of or any premium or interest on any Securities of the series may be determined with reference to an index or pursuant to a formula, the manner in which such amounts shall be determined;</w:t>
      </w:r>
    </w:p>
    <w:p>
      <w:pPr>
        <w:spacing w:after="0" w:line="170" w:lineRule="exact"/>
        <w:rPr>
          <w:rFonts w:ascii="Arial" w:cs="Arial" w:eastAsia="Arial" w:hAnsi="Arial"/>
          <w:sz w:val="18"/>
          <w:szCs w:val="18"/>
          <w:color w:val="auto"/>
        </w:rPr>
      </w:pPr>
    </w:p>
    <w:p>
      <w:pPr>
        <w:jc w:val="both"/>
        <w:ind w:firstLine="644"/>
        <w:spacing w:after="0" w:line="286" w:lineRule="auto"/>
        <w:tabs>
          <w:tab w:leader="none" w:pos="1279" w:val="left"/>
        </w:tabs>
        <w:numPr>
          <w:ilvl w:val="0"/>
          <w:numId w:val="44"/>
        </w:numPr>
        <w:rPr>
          <w:rFonts w:ascii="Arial" w:cs="Arial" w:eastAsia="Arial" w:hAnsi="Arial"/>
          <w:sz w:val="17"/>
          <w:szCs w:val="17"/>
          <w:color w:val="auto"/>
        </w:rPr>
      </w:pPr>
      <w:r>
        <w:rPr>
          <w:rFonts w:ascii="Arial" w:cs="Arial" w:eastAsia="Arial" w:hAnsi="Arial"/>
          <w:sz w:val="17"/>
          <w:szCs w:val="17"/>
          <w:color w:val="auto"/>
        </w:rPr>
        <w:t>if other than the currency of the United States of America, the currency, currencies or currency units in which the principal of or any premium or interest on any Securities of the series shall be payable and the manner of determining the equivalent thereof in the currency of the United States of America for any purpose, including for purposes of the definition of “Outstanding” in Section 1.1;</w:t>
      </w:r>
    </w:p>
    <w:p>
      <w:pPr>
        <w:spacing w:after="0" w:line="165" w:lineRule="exact"/>
        <w:rPr>
          <w:rFonts w:ascii="Arial" w:cs="Arial" w:eastAsia="Arial" w:hAnsi="Arial"/>
          <w:sz w:val="17"/>
          <w:szCs w:val="17"/>
          <w:color w:val="auto"/>
        </w:rPr>
      </w:pPr>
    </w:p>
    <w:p>
      <w:pPr>
        <w:jc w:val="both"/>
        <w:ind w:firstLine="644"/>
        <w:spacing w:after="0" w:line="257" w:lineRule="auto"/>
        <w:tabs>
          <w:tab w:leader="none" w:pos="1313"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the principal of or any premium or interest on any Securities of the series is to be payable, at the election of the Company or the Holder thereof, in one or more currencies or currency units other than that or those in which such Securities are stated to be payable, the currency, currencies or currency units in which the principal of or any premium or interest on such Securities as to which such election is made shall be payable, the periods within which and the terms and conditions upon which such election is to be made and the amount so payable (or the manner in which such amount shall be determined);</w:t>
      </w:r>
    </w:p>
    <w:p>
      <w:pPr>
        <w:spacing w:after="0" w:line="187" w:lineRule="exact"/>
        <w:rPr>
          <w:rFonts w:ascii="Arial" w:cs="Arial" w:eastAsia="Arial" w:hAnsi="Arial"/>
          <w:sz w:val="18"/>
          <w:szCs w:val="18"/>
          <w:color w:val="auto"/>
        </w:rPr>
      </w:pPr>
    </w:p>
    <w:p>
      <w:pPr>
        <w:ind w:firstLine="644"/>
        <w:spacing w:after="0" w:line="277" w:lineRule="auto"/>
        <w:tabs>
          <w:tab w:leader="none" w:pos="1272"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other than the entire principal amount thereof, the portion of the principal amount of any Securities of the series which shall be payable upon declaration of acceleration of the Maturity thereof pursuant to Section 5.2;</w:t>
      </w:r>
    </w:p>
    <w:p>
      <w:pPr>
        <w:spacing w:after="0" w:line="170" w:lineRule="exact"/>
        <w:rPr>
          <w:rFonts w:ascii="Arial" w:cs="Arial" w:eastAsia="Arial" w:hAnsi="Arial"/>
          <w:sz w:val="18"/>
          <w:szCs w:val="18"/>
          <w:color w:val="auto"/>
        </w:rPr>
      </w:pPr>
    </w:p>
    <w:p>
      <w:pPr>
        <w:jc w:val="both"/>
        <w:ind w:firstLine="644"/>
        <w:spacing w:after="0" w:line="257" w:lineRule="auto"/>
        <w:tabs>
          <w:tab w:leader="none" w:pos="1332"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the principal amount payable at the Stated Maturity of any Securities of the series will not be determinable as of any one or more dates prior to the Stated Maturity, the amount which shall be deemed to be the principal amount of such Securities as of any such date for any purpose thereunder or hereunder, including the principal amount thereof which shall be due and payable upon any Maturity other than the Stated Maturity or which shall be deemed to be Outstanding as of any date prior to the Stated Maturity (or, in any such case, the manner in which such amount deemed to be the principal amount shall be determined);</w:t>
      </w:r>
    </w:p>
    <w:p>
      <w:pPr>
        <w:spacing w:after="0" w:line="188"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65" w:right="339" w:bottom="1440" w:gutter="0" w:footer="0" w:header="0"/>
        </w:sectPr>
      </w:pPr>
    </w:p>
    <w:bookmarkStart w:id="57" w:name="page58"/>
    <w:bookmarkEnd w:id="57"/>
    <w:p>
      <w:pPr>
        <w:jc w:val="both"/>
        <w:ind w:left="660" w:firstLine="644"/>
        <w:spacing w:after="0" w:line="263" w:lineRule="auto"/>
        <w:tabs>
          <w:tab w:leader="none" w:pos="2044" w:val="left"/>
        </w:tabs>
        <w:numPr>
          <w:ilvl w:val="1"/>
          <w:numId w:val="45"/>
        </w:numPr>
        <w:rPr>
          <w:rFonts w:ascii="Arial" w:cs="Arial" w:eastAsia="Arial" w:hAnsi="Arial"/>
          <w:sz w:val="18"/>
          <w:szCs w:val="18"/>
          <w:color w:val="auto"/>
        </w:rPr>
      </w:pPr>
      <w:r>
        <w:rPr>
          <w:rFonts w:ascii="Arial" w:cs="Arial" w:eastAsia="Arial" w:hAnsi="Arial"/>
          <w:sz w:val="18"/>
          <w:szCs w:val="18"/>
          <w:color w:val="auto"/>
        </w:rPr>
        <w:t>if applicable, that the Securities of the series, in whole or any specified part, shall be defeasible pursuant to Section 13.2 or Section 13.3 or both such Sections, or any other defeasance provisions applicable to any Securities of the series, and, if other than by a Board Resolution, the manner in which any election by the Company to defease such Securities shall be evidenced;</w:t>
      </w:r>
    </w:p>
    <w:p>
      <w:pPr>
        <w:spacing w:after="0" w:line="183" w:lineRule="exact"/>
        <w:rPr>
          <w:rFonts w:ascii="Arial" w:cs="Arial" w:eastAsia="Arial" w:hAnsi="Arial"/>
          <w:sz w:val="18"/>
          <w:szCs w:val="18"/>
          <w:color w:val="auto"/>
        </w:rPr>
      </w:pPr>
    </w:p>
    <w:p>
      <w:pPr>
        <w:ind w:left="660" w:firstLine="644"/>
        <w:spacing w:after="0" w:line="277" w:lineRule="auto"/>
        <w:tabs>
          <w:tab w:leader="none" w:pos="1932" w:val="left"/>
        </w:tabs>
        <w:numPr>
          <w:ilvl w:val="1"/>
          <w:numId w:val="45"/>
        </w:numPr>
        <w:rPr>
          <w:rFonts w:ascii="Arial" w:cs="Arial" w:eastAsia="Arial" w:hAnsi="Arial"/>
          <w:sz w:val="18"/>
          <w:szCs w:val="18"/>
          <w:color w:val="auto"/>
        </w:rPr>
      </w:pPr>
      <w:r>
        <w:rPr>
          <w:rFonts w:ascii="Arial" w:cs="Arial" w:eastAsia="Arial" w:hAnsi="Arial"/>
          <w:sz w:val="18"/>
          <w:szCs w:val="18"/>
          <w:color w:val="auto"/>
        </w:rPr>
        <w:t>if applicable, the terms of any right to convert or exchange Securities of the series into shares of Common Stock of the Company or other securities or property;</w:t>
      </w:r>
    </w:p>
    <w:p>
      <w:pPr>
        <w:spacing w:after="0" w:line="170" w:lineRule="exact"/>
        <w:rPr>
          <w:rFonts w:ascii="Arial" w:cs="Arial" w:eastAsia="Arial" w:hAnsi="Arial"/>
          <w:sz w:val="18"/>
          <w:szCs w:val="18"/>
          <w:color w:val="auto"/>
        </w:rPr>
      </w:pPr>
    </w:p>
    <w:p>
      <w:pPr>
        <w:jc w:val="both"/>
        <w:ind w:left="660" w:firstLine="644"/>
        <w:spacing w:after="0" w:line="287" w:lineRule="auto"/>
        <w:tabs>
          <w:tab w:leader="none" w:pos="1978" w:val="left"/>
        </w:tabs>
        <w:numPr>
          <w:ilvl w:val="1"/>
          <w:numId w:val="45"/>
        </w:numPr>
        <w:rPr>
          <w:rFonts w:ascii="Arial" w:cs="Arial" w:eastAsia="Arial" w:hAnsi="Arial"/>
          <w:sz w:val="16"/>
          <w:szCs w:val="16"/>
          <w:color w:val="auto"/>
        </w:rPr>
      </w:pPr>
      <w:r>
        <w:rPr>
          <w:rFonts w:ascii="Arial" w:cs="Arial" w:eastAsia="Arial" w:hAnsi="Arial"/>
          <w:sz w:val="16"/>
          <w:szCs w:val="16"/>
          <w:color w:val="auto"/>
        </w:rPr>
        <w:t>if applicable, that any Securities of the series shall be issuable in whole or in part in the form of one or more Global Securities and, in such case, the respective Depositaries for such Global Securities, the form of any legend or legends which shall be borne by any such Global Security in addition to or in lieu of that set forth in Section 2.4 and any circumstances in addition to or in lieu of those set forth in clause</w:t>
      </w:r>
    </w:p>
    <w:p>
      <w:pPr>
        <w:spacing w:after="0" w:line="2" w:lineRule="exact"/>
        <w:rPr>
          <w:rFonts w:ascii="Arial" w:cs="Arial" w:eastAsia="Arial" w:hAnsi="Arial"/>
          <w:sz w:val="16"/>
          <w:szCs w:val="16"/>
          <w:color w:val="auto"/>
        </w:rPr>
      </w:pPr>
    </w:p>
    <w:p>
      <w:pPr>
        <w:jc w:val="both"/>
        <w:ind w:left="660" w:hanging="4"/>
        <w:spacing w:after="0" w:line="255" w:lineRule="auto"/>
        <w:tabs>
          <w:tab w:leader="none" w:pos="918" w:val="left"/>
        </w:tabs>
        <w:numPr>
          <w:ilvl w:val="0"/>
          <w:numId w:val="46"/>
        </w:numPr>
        <w:rPr>
          <w:rFonts w:ascii="Arial" w:cs="Arial" w:eastAsia="Arial" w:hAnsi="Arial"/>
          <w:sz w:val="18"/>
          <w:szCs w:val="18"/>
          <w:color w:val="auto"/>
        </w:rPr>
      </w:pPr>
      <w:r>
        <w:rPr>
          <w:rFonts w:ascii="Arial" w:cs="Arial" w:eastAsia="Arial" w:hAnsi="Arial"/>
          <w:sz w:val="18"/>
          <w:szCs w:val="18"/>
          <w:color w:val="auto"/>
        </w:rPr>
        <w:t>of the last paragraph of Section 3.5 in which any such Global Security may be exchanged in whole or in part for Securities registered, and any transfer of such Global Security in whole or in part may be registered, in the name or names of Persons other than the Depositary for such Global Security or a nominee thereof;</w:t>
      </w:r>
    </w:p>
    <w:p>
      <w:pPr>
        <w:spacing w:after="0" w:line="189" w:lineRule="exact"/>
        <w:rPr>
          <w:rFonts w:ascii="Arial" w:cs="Arial" w:eastAsia="Arial" w:hAnsi="Arial"/>
          <w:sz w:val="18"/>
          <w:szCs w:val="18"/>
          <w:color w:val="auto"/>
        </w:rPr>
      </w:pPr>
    </w:p>
    <w:p>
      <w:pPr>
        <w:ind w:left="660" w:firstLine="644"/>
        <w:spacing w:after="0" w:line="308" w:lineRule="auto"/>
        <w:tabs>
          <w:tab w:leader="none" w:pos="1937" w:val="left"/>
        </w:tabs>
        <w:numPr>
          <w:ilvl w:val="1"/>
          <w:numId w:val="46"/>
        </w:numPr>
        <w:rPr>
          <w:rFonts w:ascii="Arial" w:cs="Arial" w:eastAsia="Arial" w:hAnsi="Arial"/>
          <w:sz w:val="17"/>
          <w:szCs w:val="17"/>
          <w:color w:val="auto"/>
        </w:rPr>
      </w:pPr>
      <w:r>
        <w:rPr>
          <w:rFonts w:ascii="Arial" w:cs="Arial" w:eastAsia="Arial" w:hAnsi="Arial"/>
          <w:sz w:val="17"/>
          <w:szCs w:val="17"/>
          <w:color w:val="auto"/>
        </w:rPr>
        <w:t>any addition to or change in the Events of Default which applies to any Securities of the series and any change in the right of the Trustee or the requisite Holders of such Securities to declare the principal amount thereof due and payable pursuant to Section 5.2;</w:t>
      </w:r>
    </w:p>
    <w:p>
      <w:pPr>
        <w:spacing w:after="0" w:line="146" w:lineRule="exact"/>
        <w:rPr>
          <w:rFonts w:ascii="Arial" w:cs="Arial" w:eastAsia="Arial" w:hAnsi="Arial"/>
          <w:sz w:val="17"/>
          <w:szCs w:val="17"/>
          <w:color w:val="auto"/>
        </w:rPr>
      </w:pPr>
    </w:p>
    <w:p>
      <w:pPr>
        <w:ind w:left="1920" w:hanging="616"/>
        <w:spacing w:after="0"/>
        <w:tabs>
          <w:tab w:leader="none" w:pos="19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addition to or change in the covenants set forth in Article 10 which applies to Securities of the series;</w:t>
      </w:r>
    </w:p>
    <w:p>
      <w:pPr>
        <w:spacing w:after="0" w:line="225" w:lineRule="exact"/>
        <w:rPr>
          <w:rFonts w:ascii="Arial" w:cs="Arial" w:eastAsia="Arial" w:hAnsi="Arial"/>
          <w:sz w:val="18"/>
          <w:szCs w:val="18"/>
          <w:color w:val="auto"/>
        </w:rPr>
      </w:pPr>
    </w:p>
    <w:p>
      <w:pPr>
        <w:ind w:left="660" w:firstLine="644"/>
        <w:spacing w:after="0" w:line="277" w:lineRule="auto"/>
        <w:tabs>
          <w:tab w:leader="none" w:pos="1938"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Authenticating Agents, Paying Agents, Security Registrars or such other agents necessary in connection with the issuance of the Securities of such series, including, without limitation, exchange rate agents and calculation agents;</w:t>
      </w:r>
    </w:p>
    <w:p>
      <w:pPr>
        <w:spacing w:after="0" w:line="170" w:lineRule="exact"/>
        <w:rPr>
          <w:rFonts w:ascii="Arial" w:cs="Arial" w:eastAsia="Arial" w:hAnsi="Arial"/>
          <w:sz w:val="18"/>
          <w:szCs w:val="18"/>
          <w:color w:val="auto"/>
        </w:rPr>
      </w:pPr>
    </w:p>
    <w:p>
      <w:pPr>
        <w:ind w:left="660" w:firstLine="644"/>
        <w:spacing w:after="0" w:line="277" w:lineRule="auto"/>
        <w:tabs>
          <w:tab w:leader="none" w:pos="2017" w:val="left"/>
        </w:tabs>
        <w:numPr>
          <w:ilvl w:val="1"/>
          <w:numId w:val="46"/>
        </w:numPr>
        <w:rPr>
          <w:rFonts w:ascii="Arial" w:cs="Arial" w:eastAsia="Arial" w:hAnsi="Arial"/>
          <w:sz w:val="18"/>
          <w:szCs w:val="18"/>
          <w:color w:val="auto"/>
        </w:rPr>
      </w:pPr>
      <w:r>
        <w:rPr>
          <w:rFonts w:ascii="Arial" w:cs="Arial" w:eastAsia="Arial" w:hAnsi="Arial"/>
          <w:sz w:val="18"/>
          <w:szCs w:val="18"/>
          <w:color w:val="auto"/>
        </w:rPr>
        <w:t>if applicable, the terms of any security that will be provided for a series of Securities, including any provisions regarding the circumstances under which collateral may be released or substituted;</w:t>
      </w:r>
    </w:p>
    <w:p>
      <w:pPr>
        <w:spacing w:after="0" w:line="170" w:lineRule="exact"/>
        <w:rPr>
          <w:rFonts w:ascii="Arial" w:cs="Arial" w:eastAsia="Arial" w:hAnsi="Arial"/>
          <w:sz w:val="18"/>
          <w:szCs w:val="18"/>
          <w:color w:val="auto"/>
        </w:rPr>
      </w:pPr>
    </w:p>
    <w:p>
      <w:pPr>
        <w:ind w:left="660" w:firstLine="644"/>
        <w:spacing w:after="0" w:line="277" w:lineRule="auto"/>
        <w:tabs>
          <w:tab w:leader="none" w:pos="1955" w:val="left"/>
        </w:tabs>
        <w:numPr>
          <w:ilvl w:val="1"/>
          <w:numId w:val="46"/>
        </w:numPr>
        <w:rPr>
          <w:rFonts w:ascii="Arial" w:cs="Arial" w:eastAsia="Arial" w:hAnsi="Arial"/>
          <w:sz w:val="18"/>
          <w:szCs w:val="18"/>
          <w:color w:val="auto"/>
        </w:rPr>
      </w:pPr>
      <w:r>
        <w:rPr>
          <w:rFonts w:ascii="Arial" w:cs="Arial" w:eastAsia="Arial" w:hAnsi="Arial"/>
          <w:sz w:val="18"/>
          <w:szCs w:val="18"/>
          <w:color w:val="auto"/>
        </w:rPr>
        <w:t>if applicable, the terms of any guaranties for the Securities and any circumstances under which there may be additional obligors on the Securities; and</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1"/>
          <w:numId w:val="46"/>
        </w:numPr>
        <w:rPr>
          <w:rFonts w:ascii="Arial" w:cs="Arial" w:eastAsia="Arial" w:hAnsi="Arial"/>
          <w:sz w:val="16"/>
          <w:szCs w:val="16"/>
          <w:color w:val="auto"/>
        </w:rPr>
      </w:pPr>
      <w:r>
        <w:rPr>
          <w:rFonts w:ascii="Arial" w:cs="Arial" w:eastAsia="Arial" w:hAnsi="Arial"/>
          <w:sz w:val="16"/>
          <w:szCs w:val="16"/>
          <w:color w:val="auto"/>
        </w:rPr>
        <w:t>any other terms of the series (which terms shall not be inconsistent with the provisions of this Indenture, except as permitted by</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Section 9.1(5)).</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All Securities of any one series shall be substantially identical except as to denomination and except as may otherwise be provided in or pursuant to the Board Resolution referred to above and (subject to Section 3.3) set forth, or determined in the manner provided, in the Officers’ Certificate referred to above or in any such indenture supplemental hereto.</w:t>
      </w:r>
    </w:p>
    <w:p>
      <w:pPr>
        <w:spacing w:after="0" w:line="18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All Securities of any one series need not be issued at the same time and may be issued from time to time and, unless otherwise provided, a series may be reopened, without the consent of the Holders, for issuances of additional Notes of such series; provided, however, that if such additional Notes are not fungible with the Notes of such series for U.S. federal income tax purposes, the additional Notes will have one or more separate CUSIP numbers.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8" w:name="page59"/>
    <w:bookmarkEnd w:id="58"/>
    <w:p>
      <w:pPr>
        <w:ind w:right="20" w:firstLine="648"/>
        <w:spacing w:after="0" w:line="263" w:lineRule="auto"/>
        <w:rPr>
          <w:sz w:val="20"/>
          <w:szCs w:val="20"/>
          <w:color w:val="auto"/>
        </w:rPr>
      </w:pPr>
      <w:r>
        <w:rPr>
          <w:rFonts w:ascii="Arial" w:cs="Arial" w:eastAsia="Arial" w:hAnsi="Arial"/>
          <w:sz w:val="18"/>
          <w:szCs w:val="18"/>
          <w:color w:val="auto"/>
        </w:rPr>
        <w:t>If any of the terms of the series are established by action taken pursuant to a Board Resolution, a copy of an appropriate record of such action shall be certified by the Secretary or an Assistant Secretary of the Company and delivered to the Trustee at or prior to the delivery of the Officers’ Certificate setting forth the terms of the series.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3.2 Denominations.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Securities of each series shall be issuable only in registered form without coupons and only in such denominations as shall be specified as contemplated by Section 3.1. In the absence of any such specified denomination with respect to the Securities of any series, the Securities of such series shall be issuable in denominations of $1,000 and any integral multiple thereof.</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3.3 Execution, Authentication, Delivery and Dating.</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Securities shall be executed on behalf of the Company by its Chairman of the Board, its Vice Chairman of the Board, its Chief Executive Officer, its principal financial officer, its President or one of its Vice Presidents, attested by its Treasurer, its Secretary or one of its Assistant Treasurers or Assistant Secretaries. The signature of any of these officers on the Securities may be manual or facsimile.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Securities bearing the manual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At any time and from time to time after the execution and delivery of this Indenture, the Company may deliver Securities of any series executed by the Company to the Trustee for authentication, together with a Company Order for the authentication and delivery of such Securities, and the Trustee in accordance with the Company Order shall authenticate and deliver such Securities. If the form or terms of the Securities of the series have been established by or pursuant to one or more Board Resolutions as permitted by Sections 2.1 and 3.1, in authenticating such Securities, and accepting the additional responsibilities under this Indenture in relation to such Securities, the Trustee shall be entitled to receive, and (subject to Section 6.1) shall be fully protected in relying upon, a copy of such Board Resolution, the Officers’ Certificate setting forth the terms of the series and an Opinion of Counsel, with such Opinion of Counsel stating,</w:t>
      </w:r>
    </w:p>
    <w:p>
      <w:pPr>
        <w:spacing w:after="0" w:line="195" w:lineRule="exact"/>
        <w:rPr>
          <w:sz w:val="20"/>
          <w:szCs w:val="20"/>
          <w:color w:val="auto"/>
        </w:rPr>
      </w:pPr>
    </w:p>
    <w:p>
      <w:pPr>
        <w:ind w:left="660" w:firstLine="644"/>
        <w:spacing w:after="0" w:line="277" w:lineRule="auto"/>
        <w:tabs>
          <w:tab w:leader="none" w:pos="1852"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the form of such Securities has been established by or pursuant to Board Resolution as permitted by Section 2.1, that such form has been established in conformity with the provisions of this Indenture;</w:t>
      </w:r>
    </w:p>
    <w:p>
      <w:pPr>
        <w:spacing w:after="0" w:line="170" w:lineRule="exact"/>
        <w:rPr>
          <w:rFonts w:ascii="Arial" w:cs="Arial" w:eastAsia="Arial" w:hAnsi="Arial"/>
          <w:sz w:val="18"/>
          <w:szCs w:val="18"/>
          <w:color w:val="auto"/>
        </w:rPr>
      </w:pPr>
    </w:p>
    <w:p>
      <w:pPr>
        <w:ind w:left="660" w:firstLine="644"/>
        <w:spacing w:after="0" w:line="277" w:lineRule="auto"/>
        <w:tabs>
          <w:tab w:leader="none" w:pos="1914"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the terms of such Securities have been established by or pursuant to Board Resolution as permitted by Section 3.1, that such terms have been established in conformity with the provisions of this Indenture; and</w:t>
      </w:r>
    </w:p>
    <w:p>
      <w:pPr>
        <w:spacing w:after="0" w:line="170" w:lineRule="exact"/>
        <w:rPr>
          <w:rFonts w:ascii="Arial" w:cs="Arial" w:eastAsia="Arial" w:hAnsi="Arial"/>
          <w:sz w:val="18"/>
          <w:szCs w:val="18"/>
          <w:color w:val="auto"/>
        </w:rPr>
      </w:pPr>
    </w:p>
    <w:p>
      <w:pPr>
        <w:jc w:val="both"/>
        <w:ind w:left="660" w:firstLine="644"/>
        <w:spacing w:after="0" w:line="259" w:lineRule="auto"/>
        <w:tabs>
          <w:tab w:leader="none" w:pos="1836"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that such Securities, when authenticated and delivered by the Trustee and issued by the Company in the manner and subject to any conditions specified in such Opinion of Counsel, will constitute valid and legally binding obligations of the Company enforceable in accordance with their terms, subject to bankruptcy, insolvency, fraudulent transfer, reorganization, moratorium and similar laws of general applicability relating to or affecting creditors’ rights and to general equity principles.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such form or terms have been so established, 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Notwithstanding the provisions of Section 3.1 and of the preceding paragraph, if all Securities of a series are not to be originally issued at one time, it shall not be necessary to deliver the Officers’ Certificate otherwise required pursuant to Section 3.1 or the Company Order and Opinion of Counsel otherwise required pursuant to such preceding paragraph at or prior to the authentication of each Security of such series if such documents are delivered at or prior to the authentication upon original issuance of the first Security of such series to be issued.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9" w:name="page60"/>
    <w:bookmarkEnd w:id="59"/>
    <w:p>
      <w:pPr>
        <w:ind w:left="660"/>
        <w:spacing w:after="0"/>
        <w:rPr>
          <w:sz w:val="20"/>
          <w:szCs w:val="20"/>
          <w:color w:val="auto"/>
        </w:rPr>
      </w:pPr>
      <w:r>
        <w:rPr>
          <w:rFonts w:ascii="Arial" w:cs="Arial" w:eastAsia="Arial" w:hAnsi="Arial"/>
          <w:sz w:val="18"/>
          <w:szCs w:val="18"/>
          <w:color w:val="auto"/>
        </w:rPr>
        <w:t>Each Security shall be dated the date of its authentication.</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No Security shall be entitled to any benefit under this Indenture or be valid or obligatory for any purpose unless there appears on such Security a certificate of authentication substantially in the form provided for herein executed by the Trustee by manual signature, and such certificate upon any Security shall be conclusive evidence, and the only evidence, that such Security has been duly authenticated and delivered hereunder. Notwithstanding the foregoing, if any Security shall have been authenticated and delivered hereunder but never issued and sold by the Company, and the Company shall deliver such Security to the Trustee for cancellation as provided in Section 3.9, for all purposes of this Indenture such Security shall be deemed never to have been authenticated and delivered hereunder and shall never be entitled to the benefits of this Indenture.</w:t>
      </w:r>
    </w:p>
    <w:p>
      <w:pPr>
        <w:spacing w:after="0" w:line="17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Neither the Company nor the Trustee shall have any responsibility for any defect in the CUSIP number that appears on any Security, check, advice of payment or redemption notice, and any such document may contain a statement to the effect that CUSIP numbers have been assigned by an independent service for convenience of reference and that neither the Company nor the Trustee shall be liable for any inaccuracy in such numbers.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3.4 Temporary Securities.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Pending the preparation of definitive Securities of any series, the Company may execute, and upon Company Order the Trustee shall authenticate and deliver, temporary Securities which are printed, lithographed, typewritten, mimeographed or otherwise produced, in any authorized denomination, substantially of the tenor of the definitive Securities in lieu of which they are issued and with such appropriate insertions, omissions, substitutions and other variations as the officers executing such Securities may determine, as evidenced by their execution of such Securities.</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If temporary Securities of any series are issued, the Company will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in a Place of Payment for that series, without charge to the Holder. Upon surrender for cancellation of any one or more temporary Securities of any series, the Company shall execute and the Trustee shall authenticate and deliver in exchange therefor one or more definitive Securities of the same series, of any authorized denominations and of like tenor and aggregate principal amount. Until so exchanged, the temporary Securities of any series shall in all respects be entitled to the same benefits under this Indenture as definitive Securities of such series and tenor.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3.5 Registration; Registration of Transfer and Exchange.</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shall cause to be kept at the Corporate Trust Office of the Trustee a register (the register maintained in such office and in any other office or agency of the Company in a Place of Payment being herein sometimes collectively referred to as the “Security Register”) in which, subject to such reasonable regulations as it may prescribe, the Company shall provide for the registration of Securities and of transfers of Securities. The Trustee is hereby appointed “Security Registrar” for the purpose of registering Securities and transfers of Securities as herein provided.</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Upon surrender for registration of transfer of any Security of a series at the office or agency of the Company in a Place of Payment for that series, the Company shall execute, and the Trustee shall authenticate and deliver, in the name of the designated transferee or transferees, one or more new Securities of the same series, of any authorized denominations and of like tenor and aggregate principal amount.</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the option of the Holder, Securities of any series may be exchanged for other Securities of the same series, of any authorized denominations and of like tenor and aggregate principal amount, upon surrender of the Securities to be exchanged at such office or agency. Whenever any Securities are so surrendered for exchange, the Company shall execute, and the Trustee shall authenticate and deliver, the Securities which the Holder making the exchange is entitled to receive.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0" w:name="page61"/>
    <w:bookmarkEnd w:id="60"/>
    <w:p>
      <w:pPr>
        <w:jc w:val="both"/>
        <w:ind w:firstLine="648"/>
        <w:spacing w:after="0" w:line="308" w:lineRule="auto"/>
        <w:rPr>
          <w:sz w:val="20"/>
          <w:szCs w:val="20"/>
          <w:color w:val="auto"/>
        </w:rPr>
      </w:pPr>
      <w:r>
        <w:rPr>
          <w:rFonts w:ascii="Arial" w:cs="Arial" w:eastAsia="Arial" w:hAnsi="Arial"/>
          <w:sz w:val="17"/>
          <w:szCs w:val="17"/>
          <w:color w:val="auto"/>
        </w:rPr>
        <w:t>All Securities issued upon any registration of transfer or exchange of Securities shall be the valid obligations of the Company, evidencing the same debt, and entitled to the same benefits under this Indenture, as the Securities surrendered upon such registration of transfer or exchange.</w:t>
      </w:r>
    </w:p>
    <w:p>
      <w:pPr>
        <w:spacing w:after="0" w:line="14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Every Security presented or surrendered for registration of transfer or for exchange shall (if so required by the Company or the Trustee) be duly endorsed, or be accompanied by a written instrument of transfer in form satisfactory to the Company and the Security Registrar duly executed, by the Holder thereof or its attorney duly authorized in writing.</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 service charge shall be made for any registration of transfer or exchange of Securities, but the Company may require payment of a sum sufficient to cover any tax or other governmental charge that may be imposed in connection with any registration of transfer or exchange of Securities, other than exchanges pursuant to Section 3.4, 9.6 or 11.7 not involving any transfer.</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If the Securities of any series (or of any series and specified tenor) are to be redeemed, the Company shall not be required (A) to issue, register the transfer of or exchange any Securities of that series (or of that series and specified tenor, as the case may be) during a period beginning at the opening of business 15 days before the day of the mailing of a notice of redemption of any such Securities selected for redemption under Section 11.3 and ending at the close of business on the day of such mailing, or (B) to register the transfer of or exchange any Security so selected for redemption in whole or in part, except the unredeemed portion of any Security being redeemed in part.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provisions of clauses (1), (2), (3) and (4) below shall apply only to Global Securities:</w:t>
      </w:r>
    </w:p>
    <w:p>
      <w:pPr>
        <w:spacing w:after="0" w:line="225" w:lineRule="exact"/>
        <w:rPr>
          <w:sz w:val="20"/>
          <w:szCs w:val="20"/>
          <w:color w:val="auto"/>
        </w:rPr>
      </w:pPr>
    </w:p>
    <w:p>
      <w:pPr>
        <w:jc w:val="both"/>
        <w:ind w:left="660" w:firstLine="644"/>
        <w:spacing w:after="0" w:line="263" w:lineRule="auto"/>
        <w:tabs>
          <w:tab w:leader="none" w:pos="1942" w:val="left"/>
        </w:tabs>
        <w:numPr>
          <w:ilvl w:val="0"/>
          <w:numId w:val="48"/>
        </w:numPr>
        <w:rPr>
          <w:rFonts w:ascii="Arial" w:cs="Arial" w:eastAsia="Arial" w:hAnsi="Arial"/>
          <w:sz w:val="18"/>
          <w:szCs w:val="18"/>
          <w:color w:val="auto"/>
        </w:rPr>
      </w:pPr>
      <w:r>
        <w:rPr>
          <w:rFonts w:ascii="Arial" w:cs="Arial" w:eastAsia="Arial" w:hAnsi="Arial"/>
          <w:sz w:val="18"/>
          <w:szCs w:val="18"/>
          <w:color w:val="auto"/>
        </w:rPr>
        <w:t>Each Global Security authenticated under this Indenture shall be registered in the name of the Depositary designated for such Global Security or a nominee thereof and delivered to such Depositary or a nominee thereof or custodian therefor, and each such Global Security shall constitute a single Security for all purposes of this Indenture.</w:t>
      </w:r>
    </w:p>
    <w:p>
      <w:pPr>
        <w:spacing w:after="0" w:line="183" w:lineRule="exact"/>
        <w:rPr>
          <w:rFonts w:ascii="Arial" w:cs="Arial" w:eastAsia="Arial" w:hAnsi="Arial"/>
          <w:sz w:val="18"/>
          <w:szCs w:val="18"/>
          <w:color w:val="auto"/>
        </w:rPr>
      </w:pPr>
    </w:p>
    <w:p>
      <w:pPr>
        <w:jc w:val="both"/>
        <w:ind w:left="660" w:firstLine="644"/>
        <w:spacing w:after="0" w:line="273" w:lineRule="auto"/>
        <w:tabs>
          <w:tab w:leader="none" w:pos="19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Notwithstanding any other provision in this Indenture, no Global Security may be exchanged in whole or in part for Securities registered, and no transfer of a Global Security in whole or in part may be registered, in the name of any Person other than the Depositary for such Global Security or a nominee thereof unless (A) such Depositary (i) has notified the Company that it is unwilling or unable to continue as Depositary for such Global Security or (ii) has ceased to be a clearing agency registered under the Exchange Act, (B) there shall have occurred and be continuing an Event of Default with respect to such Global Security or (C) there shall exist such circumstances, if any, in addition to or in lieu of the foregoing as have been specified for this purpose as contemplated by Section 3.1.</w:t>
      </w:r>
    </w:p>
    <w:p>
      <w:pPr>
        <w:spacing w:after="0" w:line="177" w:lineRule="exact"/>
        <w:rPr>
          <w:rFonts w:ascii="Arial" w:cs="Arial" w:eastAsia="Arial" w:hAnsi="Arial"/>
          <w:sz w:val="17"/>
          <w:szCs w:val="17"/>
          <w:color w:val="auto"/>
        </w:rPr>
      </w:pPr>
    </w:p>
    <w:p>
      <w:pPr>
        <w:jc w:val="both"/>
        <w:ind w:left="660" w:firstLine="644"/>
        <w:spacing w:after="0" w:line="263" w:lineRule="auto"/>
        <w:tabs>
          <w:tab w:leader="none" w:pos="1952" w:val="left"/>
        </w:tabs>
        <w:numPr>
          <w:ilvl w:val="0"/>
          <w:numId w:val="48"/>
        </w:numPr>
        <w:rPr>
          <w:rFonts w:ascii="Arial" w:cs="Arial" w:eastAsia="Arial" w:hAnsi="Arial"/>
          <w:sz w:val="18"/>
          <w:szCs w:val="18"/>
          <w:color w:val="auto"/>
        </w:rPr>
      </w:pPr>
      <w:r>
        <w:rPr>
          <w:rFonts w:ascii="Arial" w:cs="Arial" w:eastAsia="Arial" w:hAnsi="Arial"/>
          <w:sz w:val="18"/>
          <w:szCs w:val="18"/>
          <w:color w:val="auto"/>
        </w:rPr>
        <w:t>Subject to clause (2) above, any exchange of a Global Security for other Securities may be made in whole or in part, and all Securities issued in exchange for a Global Security or any portion thereof shall be registered in such names as the Depositary for such Global Security shall direct.</w:t>
      </w:r>
    </w:p>
    <w:p>
      <w:pPr>
        <w:spacing w:after="0" w:line="183" w:lineRule="exact"/>
        <w:rPr>
          <w:rFonts w:ascii="Arial" w:cs="Arial" w:eastAsia="Arial" w:hAnsi="Arial"/>
          <w:sz w:val="18"/>
          <w:szCs w:val="18"/>
          <w:color w:val="auto"/>
        </w:rPr>
      </w:pPr>
    </w:p>
    <w:p>
      <w:pPr>
        <w:jc w:val="both"/>
        <w:ind w:left="660" w:firstLine="644"/>
        <w:spacing w:after="0" w:line="259" w:lineRule="auto"/>
        <w:tabs>
          <w:tab w:leader="none" w:pos="1887" w:val="left"/>
        </w:tabs>
        <w:numPr>
          <w:ilvl w:val="0"/>
          <w:numId w:val="48"/>
        </w:numPr>
        <w:rPr>
          <w:rFonts w:ascii="Arial" w:cs="Arial" w:eastAsia="Arial" w:hAnsi="Arial"/>
          <w:sz w:val="18"/>
          <w:szCs w:val="18"/>
          <w:color w:val="auto"/>
        </w:rPr>
      </w:pPr>
      <w:r>
        <w:rPr>
          <w:rFonts w:ascii="Arial" w:cs="Arial" w:eastAsia="Arial" w:hAnsi="Arial"/>
          <w:sz w:val="18"/>
          <w:szCs w:val="18"/>
          <w:color w:val="auto"/>
        </w:rPr>
        <w:t>Every Security authenticated and delivered upon registration of transfer of, or in exchange for or in lieu of, a Global Security or any portion thereof, whether pursuant to this Section, Section 3.4, 3.6, 9.6 or 11.7 or otherwise, shall be authenticated and delivered in the form of, and shall be, a Global Security, unless such Security is registered in the name of a Person other than the Depositary for such Global Security or a nominee thereof.</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3.6 Mutilated, Destroyed, Lost and Stolen Securities.</w:t>
      </w:r>
    </w:p>
    <w:p>
      <w:pPr>
        <w:spacing w:after="0" w:line="229"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If any mutilated Security is surrendered to the Trustee, the Company shall execute and the Trustee shall authenticate and deliver in exchange therefor a new Security of the same series and of like tenor and principal amount and bearing a number not contemporaneously outstanding.</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1" w:name="page62"/>
    <w:bookmarkEnd w:id="61"/>
    <w:p>
      <w:pPr>
        <w:jc w:val="both"/>
        <w:ind w:firstLine="648"/>
        <w:spacing w:after="0" w:line="257" w:lineRule="auto"/>
        <w:rPr>
          <w:sz w:val="20"/>
          <w:szCs w:val="20"/>
          <w:color w:val="auto"/>
        </w:rPr>
      </w:pPr>
      <w:r>
        <w:rPr>
          <w:rFonts w:ascii="Arial" w:cs="Arial" w:eastAsia="Arial" w:hAnsi="Arial"/>
          <w:sz w:val="18"/>
          <w:szCs w:val="18"/>
          <w:color w:val="auto"/>
        </w:rPr>
        <w:t>If there shall be delivered to the Company and the Trustee (i) evidence to their satisfaction of the destruction, loss or theft of any Security and (ii) such security or indemnity as may be required by them to save each of them and any agent of either of them harmless, then, in the absence of notice to the Company or the Trustee that such Security has been acquired by a bona fide purchaser, the Company shall execute and the Trustee shall authenticate and deliver, in lieu of any such destroyed, lost or stolen Security, a new Security of the same series and of like tenor and principal amount and bearing a number not contemporaneously outstanding.</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case any such mutilated, destroyed, lost or stolen Security has become or is about to become due and payable, the Company in its discretion may, instead of issuing a new Security, pay such Security.</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Upon the issuance of any new Security under this Section, the Company may require the payment of a sum sufficient to cover any tax or other governmental charge that may be imposed in relation thereto and any other expenses (including the reasonable fees and expenses of the Trustee) connected therewith.</w:t>
      </w:r>
    </w:p>
    <w:p>
      <w:pPr>
        <w:spacing w:after="0" w:line="18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1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provisions of this Section are exclusive and shall preclude (to the extent lawful) all other rights and remedies with respect to the replacement or payment of mutilated, destroyed, lost or stolen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3.7 Payment of Interest; Interest Rights Preserved.</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Except as otherwise provided as contemplated by Section 3.1 with respect to any series of Securities, interest on any Security which is payable, and is punctually paid or duly provided for, on any Interest Payment Date shall be paid to the Person in whose name that Security (or one or more Predecessor Securities) is registered at the close of business on the Regular Record Date for such interest.</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Any interest on any Security of any series which is payable, but is not punctually paid or duly provided for, on any Interest Payment Date (herein called “Defaulted Interest”) shall forthwith cease to be payable to the Holder on the relevant Regular Record Date by virtue of having been such Holder, and such Defaulted Interest may be paid by the Company, at its election in each case, as provided in clause (1) or (2) below:</w:t>
      </w:r>
    </w:p>
    <w:p>
      <w:pPr>
        <w:spacing w:after="0" w:line="165" w:lineRule="exact"/>
        <w:rPr>
          <w:sz w:val="20"/>
          <w:szCs w:val="20"/>
          <w:color w:val="auto"/>
        </w:rPr>
      </w:pPr>
    </w:p>
    <w:p>
      <w:pPr>
        <w:jc w:val="both"/>
        <w:ind w:left="660" w:firstLine="644"/>
        <w:spacing w:after="0" w:line="286" w:lineRule="auto"/>
        <w:tabs>
          <w:tab w:leader="none" w:pos="1887"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Company may elect to make payment of any Defaulted Interest to the Persons in whose names the Securities of such series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Security of such series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given to each Holder of Securities of such series in the manner set forth in Section 1.6, not less than 10 days prior to such Special Record Date. Notice of the proposed payment of such Defaulted Interest and the Special Record Date therefor having been so mailed, such Defaulted Interest shall be paid to the Persons in whose names the Securities of such series (or their respective Predecessor Securities) are registered at the close of business on such Special Record Date and shall no longer be payable pursuant to the following clause (2).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2" w:name="page63"/>
    <w:bookmarkEnd w:id="62"/>
    <w:p>
      <w:pPr>
        <w:ind w:left="660" w:right="80" w:firstLine="644"/>
        <w:spacing w:after="0" w:line="259" w:lineRule="auto"/>
        <w:tabs>
          <w:tab w:leader="none" w:pos="1829"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Company may make payment of any Defaulted Interest on the Securities of any series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8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Subject to the foregoing provisions of this Section, each Security delivered under this Indenture upon registration of transfer of or in exchange for or in lieu of any other Security shall carry the rights to interest accrued and unpaid, and to accrue, which were carried by such other Security.</w:t>
      </w:r>
    </w:p>
    <w:p>
      <w:pPr>
        <w:spacing w:after="0" w:line="12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Subject to the provisions of Section 14.2, in the case of any Security (or any part thereof) which is converted after any Regular Record Date and on or prior to the next succeeding Interest Payment Date (other than any Security the principal of (or premium, if any, on) which shall become due and payable, whether at Stated Maturity or by declaration of acceleration or otherwise prior to such Interest Payment Date), interest whose Stated Maturity is on such Interest Payment Date shall be payable on such Interest Payment Date notwithstanding such conversion and such interest (whether or not punctually paid or duly provided for) shall be paid to the Person in whose name that Security (or any one or more Predecessor Securities) is registered at the close of business on such Regular Record Date. Except as otherwise expressly provided in the immediately preceding sentence or in Section 14.2, in the case of any Security (or any part thereof) which is converted, interest whose Stated Maturity is after the date of conversion of such Security (or such part thereof) shall not be payable.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3.8 Persons Deemed Owners.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Prior to due presentment of a Security for registration of transfer, the Company, the Trustee and any agent of the Company or the Trustee may treat the Person in whose name such Security is registered as the owner of such Security for the purpose of receiving payment of principal of and any premium and (subject to Section 3.7) any interest on such Security and for all other purposes whatsoever, whether or not such Security be overdue, and neither the Company, the Trustee nor any agent of the Company or the Trustee shall be affected by notice to the contrary.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3.9 Cancellation.</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All Securities surrendered for payment, redemption, registration of transfer or exchange or conversion or for credit against any sinking fund payment shall, if surrendered to any Person other than the Trustee, be delivered to the Trustee and shall be promptly canceled by it. The Company may at any time deliver to the Trustee for cancellation any Securities previously authenticated and delivered hereunder which the Company may have acquired in any manner whatsoever, and may deliver to the Trustee (or to any other Person for delivery to the Trustee) for cancellation any Securities previously authenticated hereunder which the Company has not issued and sold, and all Securities so delivered shall be promptly canceled by the Trustee. No Securities shall be authenticated in lieu of or in exchange for any Securities canceled as provided in this Section, except as expressly permitted by this Indenture. All canceled Securities held by the Trustee shall be disposed of in accordance with its customary procedures.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3.10 Computation of Interest.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Except as otherwise specified as contemplated by Section 3.1 for Securities of any series, interest on the Securities of each series shall be computed on the basis of a 360-day year of twelve 30-day months.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SATISFACTION AND DISCHARGE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4.1 Satisfaction and Discharge of Indenture.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Indenture shall upon Company Request cease to be of further effect (except as to any surviving rights of registration of transfer or exchange of Securities herein expressly provided for), and the Trustee, at the expense of the Company, shall execute proper instruments acknowledging satisfaction and discharge of this Indenture, when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3" w:name="page64"/>
    <w:bookmarkEnd w:id="63"/>
    <w:p>
      <w:pPr>
        <w:ind w:left="1820" w:hanging="516"/>
        <w:spacing w:after="0"/>
        <w:tabs>
          <w:tab w:leader="none" w:pos="18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rFonts w:ascii="Arial" w:cs="Arial" w:eastAsia="Arial" w:hAnsi="Arial"/>
          <w:sz w:val="18"/>
          <w:szCs w:val="18"/>
          <w:color w:val="auto"/>
        </w:rPr>
      </w:pPr>
    </w:p>
    <w:p>
      <w:pPr>
        <w:jc w:val="both"/>
        <w:ind w:left="980" w:firstLine="648"/>
        <w:spacing w:after="0" w:line="259" w:lineRule="auto"/>
        <w:tabs>
          <w:tab w:leader="none" w:pos="2228" w:val="left"/>
        </w:tabs>
        <w:numPr>
          <w:ilvl w:val="1"/>
          <w:numId w:val="51"/>
        </w:numPr>
        <w:rPr>
          <w:rFonts w:ascii="Arial" w:cs="Arial" w:eastAsia="Arial" w:hAnsi="Arial"/>
          <w:sz w:val="18"/>
          <w:szCs w:val="18"/>
          <w:color w:val="auto"/>
        </w:rPr>
      </w:pPr>
      <w:r>
        <w:rPr>
          <w:rFonts w:ascii="Arial" w:cs="Arial" w:eastAsia="Arial" w:hAnsi="Arial"/>
          <w:sz w:val="18"/>
          <w:szCs w:val="18"/>
          <w:color w:val="auto"/>
        </w:rPr>
        <w:t>all Securities theretofore authenticated and delivered (other than (i) Securities which have been destroyed, lost or stolen and which have been replaced or paid as provided in Section 3.6 and (ii) Securities for whose payment money has theretofore been deposited in trust or segregated and held in trust by the Trustee or the Company and thereafter repaid to the Company or discharged from such trust, as provided in Section 10.3) have been delivered to the Trustee for cancellation; or</w:t>
      </w:r>
    </w:p>
    <w:p>
      <w:pPr>
        <w:spacing w:after="0" w:line="186" w:lineRule="exact"/>
        <w:rPr>
          <w:rFonts w:ascii="Arial" w:cs="Arial" w:eastAsia="Arial" w:hAnsi="Arial"/>
          <w:sz w:val="18"/>
          <w:szCs w:val="18"/>
          <w:color w:val="auto"/>
        </w:rPr>
      </w:pPr>
    </w:p>
    <w:p>
      <w:pPr>
        <w:ind w:left="2180" w:hanging="552"/>
        <w:spacing w:after="0"/>
        <w:tabs>
          <w:tab w:leader="none" w:pos="21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all such Securities not theretofore delivered to the Trustee for cancellation</w:t>
      </w:r>
    </w:p>
    <w:p>
      <w:pPr>
        <w:spacing w:after="0" w:line="225" w:lineRule="exact"/>
        <w:rPr>
          <w:rFonts w:ascii="Arial" w:cs="Arial" w:eastAsia="Arial" w:hAnsi="Arial"/>
          <w:sz w:val="18"/>
          <w:szCs w:val="18"/>
          <w:color w:val="auto"/>
        </w:rPr>
      </w:pPr>
    </w:p>
    <w:p>
      <w:pPr>
        <w:ind w:left="2440" w:hanging="488"/>
        <w:spacing w:after="0"/>
        <w:tabs>
          <w:tab w:leader="none" w:pos="2440" w:val="left"/>
        </w:tabs>
        <w:numPr>
          <w:ilvl w:val="2"/>
          <w:numId w:val="51"/>
        </w:numPr>
        <w:rPr>
          <w:rFonts w:ascii="Arial" w:cs="Arial" w:eastAsia="Arial" w:hAnsi="Arial"/>
          <w:sz w:val="18"/>
          <w:szCs w:val="18"/>
          <w:color w:val="auto"/>
        </w:rPr>
      </w:pPr>
      <w:r>
        <w:rPr>
          <w:rFonts w:ascii="Arial" w:cs="Arial" w:eastAsia="Arial" w:hAnsi="Arial"/>
          <w:sz w:val="18"/>
          <w:szCs w:val="18"/>
          <w:color w:val="auto"/>
        </w:rPr>
        <w:t>have become due and payable, or</w:t>
      </w:r>
    </w:p>
    <w:p>
      <w:pPr>
        <w:spacing w:after="0" w:line="225" w:lineRule="exact"/>
        <w:rPr>
          <w:rFonts w:ascii="Arial" w:cs="Arial" w:eastAsia="Arial" w:hAnsi="Arial"/>
          <w:sz w:val="18"/>
          <w:szCs w:val="18"/>
          <w:color w:val="auto"/>
        </w:rPr>
      </w:pPr>
    </w:p>
    <w:p>
      <w:pPr>
        <w:ind w:left="2480" w:hanging="528"/>
        <w:spacing w:after="0"/>
        <w:tabs>
          <w:tab w:leader="none" w:pos="2480" w:val="left"/>
        </w:tabs>
        <w:numPr>
          <w:ilvl w:val="2"/>
          <w:numId w:val="51"/>
        </w:numPr>
        <w:rPr>
          <w:rFonts w:ascii="Arial" w:cs="Arial" w:eastAsia="Arial" w:hAnsi="Arial"/>
          <w:sz w:val="18"/>
          <w:szCs w:val="18"/>
          <w:color w:val="auto"/>
        </w:rPr>
      </w:pPr>
      <w:r>
        <w:rPr>
          <w:rFonts w:ascii="Arial" w:cs="Arial" w:eastAsia="Arial" w:hAnsi="Arial"/>
          <w:sz w:val="18"/>
          <w:szCs w:val="18"/>
          <w:color w:val="auto"/>
        </w:rPr>
        <w:t>will become due and payable at their Stated Maturity within one year, or</w:t>
      </w:r>
    </w:p>
    <w:p>
      <w:pPr>
        <w:spacing w:after="0" w:line="225" w:lineRule="exact"/>
        <w:rPr>
          <w:rFonts w:ascii="Arial" w:cs="Arial" w:eastAsia="Arial" w:hAnsi="Arial"/>
          <w:sz w:val="18"/>
          <w:szCs w:val="18"/>
          <w:color w:val="auto"/>
        </w:rPr>
      </w:pPr>
    </w:p>
    <w:p>
      <w:pPr>
        <w:ind w:left="1300" w:firstLine="652"/>
        <w:spacing w:after="0" w:line="277" w:lineRule="auto"/>
        <w:tabs>
          <w:tab w:leader="none" w:pos="2547" w:val="left"/>
        </w:tabs>
        <w:numPr>
          <w:ilvl w:val="2"/>
          <w:numId w:val="51"/>
        </w:numPr>
        <w:rPr>
          <w:rFonts w:ascii="Arial" w:cs="Arial" w:eastAsia="Arial" w:hAnsi="Arial"/>
          <w:sz w:val="18"/>
          <w:szCs w:val="18"/>
          <w:color w:val="auto"/>
        </w:rPr>
      </w:pPr>
      <w:r>
        <w:rPr>
          <w:rFonts w:ascii="Arial" w:cs="Arial" w:eastAsia="Arial" w:hAnsi="Arial"/>
          <w:sz w:val="18"/>
          <w:szCs w:val="18"/>
          <w:color w:val="auto"/>
        </w:rPr>
        <w:t>are to be called for redemption within one year under arrangements satisfactory to the Trustee for the giving of notice of redemption by the Trustee in the name, and at the expense, of the Company,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and the Company, in the case of (i), (ii) or (iii) above, has deposited or caused to be deposited with the Trustee as trust funds in trust for the purpose money in an amount sufficient to pay and discharge the entire indebtedness on such Securities not theretofore delivered to the Trustee for cancellation, for principal and any premium and interest to the date of such deposit (in the case of Securities which have become due and payable) or to the Stated Maturity or Redemption Date, as the case may be;</w:t>
      </w:r>
    </w:p>
    <w:p>
      <w:pPr>
        <w:spacing w:after="0" w:line="187" w:lineRule="exact"/>
        <w:rPr>
          <w:sz w:val="20"/>
          <w:szCs w:val="20"/>
          <w:color w:val="auto"/>
        </w:rPr>
      </w:pPr>
    </w:p>
    <w:p>
      <w:pPr>
        <w:ind w:left="1820" w:hanging="516"/>
        <w:spacing w:after="0"/>
        <w:tabs>
          <w:tab w:leader="none" w:pos="18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Company has paid or caused to be paid all other sums payable hereunder by the Company; and</w:t>
      </w:r>
    </w:p>
    <w:p>
      <w:pPr>
        <w:spacing w:after="0" w:line="225" w:lineRule="exact"/>
        <w:rPr>
          <w:rFonts w:ascii="Arial" w:cs="Arial" w:eastAsia="Arial" w:hAnsi="Arial"/>
          <w:sz w:val="18"/>
          <w:szCs w:val="18"/>
          <w:color w:val="auto"/>
        </w:rPr>
      </w:pPr>
    </w:p>
    <w:p>
      <w:pPr>
        <w:ind w:left="660" w:firstLine="644"/>
        <w:spacing w:after="0" w:line="277" w:lineRule="auto"/>
        <w:tabs>
          <w:tab w:leader="none" w:pos="1953"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Company has delivered to the Trustee an Officers’ Certificate and an Opinion of Counsel, each stating that all conditions precedent herein provided for relating to the satisfaction and discharge of this Indenture have been complied with.</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Notwithstanding the satisfaction and discharge of this Indenture, the obligations of the Company to the Trustee under Section 6.7, the obligations of the Trustee to any Authenticating Agent under Section 6.14 and, if money shall have been deposited with the Trustee pursuant to subclause (B) of clause (1) of this Section, the obligations of the Trustee under Section 4.2 and the last paragraph of Section 10.3 shall survive.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4.2 Application of Trust Money.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Subject to the provisions of the last paragraph of Section 10.3, all money deposited with the Trustee pursuant to Section 4.1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any premium and interest for whose payment such money has been deposited with the Trustee.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REMEDIES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5.1 Events of Default.</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“Event of Default,” wherever used herein with respect to Securities of any series, means any one of the following events (whatever the reason for such Event of Default and whether it shall be voluntary or involuntary or be effected by operation of law or pursuant to any judgment, decree or order of any court or any order, rule or regulation of any administrative or governmental body), unless in the Board Resolution, supplemental indenture or Officers’ Certificate establishing such series, it is provided that such series shall not have the benefit of said Event of Default:</w:t>
      </w:r>
    </w:p>
    <w:p>
      <w:pPr>
        <w:spacing w:after="0" w:line="157" w:lineRule="exact"/>
        <w:rPr>
          <w:sz w:val="20"/>
          <w:szCs w:val="20"/>
          <w:color w:val="auto"/>
        </w:rPr>
      </w:pPr>
    </w:p>
    <w:p>
      <w:pPr>
        <w:ind w:left="660" w:firstLine="644"/>
        <w:spacing w:after="0" w:line="277" w:lineRule="auto"/>
        <w:tabs>
          <w:tab w:leader="none" w:pos="18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default in the payment of any interest upon any Security of that series when it becomes due and payable, and continuance of such default for a period of 60 days; 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4" w:name="page65"/>
    <w:bookmarkEnd w:id="64"/>
    <w:p>
      <w:pPr>
        <w:ind w:left="700" w:hanging="516"/>
        <w:spacing w:after="0"/>
        <w:tabs>
          <w:tab w:leader="none" w:pos="7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default in the payment of the principal of or any premium on any Security of that series at its Maturity; or</w:t>
      </w:r>
    </w:p>
    <w:p>
      <w:pPr>
        <w:spacing w:after="0" w:line="225" w:lineRule="exact"/>
        <w:rPr>
          <w:rFonts w:ascii="Arial" w:cs="Arial" w:eastAsia="Arial" w:hAnsi="Arial"/>
          <w:sz w:val="18"/>
          <w:szCs w:val="18"/>
          <w:color w:val="auto"/>
        </w:rPr>
      </w:pPr>
    </w:p>
    <w:p>
      <w:pPr>
        <w:ind w:left="700" w:hanging="516"/>
        <w:spacing w:after="0"/>
        <w:tabs>
          <w:tab w:leader="none" w:pos="7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default in the deposit of any sinking fund payment, when and as due by the terms of a Security of that series; or</w:t>
      </w:r>
    </w:p>
    <w:p>
      <w:pPr>
        <w:spacing w:after="0" w:line="225" w:lineRule="exact"/>
        <w:rPr>
          <w:rFonts w:ascii="Arial" w:cs="Arial" w:eastAsia="Arial" w:hAnsi="Arial"/>
          <w:sz w:val="18"/>
          <w:szCs w:val="18"/>
          <w:color w:val="auto"/>
        </w:rPr>
      </w:pPr>
    </w:p>
    <w:p>
      <w:pPr>
        <w:jc w:val="both"/>
        <w:ind w:left="-460" w:firstLine="644"/>
        <w:spacing w:after="0" w:line="273" w:lineRule="auto"/>
        <w:tabs>
          <w:tab w:leader="none" w:pos="8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default in the performance, or breach, of any covenant or warranty of the Company in this Indenture (other than a covenant or warranty a default in whose performance or whose breach is elsewhere in this Section specifically dealt with or which has expressly been included in this Indenture solely for the benefit of series of Securities other than that series), and continuance of such default or breach for a period of 90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 or</w:t>
      </w:r>
    </w:p>
    <w:p>
      <w:pPr>
        <w:spacing w:after="0" w:line="177" w:lineRule="exact"/>
        <w:rPr>
          <w:rFonts w:ascii="Arial" w:cs="Arial" w:eastAsia="Arial" w:hAnsi="Arial"/>
          <w:sz w:val="17"/>
          <w:szCs w:val="17"/>
          <w:color w:val="auto"/>
        </w:rPr>
      </w:pPr>
    </w:p>
    <w:p>
      <w:pPr>
        <w:jc w:val="both"/>
        <w:ind w:left="-460" w:firstLine="644"/>
        <w:spacing w:after="0" w:line="254" w:lineRule="auto"/>
        <w:tabs>
          <w:tab w:leader="none" w:pos="871"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entry by a court having jurisdiction in the premises of (A) a decree or order for relief in respect of the Company in an involuntary case or proceeding under any applicable Federal or State bankruptcy, insolvency, reorganization or other similar law or (B) a decree or order adjudging the Company a bankrupt or insolvent, or approving as properly filed a petition seeking reorganization, arrangement, adjustment or composition of or in respect of the Company under any applicable Federal or State law, or appointing a custodian, receiver, liquidator, assignee, trustee, sequestrator or other similar official of the Company or of any substantial part of its property, or ordering the winding up or liquidation of its affairs, and the continuance of any such decree or order for relief or any such other decree or order unstayed and in effect for a period of 90 consecutive days; or</w:t>
      </w:r>
    </w:p>
    <w:p>
      <w:pPr>
        <w:spacing w:after="0" w:line="194" w:lineRule="exact"/>
        <w:rPr>
          <w:rFonts w:ascii="Arial" w:cs="Arial" w:eastAsia="Arial" w:hAnsi="Arial"/>
          <w:sz w:val="18"/>
          <w:szCs w:val="18"/>
          <w:color w:val="auto"/>
        </w:rPr>
      </w:pPr>
    </w:p>
    <w:p>
      <w:pPr>
        <w:jc w:val="both"/>
        <w:ind w:left="-460" w:firstLine="644"/>
        <w:spacing w:after="0" w:line="270" w:lineRule="auto"/>
        <w:tabs>
          <w:tab w:leader="none" w:pos="917"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commencement by the Company of a voluntary case or proceeding under any applicable Federal or State bankruptcy, insolvency, reorganization or other similar law or of any other case or proceeding to be adjudicated a bankrupt or insolvent, or the consent by it to the entry of a decree or order for relief in respect of the Company in an involuntary case or proceeding under any applicable Federal or State bankruptcy, insolvency, reorganization or other similar law or to the commencement of any bankruptcy or insolvency case or proceeding against it, or the filing by it of a petition or answer or consent seeking reorganization or relief under any applicable Federal or State law, or the consent by it to the filing of such petition or to the appointment of or taking possession by a custodian, receiver, liquidator, assignee, trustee, sequestrator or other similar official of the Company or of any substantial part of its property, or the making by it of an assignment for the benefit of creditors, or the admission by it in writing of its inability to pay its debts generally as they become due, or the taking of corporate action by the Company in furtherance of any such action; or</w:t>
      </w:r>
    </w:p>
    <w:p>
      <w:pPr>
        <w:spacing w:after="0" w:line="180" w:lineRule="exact"/>
        <w:rPr>
          <w:rFonts w:ascii="Arial" w:cs="Arial" w:eastAsia="Arial" w:hAnsi="Arial"/>
          <w:sz w:val="17"/>
          <w:szCs w:val="17"/>
          <w:color w:val="auto"/>
        </w:rPr>
      </w:pPr>
    </w:p>
    <w:p>
      <w:pPr>
        <w:ind w:left="-460" w:firstLine="644"/>
        <w:spacing w:after="0" w:line="277" w:lineRule="auto"/>
        <w:tabs>
          <w:tab w:leader="none" w:pos="782"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Securities of that series in the Board Resolution, supplemental indenture or Officers’ Certificate establishing that series.</w:t>
      </w:r>
    </w:p>
    <w:p>
      <w:pPr>
        <w:spacing w:after="0" w:line="17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5"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Section 5.2 Acceleration of Maturity; Rescission and Annulment.</w:t>
      </w:r>
    </w:p>
    <w:p>
      <w:pPr>
        <w:spacing w:after="0" w:line="229" w:lineRule="exact"/>
        <w:rPr>
          <w:sz w:val="20"/>
          <w:szCs w:val="20"/>
          <w:color w:val="auto"/>
        </w:rPr>
      </w:pPr>
    </w:p>
    <w:p>
      <w:pPr>
        <w:jc w:val="both"/>
        <w:ind w:firstLine="656"/>
        <w:spacing w:after="0" w:line="287" w:lineRule="auto"/>
        <w:tabs>
          <w:tab w:leader="none" w:pos="1257" w:val="left"/>
        </w:tabs>
        <w:numPr>
          <w:ilvl w:val="0"/>
          <w:numId w:val="55"/>
        </w:numPr>
        <w:rPr>
          <w:rFonts w:ascii="Arial" w:cs="Arial" w:eastAsia="Arial" w:hAnsi="Arial"/>
          <w:sz w:val="16"/>
          <w:szCs w:val="16"/>
          <w:color w:val="auto"/>
        </w:rPr>
      </w:pPr>
      <w:r>
        <w:rPr>
          <w:rFonts w:ascii="Arial" w:cs="Arial" w:eastAsia="Arial" w:hAnsi="Arial"/>
          <w:sz w:val="16"/>
          <w:szCs w:val="16"/>
          <w:color w:val="auto"/>
        </w:rPr>
        <w:t>Unless the Board Resolution, supplemental indenture or Officers’ Certificate establishing such series provides otherwise, if an Event of Default (other than an Event of Default specified in Section 5.1(5) or 5.1(6)) with respect to Securities of any series at the time Outstanding occurs and is continuing, then in every such case the Trustee or the Holders of not less than 25% in principal amount of the Outstanding Securities of that series may declare the principal amount of all the Securities of that series (or, if any Securities of that series are Original Issue Discount Securities, such portion of the principal amount of such Securities as may be specified by the terms thereof), and premium, if any, together with accrued and unpaid interest, if any, thereon, to be due and payable immediately, by a notice in writing to the Company (and to the Trustee if given by the Holders), and upon any such declaration such principal amount (or specified amount), and premium, if any, together with accrued and unpaid interest, if any, thereon, shall become immediately due and payable. If an Event of Default specified in Section 5.1(5) or 5.1(6) with respect to Securities of any series at the time Outstanding occurs, the principal amount of all the Securities of that series (or, if any Securities of that series are Original Issue Discount Securities, such portion of the principal amount of such Securities as may be specified by the terms thereof), and premium, if any, together with accrued and unpaid interest, if any, thereon, shall automatically, and without any declaration or other action on the part of the Trustee or any Holder, become immediately due and payable.</w:t>
      </w:r>
    </w:p>
    <w:p>
      <w:pPr>
        <w:spacing w:after="0" w:line="171" w:lineRule="exact"/>
        <w:rPr>
          <w:rFonts w:ascii="Arial" w:cs="Arial" w:eastAsia="Arial" w:hAnsi="Arial"/>
          <w:sz w:val="16"/>
          <w:szCs w:val="16"/>
          <w:color w:val="auto"/>
        </w:rPr>
      </w:pPr>
    </w:p>
    <w:p>
      <w:pPr>
        <w:jc w:val="both"/>
        <w:ind w:firstLine="656"/>
        <w:spacing w:after="0" w:line="287" w:lineRule="auto"/>
        <w:tabs>
          <w:tab w:leader="none" w:pos="1226" w:val="left"/>
        </w:tabs>
        <w:numPr>
          <w:ilvl w:val="0"/>
          <w:numId w:val="55"/>
        </w:numPr>
        <w:rPr>
          <w:rFonts w:ascii="Arial" w:cs="Arial" w:eastAsia="Arial" w:hAnsi="Arial"/>
          <w:sz w:val="16"/>
          <w:szCs w:val="16"/>
          <w:color w:val="auto"/>
        </w:rPr>
      </w:pPr>
      <w:r>
        <w:rPr>
          <w:rFonts w:ascii="Arial" w:cs="Arial" w:eastAsia="Arial" w:hAnsi="Arial"/>
          <w:sz w:val="16"/>
          <w:szCs w:val="16"/>
          <w:color w:val="auto"/>
        </w:rPr>
        <w:t>Notwithstanding the foregoing, at the election of the Company, the sole remedy with respect to an Event of Default for the failure by the Company to comply with its obligations under Section 314(a)(1) of the Trust Indenture Act relating to the Company’s failure to file any documents or reports that the Company is required to file with the SEC pursuant to Section 13 or 15(d) of the Exchange Act or of its covenants set forth in Section 7.4 (any such Event of Default, a “Reporting Default”), shall for the first 180 calendar days after the occurrence of such Reporting Default consist exclusively of the right to receive additional interest (the “Additional Interest”) on the Securities at an annual rate equal to (i) 0.25% of the principal amount of the Securities for the first 90 calendar days after the occurrence of such Reporting Default and (ii) 0.50% of the principal amount of the Securities from the 91st day to, and including, the 180th day after the occurrence of such Reporting Default. If the Company so elects, the Additional Interest shall accrue on all Outstanding Securities from and including the date on which such Reporting Default first occurs until such violation is cured or waived and shall be payable as provided in Section 3.7. On the 181 st day after such Reporting Default (if such violation is not cured or waived prior to such 181 st calendar day), then the Trustee or the Holders of not less than 25% in principal amount of the Outstanding securities may declare the principal of, and premium, if any, together with accrued and unpaid interest, if any, on all such Securities to be due and payable immediately.</w:t>
      </w:r>
    </w:p>
    <w:p>
      <w:pPr>
        <w:spacing w:after="0" w:line="17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the Company elects to pay the Additional Interest as the sole remedy for the Reporting Default, the Company shall notify in writing, by a certificate, the Holders, the Paying Agent and the Trustee of such election at any time on or before the close of business on the first Business Day following the date on which such Event of Default first occurs. Unless and until a Responsible Officer of the Trustee receives at the Corporate Trust Office such a certificate, the Trustee may assume without inquiry that Additional Interest is not payable. The Company shall pay the Additional Interest semi-annually in arrears, with the first semi-annual payment due on the first Interest Payment Date following the date of such Reporting Default, in the same manner as described on the face of the Security.</w:t>
      </w:r>
    </w:p>
    <w:p>
      <w:pPr>
        <w:spacing w:after="0" w:line="192" w:lineRule="exact"/>
        <w:rPr>
          <w:sz w:val="20"/>
          <w:szCs w:val="20"/>
          <w:color w:val="auto"/>
        </w:rPr>
      </w:pPr>
    </w:p>
    <w:p>
      <w:pPr>
        <w:jc w:val="both"/>
        <w:ind w:firstLine="656"/>
        <w:spacing w:after="0" w:line="311" w:lineRule="auto"/>
        <w:tabs>
          <w:tab w:leader="none" w:pos="1177" w:val="left"/>
        </w:tabs>
        <w:numPr>
          <w:ilvl w:val="0"/>
          <w:numId w:val="56"/>
        </w:numPr>
        <w:rPr>
          <w:rFonts w:ascii="Arial" w:cs="Arial" w:eastAsia="Arial" w:hAnsi="Arial"/>
          <w:sz w:val="16"/>
          <w:szCs w:val="16"/>
          <w:color w:val="auto"/>
        </w:rPr>
      </w:pPr>
      <w:r>
        <w:rPr>
          <w:rFonts w:ascii="Arial" w:cs="Arial" w:eastAsia="Arial" w:hAnsi="Arial"/>
          <w:sz w:val="16"/>
          <w:szCs w:val="16"/>
          <w:color w:val="auto"/>
        </w:rPr>
        <w:t>At any time after such a declaration of acceleration with respect to Securities of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w:t>
      </w:r>
    </w:p>
    <w:p>
      <w:pPr>
        <w:spacing w:after="0" w:line="148" w:lineRule="exact"/>
        <w:rPr>
          <w:rFonts w:ascii="Arial" w:cs="Arial" w:eastAsia="Arial" w:hAnsi="Arial"/>
          <w:sz w:val="16"/>
          <w:szCs w:val="16"/>
          <w:color w:val="auto"/>
        </w:rPr>
      </w:pPr>
    </w:p>
    <w:p>
      <w:pPr>
        <w:ind w:left="1820" w:hanging="516"/>
        <w:spacing w:after="0"/>
        <w:tabs>
          <w:tab w:leader="none" w:pos="18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Company has paid or deposited with the Trustee a sum sufficient to pay</w:t>
      </w:r>
    </w:p>
    <w:p>
      <w:pPr>
        <w:spacing w:after="0" w:line="225" w:lineRule="exact"/>
        <w:rPr>
          <w:rFonts w:ascii="Arial" w:cs="Arial" w:eastAsia="Arial" w:hAnsi="Arial"/>
          <w:sz w:val="18"/>
          <w:szCs w:val="18"/>
          <w:color w:val="auto"/>
        </w:rPr>
      </w:pPr>
    </w:p>
    <w:p>
      <w:pPr>
        <w:ind w:left="2200" w:hanging="572"/>
        <w:spacing w:after="0"/>
        <w:tabs>
          <w:tab w:leader="none" w:pos="2200" w:val="left"/>
        </w:tabs>
        <w:numPr>
          <w:ilvl w:val="2"/>
          <w:numId w:val="56"/>
        </w:numPr>
        <w:rPr>
          <w:rFonts w:ascii="Arial" w:cs="Arial" w:eastAsia="Arial" w:hAnsi="Arial"/>
          <w:sz w:val="18"/>
          <w:szCs w:val="18"/>
          <w:color w:val="auto"/>
        </w:rPr>
      </w:pPr>
      <w:r>
        <w:rPr>
          <w:rFonts w:ascii="Arial" w:cs="Arial" w:eastAsia="Arial" w:hAnsi="Arial"/>
          <w:sz w:val="18"/>
          <w:szCs w:val="18"/>
          <w:color w:val="auto"/>
        </w:rPr>
        <w:t>all overdue interest on all Securities of that series,</w:t>
      </w:r>
    </w:p>
    <w:p>
      <w:pPr>
        <w:spacing w:after="0" w:line="225" w:lineRule="exact"/>
        <w:rPr>
          <w:rFonts w:ascii="Arial" w:cs="Arial" w:eastAsia="Arial" w:hAnsi="Arial"/>
          <w:sz w:val="18"/>
          <w:szCs w:val="18"/>
          <w:color w:val="auto"/>
        </w:rPr>
      </w:pPr>
    </w:p>
    <w:p>
      <w:pPr>
        <w:ind w:left="980" w:firstLine="648"/>
        <w:spacing w:after="0" w:line="277" w:lineRule="auto"/>
        <w:tabs>
          <w:tab w:leader="none" w:pos="2330" w:val="left"/>
        </w:tabs>
        <w:numPr>
          <w:ilvl w:val="2"/>
          <w:numId w:val="56"/>
        </w:numPr>
        <w:rPr>
          <w:rFonts w:ascii="Arial" w:cs="Arial" w:eastAsia="Arial" w:hAnsi="Arial"/>
          <w:sz w:val="18"/>
          <w:szCs w:val="18"/>
          <w:color w:val="auto"/>
        </w:rPr>
      </w:pPr>
      <w:r>
        <w:rPr>
          <w:rFonts w:ascii="Arial" w:cs="Arial" w:eastAsia="Arial" w:hAnsi="Arial"/>
          <w:sz w:val="18"/>
          <w:szCs w:val="18"/>
          <w:color w:val="auto"/>
        </w:rPr>
        <w:t>the principal of (and premium, if any, on) any Securities of that series which have become due otherwise than by such declaration of acceleration and any interest thereon at the rate or rates prescribed therefor in such Securities,</w:t>
      </w:r>
    </w:p>
    <w:p>
      <w:pPr>
        <w:spacing w:after="0" w:line="170" w:lineRule="exact"/>
        <w:rPr>
          <w:rFonts w:ascii="Arial" w:cs="Arial" w:eastAsia="Arial" w:hAnsi="Arial"/>
          <w:sz w:val="18"/>
          <w:szCs w:val="18"/>
          <w:color w:val="auto"/>
        </w:rPr>
      </w:pPr>
    </w:p>
    <w:p>
      <w:pPr>
        <w:ind w:left="980" w:firstLine="648"/>
        <w:spacing w:after="0" w:line="277" w:lineRule="auto"/>
        <w:tabs>
          <w:tab w:leader="none" w:pos="2237" w:val="left"/>
        </w:tabs>
        <w:numPr>
          <w:ilvl w:val="2"/>
          <w:numId w:val="56"/>
        </w:numPr>
        <w:rPr>
          <w:rFonts w:ascii="Arial" w:cs="Arial" w:eastAsia="Arial" w:hAnsi="Arial"/>
          <w:sz w:val="18"/>
          <w:szCs w:val="18"/>
          <w:color w:val="auto"/>
        </w:rPr>
      </w:pPr>
      <w:r>
        <w:rPr>
          <w:rFonts w:ascii="Arial" w:cs="Arial" w:eastAsia="Arial" w:hAnsi="Arial"/>
          <w:sz w:val="18"/>
          <w:szCs w:val="18"/>
          <w:color w:val="auto"/>
        </w:rPr>
        <w:t>to the extent that payment of such interest is lawful, interest upon overdue interest at the rate or rates prescribed therefor in such Securities, and</w:t>
      </w:r>
    </w:p>
    <w:p>
      <w:pPr>
        <w:spacing w:after="0" w:line="170" w:lineRule="exact"/>
        <w:rPr>
          <w:rFonts w:ascii="Arial" w:cs="Arial" w:eastAsia="Arial" w:hAnsi="Arial"/>
          <w:sz w:val="18"/>
          <w:szCs w:val="18"/>
          <w:color w:val="auto"/>
        </w:rPr>
      </w:pPr>
    </w:p>
    <w:p>
      <w:pPr>
        <w:ind w:left="980" w:firstLine="648"/>
        <w:spacing w:after="0" w:line="277" w:lineRule="auto"/>
        <w:tabs>
          <w:tab w:leader="none" w:pos="2205" w:val="left"/>
        </w:tabs>
        <w:numPr>
          <w:ilvl w:val="2"/>
          <w:numId w:val="56"/>
        </w:numPr>
        <w:rPr>
          <w:rFonts w:ascii="Arial" w:cs="Arial" w:eastAsia="Arial" w:hAnsi="Arial"/>
          <w:sz w:val="18"/>
          <w:szCs w:val="18"/>
          <w:color w:val="auto"/>
        </w:rPr>
      </w:pPr>
      <w:r>
        <w:rPr>
          <w:rFonts w:ascii="Arial" w:cs="Arial" w:eastAsia="Arial" w:hAnsi="Arial"/>
          <w:sz w:val="18"/>
          <w:szCs w:val="18"/>
          <w:color w:val="auto"/>
        </w:rPr>
        <w:t>all sums paid or advanced by the Trustee hereunder and the reasonable compensation, expenses, disbursements and advances of the Trustee, its agents and counsel;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6" w:name="page67"/>
    <w:bookmarkEnd w:id="66"/>
    <w:p>
      <w:pPr>
        <w:ind w:left="660" w:right="20" w:firstLine="644"/>
        <w:spacing w:after="0" w:line="308" w:lineRule="auto"/>
        <w:tabs>
          <w:tab w:leader="none" w:pos="1934" w:val="left"/>
        </w:tabs>
        <w:numPr>
          <w:ilvl w:val="0"/>
          <w:numId w:val="57"/>
        </w:numPr>
        <w:rPr>
          <w:rFonts w:ascii="Arial" w:cs="Arial" w:eastAsia="Arial" w:hAnsi="Arial"/>
          <w:sz w:val="17"/>
          <w:szCs w:val="17"/>
          <w:color w:val="auto"/>
        </w:rPr>
      </w:pPr>
      <w:r>
        <w:rPr>
          <w:rFonts w:ascii="Arial" w:cs="Arial" w:eastAsia="Arial" w:hAnsi="Arial"/>
          <w:sz w:val="17"/>
          <w:szCs w:val="17"/>
          <w:color w:val="auto"/>
        </w:rPr>
        <w:t>all Events of Default with respect to Securities of that series, other than the non-payment of the principal of Securities of that series which have become due solely by such declaration of acceleration, have been cured or waived as provided in Section 5.13.</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such rescission shall affect any subsequent default or impair any right consequent thereon.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5.3 Collection of Indebtedness and Suits for Enforcement by Trustee.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covenants that if</w:t>
      </w:r>
    </w:p>
    <w:p>
      <w:pPr>
        <w:spacing w:after="0" w:line="225" w:lineRule="exact"/>
        <w:rPr>
          <w:sz w:val="20"/>
          <w:szCs w:val="20"/>
          <w:color w:val="auto"/>
        </w:rPr>
      </w:pPr>
    </w:p>
    <w:p>
      <w:pPr>
        <w:ind w:left="660" w:firstLine="644"/>
        <w:spacing w:after="0" w:line="277" w:lineRule="auto"/>
        <w:tabs>
          <w:tab w:leader="none" w:pos="1944"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default is made in the payment of any interest on any Security when such interest becomes due and payable and such default continues for a period of 30 days, or</w:t>
      </w:r>
    </w:p>
    <w:p>
      <w:pPr>
        <w:spacing w:after="0" w:line="170" w:lineRule="exact"/>
        <w:rPr>
          <w:rFonts w:ascii="Arial" w:cs="Arial" w:eastAsia="Arial" w:hAnsi="Arial"/>
          <w:sz w:val="18"/>
          <w:szCs w:val="18"/>
          <w:color w:val="auto"/>
        </w:rPr>
      </w:pPr>
    </w:p>
    <w:p>
      <w:pPr>
        <w:jc w:val="both"/>
        <w:ind w:left="660" w:firstLine="644"/>
        <w:spacing w:after="0" w:line="255" w:lineRule="auto"/>
        <w:tabs>
          <w:tab w:leader="none" w:pos="1842"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default is made in the payment of the principal of (or premium, if any, on) any Security at the Maturity thereof, the Company will, upon demand of the Trustee, pay to it, for the benefit of the Holders of such Securities, the whole amount then due and payable on such Securities for principal and any premium and interest and, to the extent that payment of such interest shall be legally enforceable, interest on any overdue principal and premium and on any overdue interest, at the rate or rates prescribed therefor in such Securities, and, in addition thereto, such further amount as shall be sufficient to cover the costs and expenses of collection, including the reasonable compensation, expenses, disbursements and advances of the Trustee, its agents and counsel.</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an Event of Default with respect to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5.4 Trustee May File Proofs of Claim.</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case of any judicial proceeding relative to the Company (or any other obligor upon the Securities), its property or its creditors, the Trustee shall be entitled and empowered, by intervention in such proceeding or otherwise, to take any and all actions authorized under the Trust Indenture Act in order to have claims of the Holders and the Trustee allowed in any such proceeding. In particular, the Trustee shall be authorized to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reasonable compensation, expenses, disbursements and advances of the Trustee, its agents and counsel, and any other amounts due the Trustee under Section 6.7.</w:t>
      </w:r>
    </w:p>
    <w:p>
      <w:pPr>
        <w:spacing w:after="0" w:line="16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No provision of this Indenture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Trustee may, on behalf of the Holders, vote for the election of a trustee in bankruptcy or similar official and be a member of a creditors’ or other similar committee.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5.5 Trustee May Enforce Claims Without Possession of Securities.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in respect of which such judgment has been recovered.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Section 5.6 Application of Money Collected.</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Any money collected by the Trustee pursuant to this Article shall be applied in the following order, at the date or dates fixed by the Trustee and, in case of the distribution of such money on account of principal or any premium or interest, upon presentation of the Securities and the notation thereon of the payment if only partially paid and upon surrender thereof if fully paid: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FIRST: To the payment of all amounts due the Trustee under Section 6.7;</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SECOND: To the payment of the amounts then due and unpaid for principal of and any premium, if any, and interest on the Securities in respect of which or for the benefit of which such money has been collected, ratably, without preference or priority of any kind, according to the amounts due and payable on such Securities for principal and any premium, if any, and interest, respectively; and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THIRD: The balance, if any, to the Company or any other Person or Persons entitled thereto.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5.7 Limitation on Suits.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No Holder of any Security of any series shall have any right to institute any proceeding, judicial or otherwise, with respect to this Indenture, or for the appointment of a receiver or trustee, or for any other remedy hereunder, unless</w:t>
      </w:r>
    </w:p>
    <w:p>
      <w:pPr>
        <w:spacing w:after="0" w:line="170" w:lineRule="exact"/>
        <w:rPr>
          <w:sz w:val="20"/>
          <w:szCs w:val="20"/>
          <w:color w:val="auto"/>
        </w:rPr>
      </w:pPr>
    </w:p>
    <w:p>
      <w:pPr>
        <w:ind w:left="1880" w:hanging="576"/>
        <w:spacing w:after="0"/>
        <w:tabs>
          <w:tab w:leader="none" w:pos="18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such Holder has previously given written notice to the Trustee of a continuing Event of Default with respect to the Securities of</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that series;</w:t>
      </w:r>
    </w:p>
    <w:p>
      <w:pPr>
        <w:spacing w:after="0" w:line="210" w:lineRule="exact"/>
        <w:rPr>
          <w:rFonts w:ascii="Arial" w:cs="Arial" w:eastAsia="Arial" w:hAnsi="Arial"/>
          <w:sz w:val="16"/>
          <w:szCs w:val="16"/>
          <w:color w:val="auto"/>
        </w:rPr>
      </w:pPr>
    </w:p>
    <w:p>
      <w:pPr>
        <w:ind w:left="660" w:firstLine="644"/>
        <w:spacing w:after="0" w:line="308" w:lineRule="auto"/>
        <w:tabs>
          <w:tab w:leader="none" w:pos="1934"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Holders of at least 25% in aggregate principal amount of the Outstanding Securities of that series shall have made written request to the Trustee to institute proceedings in respect of such Event of Default in its own name as Trustee hereunder;</w:t>
      </w:r>
    </w:p>
    <w:p>
      <w:pPr>
        <w:spacing w:after="0" w:line="146" w:lineRule="exact"/>
        <w:rPr>
          <w:rFonts w:ascii="Arial" w:cs="Arial" w:eastAsia="Arial" w:hAnsi="Arial"/>
          <w:sz w:val="17"/>
          <w:szCs w:val="17"/>
          <w:color w:val="auto"/>
        </w:rPr>
      </w:pPr>
    </w:p>
    <w:p>
      <w:pPr>
        <w:ind w:left="660" w:firstLine="644"/>
        <w:spacing w:after="0" w:line="277" w:lineRule="auto"/>
        <w:tabs>
          <w:tab w:leader="none" w:pos="1869" w:val="left"/>
        </w:tabs>
        <w:numPr>
          <w:ilvl w:val="0"/>
          <w:numId w:val="59"/>
        </w:numPr>
        <w:rPr>
          <w:rFonts w:ascii="Arial" w:cs="Arial" w:eastAsia="Arial" w:hAnsi="Arial"/>
          <w:sz w:val="18"/>
          <w:szCs w:val="18"/>
          <w:color w:val="auto"/>
        </w:rPr>
      </w:pPr>
      <w:r>
        <w:rPr>
          <w:rFonts w:ascii="Arial" w:cs="Arial" w:eastAsia="Arial" w:hAnsi="Arial"/>
          <w:sz w:val="18"/>
          <w:szCs w:val="18"/>
          <w:color w:val="auto"/>
        </w:rPr>
        <w:t>such Holder or Holders have offered to the Trustee reasonable indemnity against the costs, expenses and liabilities to be incurred in compliance with such request;</w:t>
      </w:r>
    </w:p>
    <w:p>
      <w:pPr>
        <w:spacing w:after="0" w:line="170" w:lineRule="exact"/>
        <w:rPr>
          <w:rFonts w:ascii="Arial" w:cs="Arial" w:eastAsia="Arial" w:hAnsi="Arial"/>
          <w:sz w:val="18"/>
          <w:szCs w:val="18"/>
          <w:color w:val="auto"/>
        </w:rPr>
      </w:pPr>
    </w:p>
    <w:p>
      <w:pPr>
        <w:ind w:left="1880" w:hanging="576"/>
        <w:spacing w:after="0"/>
        <w:tabs>
          <w:tab w:leader="none" w:pos="18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Trustee for 60 days after its receipt of such notice, request and offer of indemnity has failed to institute any such proceeding;</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ind w:left="660" w:right="280" w:firstLine="644"/>
        <w:spacing w:after="0" w:line="277" w:lineRule="auto"/>
        <w:tabs>
          <w:tab w:leader="none" w:pos="1833" w:val="left"/>
        </w:tabs>
        <w:numPr>
          <w:ilvl w:val="0"/>
          <w:numId w:val="59"/>
        </w:numPr>
        <w:rPr>
          <w:rFonts w:ascii="Arial" w:cs="Arial" w:eastAsia="Arial" w:hAnsi="Arial"/>
          <w:sz w:val="18"/>
          <w:szCs w:val="18"/>
          <w:color w:val="auto"/>
        </w:rPr>
      </w:pPr>
      <w:r>
        <w:rPr>
          <w:rFonts w:ascii="Arial" w:cs="Arial" w:eastAsia="Arial" w:hAnsi="Arial"/>
          <w:sz w:val="18"/>
          <w:szCs w:val="18"/>
          <w:color w:val="auto"/>
        </w:rPr>
        <w:t>no direction inconsistent with such written request has been given to the Trustee during such 60-day period by the Holders of a majority in principal amount of the Outstanding Securities of that series;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of such Holders.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5.8 Unconditional Right of Holders to Receive Principal, Premium and Interest and to Convert.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Notwithstanding any other provision in this Indenture, the Holder of any Security shall have the right, which is absolute and unconditional, to receive payment of the principal of and any premium and (subject to Section 3.7) interest on such Security on the respective Stated Maturities expressed in such Security (or, in the case of redemption, on the Redemption Date), to convert such Securities in accordance with Article 14 to the extent that such right to convert is applicable to such Security, and to institute suit for the enforcement of any such payment, and such rights shall not be impaired without the consent of such Holder.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Section 5.9 Restoration of Rights and Remedies.</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5.10 Rights and Remedies Cumulative.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Except as otherwise provided with respect to the replacement or payment of mutilated, destroyed, lost or stolen Securities in the last paragraph of Section 3.6,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5.11 Delay or Omission Not Waiver.</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(subject to the limitations contained in this Indenture) or by the Holders, as the case may be.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5.12 Control by Holders.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184" w:lineRule="exact"/>
        <w:rPr>
          <w:sz w:val="20"/>
          <w:szCs w:val="20"/>
          <w:color w:val="auto"/>
        </w:rPr>
      </w:pPr>
    </w:p>
    <w:p>
      <w:pPr>
        <w:ind w:left="660" w:right="20" w:firstLine="644"/>
        <w:spacing w:after="0" w:line="342" w:lineRule="auto"/>
        <w:tabs>
          <w:tab w:leader="none" w:pos="1836" w:val="left"/>
        </w:tabs>
        <w:numPr>
          <w:ilvl w:val="0"/>
          <w:numId w:val="60"/>
        </w:numPr>
        <w:rPr>
          <w:rFonts w:ascii="Arial" w:cs="Arial" w:eastAsia="Arial" w:hAnsi="Arial"/>
          <w:sz w:val="16"/>
          <w:szCs w:val="16"/>
          <w:color w:val="auto"/>
        </w:rPr>
      </w:pPr>
      <w:r>
        <w:rPr>
          <w:rFonts w:ascii="Arial" w:cs="Arial" w:eastAsia="Arial" w:hAnsi="Arial"/>
          <w:sz w:val="16"/>
          <w:szCs w:val="16"/>
          <w:color w:val="auto"/>
        </w:rPr>
        <w:t>such direction shall not be in conflict with any rule of law or with this Indenture and the Trustee shall not have determined that the action so directed would be unjustly prejudicial to Holders of Securities of that series, or any other series, not taking part in such direction; and</w:t>
      </w:r>
    </w:p>
    <w:p>
      <w:pPr>
        <w:spacing w:after="0" w:line="123" w:lineRule="exact"/>
        <w:rPr>
          <w:rFonts w:ascii="Arial" w:cs="Arial" w:eastAsia="Arial" w:hAnsi="Arial"/>
          <w:sz w:val="16"/>
          <w:szCs w:val="16"/>
          <w:color w:val="auto"/>
        </w:rPr>
      </w:pPr>
    </w:p>
    <w:p>
      <w:pPr>
        <w:ind w:left="2020" w:hanging="716"/>
        <w:spacing w:after="0"/>
        <w:tabs>
          <w:tab w:leader="none" w:pos="20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Trustee may take any other action deemed proper by the Trustee which is not inconsistent with such direction or this</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Indenture.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5.13 Waiver of Past Defaults.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Holders of not less than a majority in principal amount of the Outstanding Securities of any series may on behalf of the Holders of all the Securities of such series waive any past default hereunder with respect to such series and its consequences, except</w:t>
      </w:r>
    </w:p>
    <w:p>
      <w:pPr>
        <w:spacing w:after="0" w:line="170" w:lineRule="exact"/>
        <w:rPr>
          <w:sz w:val="20"/>
          <w:szCs w:val="20"/>
          <w:color w:val="auto"/>
        </w:rPr>
      </w:pPr>
    </w:p>
    <w:p>
      <w:pPr>
        <w:jc w:val="both"/>
        <w:ind w:left="660" w:right="20" w:firstLine="644"/>
        <w:spacing w:after="0" w:line="263" w:lineRule="auto"/>
        <w:tabs>
          <w:tab w:leader="none" w:pos="1868"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default in the payment of the principal of or any premium or interest on any Security of such series as and when the same shall become due and payable by the terms thereof, otherwise than by acceleration (unless such default has been cured and a sum sufficient to pay all matured installments of interest, principal and premium, if any, has been deposited with the Trustee), or</w:t>
      </w:r>
    </w:p>
    <w:p>
      <w:pPr>
        <w:spacing w:after="0" w:line="183" w:lineRule="exact"/>
        <w:rPr>
          <w:rFonts w:ascii="Arial" w:cs="Arial" w:eastAsia="Arial" w:hAnsi="Arial"/>
          <w:sz w:val="18"/>
          <w:szCs w:val="18"/>
          <w:color w:val="auto"/>
        </w:rPr>
      </w:pPr>
    </w:p>
    <w:p>
      <w:pPr>
        <w:ind w:left="1860" w:hanging="556"/>
        <w:spacing w:after="0"/>
        <w:tabs>
          <w:tab w:leader="none" w:pos="18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to the extent such right is applicable to such Security, a failure by the Company on request to convert any Security into Common</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Stock; or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9" w:name="page70"/>
    <w:bookmarkEnd w:id="69"/>
    <w:p>
      <w:pPr>
        <w:ind w:left="660" w:firstLine="644"/>
        <w:spacing w:after="0" w:line="277" w:lineRule="auto"/>
        <w:tabs>
          <w:tab w:leader="none" w:pos="1937"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 respect of a covenant or provision hereof which under Article 9 cannot be modified or amended without the consent of the Holder of each Outstanding Security of such series affected.</w:t>
      </w:r>
    </w:p>
    <w:p>
      <w:pPr>
        <w:spacing w:after="0" w:line="170"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5.14 Undertaking for Costs.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In any suit for the enforcement of any right or remedy under this Indenture, or in any suit against the Trustee for any action taken, suffered or omitted by it as Trustee, a court may require any party litigant in such suit to file an undertaking to pay the costs of such suit, and may assess costs against any such party litigant, in the manner and to the extent provided in the Trust Indenture Act;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neither this Section nor the Trust Indenture Act shall be deemed to authorize any court to require such an undertaking or to make such an assessment in any suit instituted by the Company or in any suit for the enforcement of the right to convert any Security in accordance with Article 14.</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5.15 Waiver of Usury, Stay or Extension Laws.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covenants (to the extent that it may lawfully do so) that it will not at any time insist upon, or plead, or in any manner whatsoever claim or take the benefit or advantage of, any usury, stay or extension law wherever enacted, now or at any time hereafter in force, which may affect the covenants or the performance of this Indenture; and the Company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TRUSTEE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6.1 Certain Duties and Responsibilities.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duties and responsibilities of the Trustee shall be as provided by the Trust Indenture Act. Notwithstanding the foregoing, 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 Whether or not therein expressly so provided, every provision of this Indenture relating to the conduct or affecting the liability of or affording protection to the Trustee shall be subject to the provisions of this Section.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6.2 Notice of Defaults.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If a default occurs hereunder with respect to Securities of any series, the Trustee shall give the Holders of Securities of such series notice of such default as and to the extent provided by the Trust Indenture Act;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except in the case of a default in the payment of principal of (or premium, if any) or interest on any Securities of such series or in the payment of any sinking fund installment or any conversion right applicable to Securities of such series, the Trustee shall be protected in withholding such notice if and so long as a trust committee of directors and/or Responsible Officers of the Trustee in good faith determine that the withholding of such notice is in the interests of the holders of Securities of such series;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case of any default of the character specified in Section 5.1(4) with respect to Securities of such series, no such notice to Holders shall be given until at least 60 days after the occurrence thereof. For the purpose of this Section, the term “default” means any event which is, or after notice or lapse of time or both would become, an Event of Default with respect to Securities of such series.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0" w:name="page71"/>
    <w:bookmarkEnd w:id="70"/>
    <w:p>
      <w:pPr>
        <w:jc w:val="both"/>
        <w:ind w:firstLine="648"/>
        <w:spacing w:after="0" w:line="279" w:lineRule="auto"/>
        <w:rPr>
          <w:sz w:val="20"/>
          <w:szCs w:val="20"/>
          <w:color w:val="auto"/>
        </w:rPr>
      </w:pPr>
      <w:r>
        <w:rPr>
          <w:rFonts w:ascii="Arial" w:cs="Arial" w:eastAsia="Arial" w:hAnsi="Arial"/>
          <w:sz w:val="17"/>
          <w:szCs w:val="17"/>
          <w:color w:val="auto"/>
        </w:rPr>
        <w:t>Except with respect to Section 10.1, the Trustee shall have no duty to inquire as to the performance of the Company with respect to the covenants contained in Article 10. In addition, the Trustee shall not be deemed to have knowledge of an Event of Default except (i) any Default or Event of Default occurring pursuant to Sections 5.1(1), 5.1(2) and 5.1(3) (defaults in payments on the Securities) or (ii) any Default or Event of Default of which the Trustee shall have received written notification or a Responsible Officer of the Trustee obtained actual knowledge.</w:t>
      </w:r>
    </w:p>
    <w:p>
      <w:pPr>
        <w:spacing w:after="0" w:line="17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Delivery of reports, information and documents to the Trustee under Section 7.4 is for informational purposes only and the Trustee’s receipt of the foregoing shall not constitute constructive notice of any information contained therein or determinable from information contained therein, including the Company’s compliance with any of their covenants hereunder (as to which the Trustee is entitled to rely conclusively on Officers’ Certificates).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6.3 Certain Rights of Trustee.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Subject to the provisions of Section 6.1:</w:t>
      </w:r>
    </w:p>
    <w:p>
      <w:pPr>
        <w:spacing w:after="0" w:line="225" w:lineRule="exact"/>
        <w:rPr>
          <w:sz w:val="20"/>
          <w:szCs w:val="20"/>
          <w:color w:val="auto"/>
        </w:rPr>
      </w:pPr>
    </w:p>
    <w:p>
      <w:pPr>
        <w:jc w:val="both"/>
        <w:ind w:left="660" w:firstLine="644"/>
        <w:spacing w:after="0" w:line="259" w:lineRule="auto"/>
        <w:tabs>
          <w:tab w:leader="none" w:pos="1984"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 the absence of bad faith on the part of the Trustee, the Trustee may conclusively rely and shall be protected in acting or refraining from acting upon any resolution, certificate, statement, instrument, opinion, report, notice, request, direction, consent, order, bond, debenture, note, other evidence of indebtedness or other paper or document believed by it to be genuine and to have been signed or presented by the proper party or parties;</w:t>
      </w:r>
    </w:p>
    <w:p>
      <w:pPr>
        <w:spacing w:after="0" w:line="186" w:lineRule="exact"/>
        <w:rPr>
          <w:rFonts w:ascii="Arial" w:cs="Arial" w:eastAsia="Arial" w:hAnsi="Arial"/>
          <w:sz w:val="18"/>
          <w:szCs w:val="18"/>
          <w:color w:val="auto"/>
        </w:rPr>
      </w:pPr>
    </w:p>
    <w:p>
      <w:pPr>
        <w:ind w:left="660" w:firstLine="644"/>
        <w:spacing w:after="0" w:line="277" w:lineRule="auto"/>
        <w:tabs>
          <w:tab w:leader="none" w:pos="19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request or direction of the Company mentioned herein shall be sufficiently evidenced by a Company Request or Company Order, and any resolution of the Board of Directors shall be sufficiently evidenced by a Board Resolution;</w:t>
      </w:r>
    </w:p>
    <w:p>
      <w:pPr>
        <w:spacing w:after="0" w:line="170" w:lineRule="exact"/>
        <w:rPr>
          <w:rFonts w:ascii="Arial" w:cs="Arial" w:eastAsia="Arial" w:hAnsi="Arial"/>
          <w:sz w:val="18"/>
          <w:szCs w:val="18"/>
          <w:color w:val="auto"/>
        </w:rPr>
      </w:pPr>
    </w:p>
    <w:p>
      <w:pPr>
        <w:jc w:val="both"/>
        <w:ind w:left="660" w:firstLine="644"/>
        <w:spacing w:after="0" w:line="263" w:lineRule="auto"/>
        <w:tabs>
          <w:tab w:leader="none" w:pos="18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whenever in the administration of this Indenture the Trustee shall deem it desirable that a matter be proved or established prior to taking, suffering or omitting any action hereunder, the Trustee (unless other evidence be herein specifically prescribed) is entitled to and may, in the absence of bad faith on its part, conclusively rely upon an Officers’ Certificate;</w:t>
      </w:r>
    </w:p>
    <w:p>
      <w:pPr>
        <w:spacing w:after="0" w:line="183" w:lineRule="exact"/>
        <w:rPr>
          <w:rFonts w:ascii="Arial" w:cs="Arial" w:eastAsia="Arial" w:hAnsi="Arial"/>
          <w:sz w:val="18"/>
          <w:szCs w:val="18"/>
          <w:color w:val="auto"/>
        </w:rPr>
      </w:pPr>
    </w:p>
    <w:p>
      <w:pPr>
        <w:ind w:left="660" w:right="20" w:firstLine="644"/>
        <w:spacing w:after="0" w:line="342" w:lineRule="auto"/>
        <w:tabs>
          <w:tab w:leader="none" w:pos="1846"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Trustee may consult with counsel and the written advice of such counsel or any Opinion of Counsel shall be full and complete authorization and protection in respect of any action taken, suffered or omitted by it hereunder in good faith and in reliance thereon;</w:t>
      </w:r>
    </w:p>
    <w:p>
      <w:pPr>
        <w:spacing w:after="0" w:line="123" w:lineRule="exact"/>
        <w:rPr>
          <w:rFonts w:ascii="Arial" w:cs="Arial" w:eastAsia="Arial" w:hAnsi="Arial"/>
          <w:sz w:val="16"/>
          <w:szCs w:val="16"/>
          <w:color w:val="auto"/>
        </w:rPr>
      </w:pPr>
    </w:p>
    <w:p>
      <w:pPr>
        <w:jc w:val="both"/>
        <w:ind w:left="660" w:firstLine="644"/>
        <w:spacing w:after="0" w:line="286" w:lineRule="auto"/>
        <w:tabs>
          <w:tab w:leader="none" w:pos="1936"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Trustee shall be under no obligation to exercise any of the rights or powers vested in it by this Indenture at the request or direction of any of the Holders pursuant to this Indenture, unless such Holders shall have offered to the Trustee reasonable security or indemnity against the costs, expenses and liabilities which might be incurred by it in compliance with such request or direction;</w:t>
      </w:r>
    </w:p>
    <w:p>
      <w:pPr>
        <w:spacing w:after="0" w:line="165" w:lineRule="exact"/>
        <w:rPr>
          <w:rFonts w:ascii="Arial" w:cs="Arial" w:eastAsia="Arial" w:hAnsi="Arial"/>
          <w:sz w:val="17"/>
          <w:szCs w:val="17"/>
          <w:color w:val="auto"/>
        </w:rPr>
      </w:pPr>
    </w:p>
    <w:p>
      <w:pPr>
        <w:jc w:val="both"/>
        <w:ind w:left="660" w:firstLine="644"/>
        <w:spacing w:after="0" w:line="257" w:lineRule="auto"/>
        <w:tabs>
          <w:tab w:leader="none" w:pos="1896"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and</w:t>
      </w:r>
    </w:p>
    <w:p>
      <w:pPr>
        <w:spacing w:after="0" w:line="187" w:lineRule="exact"/>
        <w:rPr>
          <w:rFonts w:ascii="Arial" w:cs="Arial" w:eastAsia="Arial" w:hAnsi="Arial"/>
          <w:sz w:val="18"/>
          <w:szCs w:val="18"/>
          <w:color w:val="auto"/>
        </w:rPr>
      </w:pPr>
    </w:p>
    <w:p>
      <w:pPr>
        <w:jc w:val="both"/>
        <w:ind w:left="660" w:firstLine="644"/>
        <w:spacing w:after="0" w:line="263" w:lineRule="auto"/>
        <w:tabs>
          <w:tab w:leader="none" w:pos="191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6.4 Not Responsible for Recitals or Issuance of Securities.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recitals contained herein and in the Securities, except the Trustee’s certificates of authentication, shall be taken as the statements of the Company, and neither the Trustee nor any Authenticating Agent assumes any responsibility for their correctness. The Trustee makes no representations as to the validity, sufficiency or priority of this Indenture or of the Securities. Neither the Trustee nor any Authenticating Agent shall be accountable for the use or application by the Company of Securities or the proceeds thereof.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Section 6.5 May Hold Securities and Act as Trustee under Other Indentures.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Trustee, any Authenticating Agent, any Paying Agent, any Security Registrar or any other agent of the Company, in its individual or any other capacity, may become the owner or pledgee of Securities and, subject to Sections 6.8 and 6.13, may otherwise deal with the Company with the same rights it would have if it were not Trustee, Authenticating Agent, Paying Agent, Security Registrar or such other agent.</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Subject to the limitations imposed by the Trust Indenture Act, nothing in this Indenture shall prohibit the Trustee from becoming and acting as trustee under other indentures under which other securities, or certificates of interest of participation in other securities, of the Company are outstanding in the same manner as if it were not Trustee hereunder.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6.6 Money Held in Trust.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Money held by the Trustee in trust hereunder need not be segregated from other funds except to the extent required by law. The Trustee shall be under no liability for interest on any money received by it hereunder except as otherwise agreed with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6.7 Compensation and Reimbursement.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agrees:</w:t>
      </w:r>
    </w:p>
    <w:p>
      <w:pPr>
        <w:spacing w:after="0" w:line="225" w:lineRule="exact"/>
        <w:rPr>
          <w:sz w:val="20"/>
          <w:szCs w:val="20"/>
          <w:color w:val="auto"/>
        </w:rPr>
      </w:pPr>
    </w:p>
    <w:p>
      <w:pPr>
        <w:ind w:left="660" w:firstLine="644"/>
        <w:spacing w:after="0" w:line="277" w:lineRule="auto"/>
        <w:tabs>
          <w:tab w:leader="none" w:pos="1883" w:val="left"/>
        </w:tabs>
        <w:numPr>
          <w:ilvl w:val="0"/>
          <w:numId w:val="64"/>
        </w:numPr>
        <w:rPr>
          <w:rFonts w:ascii="Arial" w:cs="Arial" w:eastAsia="Arial" w:hAnsi="Arial"/>
          <w:sz w:val="18"/>
          <w:szCs w:val="18"/>
          <w:color w:val="auto"/>
        </w:rPr>
      </w:pPr>
      <w:r>
        <w:rPr>
          <w:rFonts w:ascii="Arial" w:cs="Arial" w:eastAsia="Arial" w:hAnsi="Arial"/>
          <w:sz w:val="18"/>
          <w:szCs w:val="18"/>
          <w:color w:val="auto"/>
        </w:rPr>
        <w:t>to pay to the Trustee from time to time compensation for all services rendered by it hereunder (which compensation shall not be limited by any provision of law in regard to the compensation of a trustee of an express trust);</w:t>
      </w:r>
    </w:p>
    <w:p>
      <w:pPr>
        <w:spacing w:after="0" w:line="170" w:lineRule="exact"/>
        <w:rPr>
          <w:rFonts w:ascii="Arial" w:cs="Arial" w:eastAsia="Arial" w:hAnsi="Arial"/>
          <w:sz w:val="18"/>
          <w:szCs w:val="18"/>
          <w:color w:val="auto"/>
        </w:rPr>
      </w:pPr>
    </w:p>
    <w:p>
      <w:pPr>
        <w:jc w:val="both"/>
        <w:ind w:left="660" w:firstLine="644"/>
        <w:spacing w:after="0" w:line="259" w:lineRule="auto"/>
        <w:tabs>
          <w:tab w:leader="none" w:pos="2149" w:val="left"/>
        </w:tabs>
        <w:numPr>
          <w:ilvl w:val="0"/>
          <w:numId w:val="64"/>
        </w:numPr>
        <w:rPr>
          <w:rFonts w:ascii="Arial" w:cs="Arial" w:eastAsia="Arial" w:hAnsi="Arial"/>
          <w:sz w:val="18"/>
          <w:szCs w:val="18"/>
          <w:color w:val="auto"/>
        </w:rPr>
      </w:pPr>
      <w:r>
        <w:rPr>
          <w:rFonts w:ascii="Arial" w:cs="Arial" w:eastAsia="Arial" w:hAnsi="Arial"/>
          <w:sz w:val="18"/>
          <w:szCs w:val="18"/>
          <w:color w:val="auto"/>
        </w:rPr>
        <w:t>except as otherwise expressly provided herein, to reimburse the Trustee upon its request for all reasonable expenses, disbursements and advances incurred or made by the Trustee in accordance with any provision of this Indenture (including the reasonable compensation and the expenses and disbursements of its agents and counsel), except any such expense, disbursement or advance as may be attributable to its negligence or bad faith; and</w:t>
      </w:r>
    </w:p>
    <w:p>
      <w:pPr>
        <w:spacing w:after="0" w:line="186" w:lineRule="exact"/>
        <w:rPr>
          <w:rFonts w:ascii="Arial" w:cs="Arial" w:eastAsia="Arial" w:hAnsi="Arial"/>
          <w:sz w:val="18"/>
          <w:szCs w:val="18"/>
          <w:color w:val="auto"/>
        </w:rPr>
      </w:pPr>
    </w:p>
    <w:p>
      <w:pPr>
        <w:jc w:val="both"/>
        <w:ind w:left="660" w:right="20" w:firstLine="644"/>
        <w:spacing w:after="0" w:line="311" w:lineRule="auto"/>
        <w:tabs>
          <w:tab w:leader="none" w:pos="1833" w:val="left"/>
        </w:tabs>
        <w:numPr>
          <w:ilvl w:val="0"/>
          <w:numId w:val="64"/>
        </w:numPr>
        <w:rPr>
          <w:rFonts w:ascii="Arial" w:cs="Arial" w:eastAsia="Arial" w:hAnsi="Arial"/>
          <w:sz w:val="16"/>
          <w:szCs w:val="16"/>
          <w:color w:val="auto"/>
        </w:rPr>
      </w:pPr>
      <w:r>
        <w:rPr>
          <w:rFonts w:ascii="Arial" w:cs="Arial" w:eastAsia="Arial" w:hAnsi="Arial"/>
          <w:sz w:val="16"/>
          <w:szCs w:val="16"/>
          <w:color w:val="auto"/>
        </w:rPr>
        <w:t>to indemnify the Trustee for, and to hold it harmless against, any loss, liability or expense incurred without negligence or bad faith on its part, arising out of or in connection with the acceptance or administration of the trust or trusts hereunder, including the costs and expenses of defending itself against any claim or liability in connection with the exercise or performance of any of its powers or duties hereunder.</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When the Trustee incurs expenses or renders services after an Event of Default specified in Section 5.1(5) or Section 5.1(6) hereof occurs, the expenses and the compensation for the services (including the reasonable fees and expenses of its agents and counsel) are intended to constitute expenses of administration under any applicable bankruptcy, insolvency, reorganization or similar law.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6.8 Conflicting Interests.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If the Trustee has or shall acquire a conflicting interest within the meaning of the Trust Indenture Act and there is an Event of Default under the Securities of that series, the Trustee shall either eliminate such interest or resign, to the extent and in the manner provided by, and subject to the provisions of, the Trust Indenture Act and this Indenture. To the extent permitted by the Trust Indenture Act, the Trustee shall not be deemed to have a conflicting interest by virtue of being a trustee under this Indenture with respect to Securities of more than one series.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Section 6.9 Corporate Trustee Required; Eligibility.</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There shall at all times be one (and only one) Trustee hereunder with respect to the Securities of each series, which may be Trustee hereunder for Securities of one or more other series. Each Trustee shall be a Person that is eligible pursuant to the Trust Indenture Act to act as such and has (or if the Trustee is a member of a bank holding company system, its bank holding company has) a combined capital and surplus of at least $50,000,000. If any such Person or bank holding company publishes reports of condition at least annually, pursuant to law or to the requirements of its supervising or examining authority, then for the purposes of this Section and to the extent permitted by the Trust Indenture Act, the combined capital and surplus of such Person or bank holding company shall be deemed to be its combined capital and surplus as set forth in its most recent report of condition so published. If at any time the Trustee with respect to the Securities of any series shall cease to be eligible in accordance with the provisions of this Section, it shall resign immediately in the manner and with the effect hereinafter specified in this Article.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6.10 Resignation and Removal; Appointment of Successor.</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 resignation or removal of the Trustee and no appointment of a successor Trustee pursuant to this Article shall become effective until the acceptance of appointment by the successor Trustee in accordance with the applicable requirements of Section 6.11.</w:t>
      </w:r>
    </w:p>
    <w:p>
      <w:pPr>
        <w:spacing w:after="0" w:line="170"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The Trustee may resign at any time with respect to the Securities of one or more series by giving written notice thereof to the Company. If the instrument of acceptance by a successor Trustee required by Section 6.11 shall not have been delivered to the Trustee within 30 days after the giving of such notice of resignation, the resigning Trustee may petition any court of competent jurisdiction for the appointment of a successor Trustee with respect to the Securities of such series.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Trustee may be removed at any time with respect to the Securities of any series by Act of the Holders of a majority in principal amount of the Outstanding Securities of such series, delivered to the Trustee and to the Company.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at any time:</w:t>
      </w:r>
    </w:p>
    <w:p>
      <w:pPr>
        <w:spacing w:after="0" w:line="225" w:lineRule="exact"/>
        <w:rPr>
          <w:sz w:val="20"/>
          <w:szCs w:val="20"/>
          <w:color w:val="auto"/>
        </w:rPr>
      </w:pPr>
    </w:p>
    <w:p>
      <w:pPr>
        <w:ind w:left="660" w:firstLine="644"/>
        <w:spacing w:after="0" w:line="277" w:lineRule="auto"/>
        <w:tabs>
          <w:tab w:leader="none" w:pos="1877"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Trustee shall fail to comply with Section 6.8 after written request therefor by the Company or by any Holder who has been a bona fide Holder of a Security for at least six months, or</w:t>
      </w:r>
    </w:p>
    <w:p>
      <w:pPr>
        <w:spacing w:after="0" w:line="170" w:lineRule="exact"/>
        <w:rPr>
          <w:rFonts w:ascii="Arial" w:cs="Arial" w:eastAsia="Arial" w:hAnsi="Arial"/>
          <w:sz w:val="18"/>
          <w:szCs w:val="18"/>
          <w:color w:val="auto"/>
        </w:rPr>
      </w:pPr>
    </w:p>
    <w:p>
      <w:pPr>
        <w:ind w:left="660" w:firstLine="644"/>
        <w:spacing w:after="0" w:line="277" w:lineRule="auto"/>
        <w:tabs>
          <w:tab w:leader="none" w:pos="18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Trustee shall cease to be eligible under Section 6.9 and shall fail to resign after written request therefor by the Company or by any such Holder, or</w:t>
      </w:r>
    </w:p>
    <w:p>
      <w:pPr>
        <w:spacing w:after="0" w:line="170" w:lineRule="exact"/>
        <w:rPr>
          <w:rFonts w:ascii="Arial" w:cs="Arial" w:eastAsia="Arial" w:hAnsi="Arial"/>
          <w:sz w:val="18"/>
          <w:szCs w:val="18"/>
          <w:color w:val="auto"/>
        </w:rPr>
      </w:pPr>
    </w:p>
    <w:p>
      <w:pPr>
        <w:jc w:val="both"/>
        <w:ind w:left="660" w:firstLine="644"/>
        <w:spacing w:after="0" w:line="263" w:lineRule="auto"/>
        <w:tabs>
          <w:tab w:leader="none" w:pos="193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then, in any such case, (A) the Company by a Board Resolution may remove the Trustee with respect to all Securities, or (B) subject to Section 5.14, any Holder who has been a bona fide Holder of a Security for at least six months may, on behalf of himself and all others similarly situated, petition any court of competent jurisdiction for the removal of the Trustee with respect to all Securities and the appointment of a successor Trustee or Trustees.</w:t>
      </w:r>
    </w:p>
    <w:p>
      <w:pPr>
        <w:spacing w:after="0" w:line="14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If the Trustee shall resign, be removed or become incapable of acting, or if a vacancy shall occur in the office of Trustee for any cause, with respect to the Securities of one or more series, the Company, by a Board Resolution, shall promptly appoint a successor Trustee or Trustees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particular series) and shall comply with the applicable requirements of Section 6.11. If, within one year after such resignation, removal or incapability, or the occurrence of such vacancy, a successor Trustee with respect to the Securities of any series shall be appointed by Act of the Holders of a majority in principal amount of the Outstanding Securities of such series delivered to the Company and the retiring Trustee, the successor Trustee so appointed shall, forthwith upon its acceptance of such appointment in accordance with the applicable requirements of Section 6.11, become the successor Trustee with respect to the Securities of such series and to that extent supersede the successor Trustee appointed by the Company. If no successor Trustee with respect to the Securities of any series shall have been so appointed by the Company or the Holders and accepted appointment in the manner required by Section 6.11, the retiring Trustee may petition, or any Holder who has been a bona fide Holder of a Security of such series for at least six months may petition, on behalf of himself and all others similarly situated, any court of competent jurisdiction for the appointment of a successor Trustee with respect to the Securities of such series.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3" w:name="page74"/>
    <w:bookmarkEnd w:id="73"/>
    <w:p>
      <w:pPr>
        <w:jc w:val="both"/>
        <w:ind w:firstLine="648"/>
        <w:spacing w:after="0" w:line="311" w:lineRule="auto"/>
        <w:rPr>
          <w:sz w:val="20"/>
          <w:szCs w:val="20"/>
          <w:color w:val="auto"/>
        </w:rPr>
      </w:pPr>
      <w:r>
        <w:rPr>
          <w:rFonts w:ascii="Arial" w:cs="Arial" w:eastAsia="Arial" w:hAnsi="Arial"/>
          <w:sz w:val="16"/>
          <w:szCs w:val="16"/>
          <w:color w:val="auto"/>
        </w:rPr>
        <w:t>The Company shall give notice of each resignation and each removal of the Trustee with respect to the Securities of any series and each appointment of a successor Trustee with respect to the Securities of any series to all Holders of Securities of such series in the manner provided in Section 1.6. Each notice shall include the name of the successor Trustee with respect to the Securities of such series and the address of its Corporate Trust Office.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6.11 Acceptance of Appointment by Successor.</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6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w:t>
      </w:r>
    </w:p>
    <w:p>
      <w:pPr>
        <w:spacing w:after="0" w:line="167"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Upon request of any such successor Trustee, the Company shall execute any and all instruments for more fully and certainly vesting in and confirming to such successor Trustee all such rights, powers and trusts referred to in the first or second preceding paragraph, as the case may be.</w:t>
      </w:r>
    </w:p>
    <w:p>
      <w:pPr>
        <w:spacing w:after="0" w:line="1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 successor Trustee shall accept its appointment unless at the time of such acceptance such successor Trustee shall be qualified and eligible under this Article.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Section 6.12 Merger, Conversion, Consolidation or Succession to Business.</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(including the administration of the trust created by this Indenture), shall be the successor of the Trustee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such corporation shall be otherwise qualified and eligible under this Article, without the execution or filing of any paper or any further act on the part of any of the parties hereto.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 In the event that any Securities shall not have been authenticated by such predecessor Trustee, any such successor Trustee may authenticate and deliver such Securities in either its own name or that of such predecessor Trustee, with the full force and effect which this Indenture provides for the certificate of authentication of the Trustee.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6.13 Preferential Collection of Claims Against Company.</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and when the Trustee shall be or become a creditor of the Company (or any other obligor upon the Securities), the Trustee shall be subject to the provisions of the Trust Indenture Act regarding the collection of claims against the Company (or any such other obligor).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6.14 Appointment of Authenticating Agent.</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Trustee may appoint an Authenticating Agent or Agents with respect to one or more series of Securities which shall be authorized to act on behalf of the Trustee to authenticate Securities of such series issued upon original issue and upon exchange, registration of transfer or partial redemption thereof or pursuant to Section 3.6, and Securities so authenticated shall be entitled to the benefits of this Indenture and shall be valid and obligatory for all purposes as if authenticated by the Trustee hereunder.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Company and shall at all times be a corporation organized and doing business under the laws of the United States of America, any State thereof or the District of Columbia, authorized under such laws to act as Authenticating Agent, having (or if the Authenticating Agent is a member of a bank holding company system, its bank holding company has) a combined capital and surplus of not less than $50,000,000 and subject to supervision or examination by Federal or State authority. If such Authenticating Agent publishes reports of condition at least annually, pursuant to law or to the requirements of said supervising or examining authority, then for the purposes of this Section, the combined capital and surplus of such Authenticating Agent shall be deemed to be its combined capital and surplus as set forth in its most recent report of condition so published. If at any time an Authenticating Agent shall cease to be eligible in accordance with the provisions of this Section, such Authenticating Agent shall resign immediately in the manner and with the effect specified in this Section.</w:t>
      </w:r>
    </w:p>
    <w:p>
      <w:pPr>
        <w:spacing w:after="0" w:line="18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provided such corporation shall be otherwise eligible under this Section, without the execution or filing of any paper or any further act on the part of the Trustee or the Authenticating Agent.</w:t>
      </w:r>
    </w:p>
    <w:p>
      <w:pPr>
        <w:spacing w:after="0" w:line="15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An Authenticating Agent may resign at any time by giving written notice thereof to the Trustee and to the Company. The Trustee may at any time terminate the agency of an Authenticating Agent by giving written notice thereof to such Authenticating Agent and to the Company. Upon receiving such a notice of resignation or upon such a termination, or in case at any time such Authenticating Agent shall cease to be eligible in accordance with the provisions of this Section, the Trustee may appoint a successor Authenticating Agent which shall be acceptable to the Company and shall give notice of such appointment in the manner provided in Section 1.6 to all Holders of Securities of the series with respect to which such Authenticating Agent will serve.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5" w:name="page76"/>
    <w:bookmarkEnd w:id="75"/>
    <w:p>
      <w:pPr>
        <w:ind w:firstLine="648"/>
        <w:spacing w:after="0" w:line="277" w:lineRule="auto"/>
        <w:rPr>
          <w:sz w:val="20"/>
          <w:szCs w:val="20"/>
          <w:color w:val="auto"/>
        </w:rPr>
      </w:pPr>
      <w:r>
        <w:rPr>
          <w:rFonts w:ascii="Arial" w:cs="Arial" w:eastAsia="Arial" w:hAnsi="Arial"/>
          <w:sz w:val="18"/>
          <w:szCs w:val="18"/>
          <w:color w:val="auto"/>
        </w:rPr>
        <w:t>The Trustee agrees to pay to each Authenticating Agent from time to time reasonable compensation for its services under this Section, and the Trustee shall be entitled to be reimbursed for such payments, subject to the provisions of Section 6.7.</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an appointment with respect to one or more series is made pursuant to this Section 6.14, the Securities of such series may have endorsed thereon, in lieu of the Trustee’s certificate of authentication, an alternative certificate of authentication in the following form:</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As Authenticating Agent</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As Authenticating Officer</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w:t>
      </w:r>
    </w:p>
    <w:p>
      <w:pPr>
        <w:spacing w:after="0" w:line="225"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HOLDERS’ LISTS AND REPORTS BY TRUSTEE AND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7.1 Company to Furnish Trustee Names and Addresses of Holders.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will furnish or cause to be furnished to the Trustee</w:t>
      </w:r>
    </w:p>
    <w:p>
      <w:pPr>
        <w:spacing w:after="0" w:line="225" w:lineRule="exact"/>
        <w:rPr>
          <w:sz w:val="20"/>
          <w:szCs w:val="20"/>
          <w:color w:val="auto"/>
        </w:rPr>
      </w:pPr>
    </w:p>
    <w:p>
      <w:pPr>
        <w:jc w:val="both"/>
        <w:ind w:left="660" w:firstLine="644"/>
        <w:spacing w:after="0" w:line="263" w:lineRule="auto"/>
        <w:tabs>
          <w:tab w:leader="none" w:pos="1862" w:val="left"/>
        </w:tabs>
        <w:numPr>
          <w:ilvl w:val="0"/>
          <w:numId w:val="66"/>
        </w:numPr>
        <w:rPr>
          <w:rFonts w:ascii="Arial" w:cs="Arial" w:eastAsia="Arial" w:hAnsi="Arial"/>
          <w:sz w:val="18"/>
          <w:szCs w:val="18"/>
          <w:color w:val="auto"/>
        </w:rPr>
      </w:pPr>
      <w:r>
        <w:rPr>
          <w:rFonts w:ascii="Arial" w:cs="Arial" w:eastAsia="Arial" w:hAnsi="Arial"/>
          <w:sz w:val="18"/>
          <w:szCs w:val="18"/>
          <w:color w:val="auto"/>
        </w:rPr>
        <w:t>semi-annually, not later than 15 days after the Regular Record Date for each respective series of Securities, a list, in such form as the Trustee may reasonably require, of the names and addresses of the Holders of Securities of each series as of such Regular Record Date, as the case may be, or if there is no Regular Record Date for such series of Securities, semi-annually, and</w:t>
      </w:r>
    </w:p>
    <w:p>
      <w:pPr>
        <w:spacing w:after="0" w:line="183" w:lineRule="exact"/>
        <w:rPr>
          <w:rFonts w:ascii="Arial" w:cs="Arial" w:eastAsia="Arial" w:hAnsi="Arial"/>
          <w:sz w:val="18"/>
          <w:szCs w:val="18"/>
          <w:color w:val="auto"/>
        </w:rPr>
      </w:pPr>
    </w:p>
    <w:p>
      <w:pPr>
        <w:jc w:val="both"/>
        <w:ind w:left="660" w:firstLine="644"/>
        <w:spacing w:after="0" w:line="263" w:lineRule="auto"/>
        <w:tabs>
          <w:tab w:leader="none" w:pos="1872" w:val="left"/>
        </w:tabs>
        <w:numPr>
          <w:ilvl w:val="0"/>
          <w:numId w:val="66"/>
        </w:numPr>
        <w:rPr>
          <w:rFonts w:ascii="Arial" w:cs="Arial" w:eastAsia="Arial" w:hAnsi="Arial"/>
          <w:sz w:val="18"/>
          <w:szCs w:val="18"/>
          <w:color w:val="auto"/>
        </w:rPr>
      </w:pPr>
      <w:r>
        <w:rPr>
          <w:rFonts w:ascii="Arial" w:cs="Arial" w:eastAsia="Arial" w:hAnsi="Arial"/>
          <w:sz w:val="18"/>
          <w:szCs w:val="18"/>
          <w:color w:val="auto"/>
        </w:rPr>
        <w:t>at such other times as the Trustee may request in writing, within 30 days after the receipt by the Company of any such request, a list of similar form and content as of a date not more than 15 days prior to the time such list is furnished; provided that no such list need be furnished by the Company to the Trustee so long as the Trustee is acting as Security Registrar.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7.2 Preservation of Information; Communications to Holders.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Trustee shall preserve, in as current a form as is reasonably practicable, the names and addresses of Holders contained in the most recent list furnished to the Trustee as provided in Section 7.1 and the names and addresses of Holders received by the Trustee in its capacity as Security Registrar. The Trustee may destroy any list furnished to it as provided in Section 7.1 upon receipt of a new list so furnished.</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rights of Holders to communicate with other Holders with respect to their rights under this Indenture or under the Securities, and the corresponding rights and privileges of the Trustee, shall be as provided by the Trust Indenture Act.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6" w:name="page77"/>
    <w:bookmarkEnd w:id="76"/>
    <w:p>
      <w:pPr>
        <w:jc w:val="both"/>
        <w:ind w:firstLine="648"/>
        <w:spacing w:after="0" w:line="263" w:lineRule="auto"/>
        <w:rPr>
          <w:sz w:val="20"/>
          <w:szCs w:val="20"/>
          <w:color w:val="auto"/>
        </w:rPr>
      </w:pPr>
      <w:r>
        <w:rPr>
          <w:rFonts w:ascii="Arial" w:cs="Arial" w:eastAsia="Arial" w:hAnsi="Arial"/>
          <w:sz w:val="18"/>
          <w:szCs w:val="18"/>
          <w:color w:val="auto"/>
        </w:rPr>
        <w:t>Every Holder of Securities, by receiving and holding the same, agrees with the Company and the Trustee that neither the Company nor the Trustee nor any agent of either of them shall be held accountable by reason of any disclosure of information as to names and addresses of Holders made pursuant to the Trust Indenture Act.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7.3 Reports by Trustee.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Trustee shall transmit to Holders such reports concerning the Trustee and its actions under this Indenture as may be required pursuant to the Trust Indenture Act at the times and in the manner provided pursuant thereto.</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Reports so required to be transmitted at stated intervals of not more than 12 months shall be transmitted no later than July 15 in each calendar year, commencing with the first July 15 after the first issuance of Securities pursuant to this Indenture.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 copy of each such report shall, at the time of such transmission to Holders, be filed by the Trustee with each stock exchange upon which any Securities are listed, with the Commission and with the Company. The Company will notify the Trustee when any Securities are listed on any stock exchange.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7.4 Reports by Company.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Any information, documents or other reports that the Company shall file with the Commission pursuant to Section 13 or 15(d) of the Exchange Act shall be filed with the Trustee within 15 days after the same is filed with the Commission;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information, documents or reports filed or furnished with the Commission pursuant to its Electronic Data Gathering, Analysis and Retrieval (or EDGAR) system shall be deemed to be filed with the Trustee as of the time such information, documents or reports are filed or furnished via EDGAR.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spacing w:after="0" w:line="225"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CONSOLIDATION, MERGER, CONVEYANCE, TRANSFER OR 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8.1 Company May Consolidate, etc., Only on Certain Terms.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shall not merge or consolidate with or into any other Person (other than a merger of a wholly owned Subsidiary of the Company into the Company) or sell, transfer, lease, convey or otherwise dispose of all or substantially all of its property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the avoidance of doubt, a pledge of assets pursuant to any secured debt instrument of the Company or its Subsidiaries shall not be deemed to be any such sale, transfer, lease, conveyance or disposition) in one transaction or series of related transactions unless:</w:t>
      </w:r>
    </w:p>
    <w:p>
      <w:pPr>
        <w:spacing w:after="0" w:line="187" w:lineRule="exact"/>
        <w:rPr>
          <w:sz w:val="20"/>
          <w:szCs w:val="20"/>
          <w:color w:val="auto"/>
        </w:rPr>
      </w:pPr>
    </w:p>
    <w:p>
      <w:pPr>
        <w:jc w:val="both"/>
        <w:ind w:left="660" w:firstLine="644"/>
        <w:spacing w:after="0" w:line="286" w:lineRule="auto"/>
        <w:tabs>
          <w:tab w:leader="none" w:pos="1864"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Company shall be the surviving Person (the “</w:t>
      </w:r>
      <w:r>
        <w:rPr>
          <w:rFonts w:ascii="Arial" w:cs="Arial" w:eastAsia="Arial" w:hAnsi="Arial"/>
          <w:sz w:val="17"/>
          <w:szCs w:val="17"/>
          <w:u w:val="single" w:color="auto"/>
          <w:color w:val="auto"/>
        </w:rPr>
        <w:t>Surviving Person</w:t>
      </w:r>
      <w:r>
        <w:rPr>
          <w:rFonts w:ascii="Arial" w:cs="Arial" w:eastAsia="Arial" w:hAnsi="Arial"/>
          <w:sz w:val="17"/>
          <w:szCs w:val="17"/>
          <w:color w:val="auto"/>
        </w:rPr>
        <w:t>”) or the Surviving Person (if other than the Company) formed by such merger or consolidation or to which such sale, transfer, lease, conveyance or disposition is made shall be a corporation or limited liability company organized and existing under the laws of the United States of America, any state thereof or the District of Columbia;</w:t>
      </w:r>
    </w:p>
    <w:p>
      <w:pPr>
        <w:spacing w:after="0" w:line="165" w:lineRule="exact"/>
        <w:rPr>
          <w:rFonts w:ascii="Arial" w:cs="Arial" w:eastAsia="Arial" w:hAnsi="Arial"/>
          <w:sz w:val="17"/>
          <w:szCs w:val="17"/>
          <w:color w:val="auto"/>
        </w:rPr>
      </w:pPr>
    </w:p>
    <w:p>
      <w:pPr>
        <w:jc w:val="both"/>
        <w:ind w:left="660" w:firstLine="644"/>
        <w:spacing w:after="0" w:line="259" w:lineRule="auto"/>
        <w:tabs>
          <w:tab w:leader="none" w:pos="1837"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Surviving Person (if other than the Company) expressly assumes, by supplemental indenture in form reasonably satisfactory to the Trustee, executed and delivered to the Trustee by such Surviving Person, the due and punctual payment of the principal of, and premium, if any, and interest on, all the Notes Outstanding, and the due and punctual performance and observance of all the covenants and conditions of this Indenture to be performed by the Company;</w:t>
      </w:r>
    </w:p>
    <w:p>
      <w:pPr>
        <w:spacing w:after="0" w:line="186" w:lineRule="exact"/>
        <w:rPr>
          <w:rFonts w:ascii="Arial" w:cs="Arial" w:eastAsia="Arial" w:hAnsi="Arial"/>
          <w:sz w:val="18"/>
          <w:szCs w:val="18"/>
          <w:color w:val="auto"/>
        </w:rPr>
      </w:pPr>
    </w:p>
    <w:p>
      <w:pPr>
        <w:ind w:left="660" w:firstLine="644"/>
        <w:spacing w:after="0" w:line="342" w:lineRule="auto"/>
        <w:tabs>
          <w:tab w:leader="none" w:pos="1886" w:val="left"/>
        </w:tabs>
        <w:numPr>
          <w:ilvl w:val="0"/>
          <w:numId w:val="67"/>
        </w:numPr>
        <w:rPr>
          <w:rFonts w:ascii="Arial" w:cs="Arial" w:eastAsia="Arial" w:hAnsi="Arial"/>
          <w:sz w:val="16"/>
          <w:szCs w:val="16"/>
          <w:color w:val="auto"/>
        </w:rPr>
      </w:pPr>
      <w:r>
        <w:rPr>
          <w:rFonts w:ascii="Arial" w:cs="Arial" w:eastAsia="Arial" w:hAnsi="Arial"/>
          <w:sz w:val="16"/>
          <w:szCs w:val="16"/>
          <w:color w:val="auto"/>
        </w:rPr>
        <w:t>immediately before and immediately after giving effect to such transaction or series of related transactions, no Event of Default, and no event which after notice or lapse of time or both, would become an Event of Default, shall have occurred and be continuing; and</w:t>
      </w:r>
    </w:p>
    <w:p>
      <w:pPr>
        <w:spacing w:after="0" w:line="123" w:lineRule="exact"/>
        <w:rPr>
          <w:rFonts w:ascii="Arial" w:cs="Arial" w:eastAsia="Arial" w:hAnsi="Arial"/>
          <w:sz w:val="16"/>
          <w:szCs w:val="16"/>
          <w:color w:val="auto"/>
        </w:rPr>
      </w:pPr>
    </w:p>
    <w:p>
      <w:pPr>
        <w:jc w:val="both"/>
        <w:ind w:left="660" w:firstLine="644"/>
        <w:spacing w:after="0" w:line="259" w:lineRule="auto"/>
        <w:tabs>
          <w:tab w:leader="none" w:pos="2012"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 the case of a merger where the Surviving Person is other than the Company, the Company shall deliver, or cause to be delivered, to the Trustee, an Officer’s Certificate and an Opinion of Counsel, each stating that such transaction and the supplemental indenture, if any, in respect thereto comply with this Section 8.1 and that all conditions precedent in this Indenture relating to such transaction have been complied with.</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Section 8.2 Successor Substituted.</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Upon any consolidation of the Company with, or merger of the Company into, any other Person or any conveyance, transfer or lease of the properties and assets of the Company substantially as an entirety in accordance with Section 8.1, the successor Person formed by such consolidation or into which the Company is merged or to which such conveyance, transfer or lease is made shall succeed to, and be substituted for, and may exercise every right and power of, the Company under this Indenture with the same effect as if such successor Person had been named as the Company herein, and thereafter, except in the case of a lease, the predecessor Person shall be relieved of all obligations and covenants under this Indenture and the Securities.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w:t>
      </w:r>
    </w:p>
    <w:p>
      <w:pPr>
        <w:spacing w:after="0" w:line="225"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SUPPLEMENTAL INDENTURES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9.1 Supplemental Indentures Without Consent of Holders.</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Without the consent of any Holders, the Company, when authorized by a Board Resolution, and the Trustee, at any time and from time to time, may enter into one or more indentures supplemental hereto, in form satisfactory to the Trustee, for any of the following purposes:</w:t>
      </w:r>
    </w:p>
    <w:p>
      <w:pPr>
        <w:spacing w:after="0" w:line="146" w:lineRule="exact"/>
        <w:rPr>
          <w:sz w:val="20"/>
          <w:szCs w:val="20"/>
          <w:color w:val="auto"/>
        </w:rPr>
      </w:pPr>
    </w:p>
    <w:p>
      <w:pPr>
        <w:ind w:left="660" w:firstLine="644"/>
        <w:spacing w:after="0" w:line="308" w:lineRule="auto"/>
        <w:tabs>
          <w:tab w:leader="none" w:pos="2025" w:val="left"/>
        </w:tabs>
        <w:numPr>
          <w:ilvl w:val="0"/>
          <w:numId w:val="68"/>
        </w:numPr>
        <w:rPr>
          <w:rFonts w:ascii="Arial" w:cs="Arial" w:eastAsia="Arial" w:hAnsi="Arial"/>
          <w:sz w:val="17"/>
          <w:szCs w:val="17"/>
          <w:color w:val="auto"/>
        </w:rPr>
      </w:pPr>
      <w:r>
        <w:rPr>
          <w:rFonts w:ascii="Arial" w:cs="Arial" w:eastAsia="Arial" w:hAnsi="Arial"/>
          <w:sz w:val="17"/>
          <w:szCs w:val="17"/>
          <w:color w:val="auto"/>
        </w:rPr>
        <w:t>to evidence the succession of another Person to the Company, or successive successions, and the assumption by any such successor of the covenants, agreements and obligations of the Company herein and in the Securities in compliance with Article 8; or</w:t>
      </w:r>
    </w:p>
    <w:p>
      <w:pPr>
        <w:spacing w:after="0" w:line="146" w:lineRule="exact"/>
        <w:rPr>
          <w:rFonts w:ascii="Arial" w:cs="Arial" w:eastAsia="Arial" w:hAnsi="Arial"/>
          <w:sz w:val="17"/>
          <w:szCs w:val="17"/>
          <w:color w:val="auto"/>
        </w:rPr>
      </w:pPr>
    </w:p>
    <w:p>
      <w:pPr>
        <w:jc w:val="both"/>
        <w:ind w:left="660" w:firstLine="644"/>
        <w:spacing w:after="0" w:line="263" w:lineRule="auto"/>
        <w:tabs>
          <w:tab w:leader="none" w:pos="1868"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 add to the covenants of the Company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 or</w:t>
      </w:r>
    </w:p>
    <w:p>
      <w:pPr>
        <w:spacing w:after="0" w:line="183" w:lineRule="exact"/>
        <w:rPr>
          <w:rFonts w:ascii="Arial" w:cs="Arial" w:eastAsia="Arial" w:hAnsi="Arial"/>
          <w:sz w:val="18"/>
          <w:szCs w:val="18"/>
          <w:color w:val="auto"/>
        </w:rPr>
      </w:pPr>
    </w:p>
    <w:p>
      <w:pPr>
        <w:jc w:val="both"/>
        <w:ind w:left="660" w:firstLine="644"/>
        <w:spacing w:after="0" w:line="263" w:lineRule="auto"/>
        <w:tabs>
          <w:tab w:leader="none" w:pos="19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 add any additional Events of Default for the benefit of the Holders of all or any series of Securities (and if such additional Events of Default are to be for the benefit of less than all series of Securities, stating that such additional Events of Default are expressly being included solely for the benefit of such series); or</w:t>
      </w:r>
    </w:p>
    <w:p>
      <w:pPr>
        <w:spacing w:after="0" w:line="183" w:lineRule="exact"/>
        <w:rPr>
          <w:rFonts w:ascii="Arial" w:cs="Arial" w:eastAsia="Arial" w:hAnsi="Arial"/>
          <w:sz w:val="18"/>
          <w:szCs w:val="18"/>
          <w:color w:val="auto"/>
        </w:rPr>
      </w:pPr>
    </w:p>
    <w:p>
      <w:pPr>
        <w:jc w:val="both"/>
        <w:ind w:left="660" w:firstLine="644"/>
        <w:spacing w:after="0" w:line="263" w:lineRule="auto"/>
        <w:tabs>
          <w:tab w:leader="none" w:pos="1869"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 add to or change any of the provisions of this Indenture to such extent as shall be necessary to permit or facilitate the issuance of Securities in bearer form, registrable or not registrable as to principal, and with or without interest coupons, or to permit or facilitate the issuance of Securities in uncertificated form; or</w:t>
      </w:r>
    </w:p>
    <w:p>
      <w:pPr>
        <w:spacing w:after="0" w:line="183" w:lineRule="exact"/>
        <w:rPr>
          <w:rFonts w:ascii="Arial" w:cs="Arial" w:eastAsia="Arial" w:hAnsi="Arial"/>
          <w:sz w:val="18"/>
          <w:szCs w:val="18"/>
          <w:color w:val="auto"/>
        </w:rPr>
      </w:pPr>
    </w:p>
    <w:p>
      <w:pPr>
        <w:jc w:val="both"/>
        <w:ind w:left="660" w:firstLine="644"/>
        <w:spacing w:after="0" w:line="259" w:lineRule="auto"/>
        <w:tabs>
          <w:tab w:leader="none" w:pos="1875"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to add to, change or eliminate any of the provisions of this Indenture in respect of one or more series of Securities,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addition, change or elimination (A) shall neither (i) apply to any Security of any series created prior to the execution of such supplemental indenture and entitled to the benefit of such provision nor (ii) modify the rights of the Holder of any such Security with respect to such provision or (B) shall become effective only when there is no such Security Outstanding; or</w:t>
      </w:r>
    </w:p>
    <w:p>
      <w:pPr>
        <w:spacing w:after="0" w:line="186" w:lineRule="exact"/>
        <w:rPr>
          <w:rFonts w:ascii="Arial" w:cs="Arial" w:eastAsia="Arial" w:hAnsi="Arial"/>
          <w:sz w:val="18"/>
          <w:szCs w:val="18"/>
          <w:color w:val="auto"/>
        </w:rPr>
      </w:pPr>
    </w:p>
    <w:p>
      <w:pPr>
        <w:ind w:left="1880" w:hanging="576"/>
        <w:spacing w:after="0"/>
        <w:tabs>
          <w:tab w:leader="none" w:pos="18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to secure the Securities, including provisions regarding the circumstances under which collateral may be released or substituted;</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or</w:t>
      </w:r>
    </w:p>
    <w:p>
      <w:pPr>
        <w:spacing w:after="0" w:line="210" w:lineRule="exact"/>
        <w:rPr>
          <w:rFonts w:ascii="Arial" w:cs="Arial" w:eastAsia="Arial" w:hAnsi="Arial"/>
          <w:sz w:val="16"/>
          <w:szCs w:val="16"/>
          <w:color w:val="auto"/>
        </w:rPr>
      </w:pPr>
    </w:p>
    <w:p>
      <w:pPr>
        <w:ind w:left="1820" w:hanging="516"/>
        <w:spacing w:after="0"/>
        <w:tabs>
          <w:tab w:leader="none" w:pos="18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 add or provide for a guaranty of the Securities or additional obligors on the Securities; or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8" w:name="page79"/>
    <w:bookmarkEnd w:id="78"/>
    <w:p>
      <w:pPr>
        <w:ind w:left="1820" w:hanging="516"/>
        <w:spacing w:after="0"/>
        <w:tabs>
          <w:tab w:leader="none" w:pos="18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establish the form or terms of Securities of any series as permitted by Sections 2.1 and 3.1; or</w:t>
      </w:r>
    </w:p>
    <w:p>
      <w:pPr>
        <w:spacing w:after="0" w:line="225" w:lineRule="exact"/>
        <w:rPr>
          <w:rFonts w:ascii="Arial" w:cs="Arial" w:eastAsia="Arial" w:hAnsi="Arial"/>
          <w:sz w:val="18"/>
          <w:szCs w:val="18"/>
          <w:color w:val="auto"/>
        </w:rPr>
      </w:pPr>
    </w:p>
    <w:p>
      <w:pPr>
        <w:jc w:val="both"/>
        <w:ind w:left="660" w:firstLine="644"/>
        <w:spacing w:after="0" w:line="263" w:lineRule="auto"/>
        <w:tabs>
          <w:tab w:leader="none" w:pos="1868"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6.11; or</w:t>
      </w:r>
    </w:p>
    <w:p>
      <w:pPr>
        <w:spacing w:after="0" w:line="183" w:lineRule="exact"/>
        <w:rPr>
          <w:rFonts w:ascii="Arial" w:cs="Arial" w:eastAsia="Arial" w:hAnsi="Arial"/>
          <w:sz w:val="18"/>
          <w:szCs w:val="18"/>
          <w:color w:val="auto"/>
        </w:rPr>
      </w:pPr>
    </w:p>
    <w:p>
      <w:pPr>
        <w:jc w:val="both"/>
        <w:ind w:left="660" w:firstLine="644"/>
        <w:spacing w:after="0" w:line="286" w:lineRule="auto"/>
        <w:tabs>
          <w:tab w:leader="none" w:pos="2043" w:val="left"/>
        </w:tabs>
        <w:numPr>
          <w:ilvl w:val="0"/>
          <w:numId w:val="69"/>
        </w:numPr>
        <w:rPr>
          <w:rFonts w:ascii="Arial" w:cs="Arial" w:eastAsia="Arial" w:hAnsi="Arial"/>
          <w:sz w:val="17"/>
          <w:szCs w:val="17"/>
          <w:color w:val="auto"/>
        </w:rPr>
      </w:pPr>
      <w:r>
        <w:rPr>
          <w:rFonts w:ascii="Arial" w:cs="Arial" w:eastAsia="Arial" w:hAnsi="Arial"/>
          <w:sz w:val="17"/>
          <w:szCs w:val="17"/>
          <w:color w:val="auto"/>
        </w:rPr>
        <w:t xml:space="preserve">to cure any ambiguity, to correct or supplement any provision herein which may be defective or inconsistent with any other provision herein, or to make any other provisions with respect to matters or questions arising under this Indenture,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action pursuant to this clause (10) shall not adversely affect the interests of the Holders of Securities of any series in any material respect; or</w:t>
      </w:r>
    </w:p>
    <w:p>
      <w:pPr>
        <w:spacing w:after="0" w:line="165" w:lineRule="exact"/>
        <w:rPr>
          <w:rFonts w:ascii="Arial" w:cs="Arial" w:eastAsia="Arial" w:hAnsi="Arial"/>
          <w:sz w:val="17"/>
          <w:szCs w:val="17"/>
          <w:color w:val="auto"/>
        </w:rPr>
      </w:pPr>
    </w:p>
    <w:p>
      <w:pPr>
        <w:jc w:val="both"/>
        <w:ind w:left="660" w:firstLine="644"/>
        <w:spacing w:after="0" w:line="263" w:lineRule="auto"/>
        <w:tabs>
          <w:tab w:leader="none" w:pos="1916"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to supplement any of the provisions of the Indenture to such extent as shall be necessary to permit or facilitate the defeasance and discharge of any series of Securities pursuant to Articles 4 and 13,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action shall not adversely affect the interests of the Holders of Securities of such series or any other series of Securities in any material respect.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9.2 Supplemental Indentures with Consent of Holders.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With the consent of the Holders of a majority in principal amount of the Outstanding Securities of each series affected by such supplemental indenture, by Act of said Holders delivered to the Company and the Trustee, the Company, when authorized by a Board Resolution, and the Trustee may enter into an indenture or indentures supplemental hereto for the purpose of adding any provisions to or changing in any manner or eliminating any of the provisions of this Indenture or of modifying in any manner the rights of the Holders of Securities of such series under this Indenture;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such supplemental indenture shall, without the consent of the Holder of each Outstanding Security affected thereby,</w:t>
      </w:r>
    </w:p>
    <w:p>
      <w:pPr>
        <w:spacing w:after="0" w:line="176" w:lineRule="exact"/>
        <w:rPr>
          <w:sz w:val="20"/>
          <w:szCs w:val="20"/>
          <w:color w:val="auto"/>
        </w:rPr>
      </w:pPr>
    </w:p>
    <w:p>
      <w:pPr>
        <w:jc w:val="both"/>
        <w:ind w:left="660" w:firstLine="644"/>
        <w:spacing w:after="0" w:line="271" w:lineRule="auto"/>
        <w:tabs>
          <w:tab w:leader="none" w:pos="1995" w:val="left"/>
        </w:tabs>
        <w:numPr>
          <w:ilvl w:val="0"/>
          <w:numId w:val="70"/>
        </w:numPr>
        <w:rPr>
          <w:rFonts w:ascii="Arial" w:cs="Arial" w:eastAsia="Arial" w:hAnsi="Arial"/>
          <w:sz w:val="17"/>
          <w:szCs w:val="17"/>
          <w:color w:val="auto"/>
        </w:rPr>
      </w:pPr>
      <w:r>
        <w:rPr>
          <w:rFonts w:ascii="Arial" w:cs="Arial" w:eastAsia="Arial" w:hAnsi="Arial"/>
          <w:sz w:val="17"/>
          <w:szCs w:val="17"/>
          <w:color w:val="auto"/>
        </w:rPr>
        <w:t>change the Stated Maturity of the principal of, or any installment of principal of or interest on, any Security, or reduce the principal amount thereof or the rate of interest thereon or any premium payable upon the redemption thereof, or reduce the amount of the principal of an Original Issue Discount Security or any other Security which would be due and payable upon a declaration of acceleration of the Maturity thereof pursuant to Section 5.2, or change the place of payment or the coin or currency in which, any Security or any premium or interest thereon is payable, or impair the right to institute suit for the enforcement of any such payment on or after the Stated Maturity thereof (or, in the case of redemption, on or after the Redemption Date), or modify the provisions of this Indenture in the case of Securities of any series that are convertible into Securities or other securities of the Company, adversely affect the right of Holders to convert any of the Securities of such series other than as provided in or pursuant to this Indenture, or</w:t>
      </w:r>
    </w:p>
    <w:p>
      <w:pPr>
        <w:spacing w:after="0" w:line="178" w:lineRule="exact"/>
        <w:rPr>
          <w:rFonts w:ascii="Arial" w:cs="Arial" w:eastAsia="Arial" w:hAnsi="Arial"/>
          <w:sz w:val="17"/>
          <w:szCs w:val="17"/>
          <w:color w:val="auto"/>
        </w:rPr>
      </w:pPr>
    </w:p>
    <w:p>
      <w:pPr>
        <w:jc w:val="both"/>
        <w:ind w:left="660" w:firstLine="644"/>
        <w:spacing w:after="0" w:line="263" w:lineRule="auto"/>
        <w:tabs>
          <w:tab w:leader="none" w:pos="1833"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reduce the percentage in principal amount of the Outstanding Securities of any series, the consent of whose Holders is required for any such supplemental indenture, or the consent of whose Holders is required for any waiver (of compliance with certain provisions of this Indenture or certain defaults hereunder and their consequences) provided for in this Indenture, or</w:t>
      </w:r>
    </w:p>
    <w:p>
      <w:pPr>
        <w:spacing w:after="0" w:line="183" w:lineRule="exact"/>
        <w:rPr>
          <w:rFonts w:ascii="Arial" w:cs="Arial" w:eastAsia="Arial" w:hAnsi="Arial"/>
          <w:sz w:val="18"/>
          <w:szCs w:val="18"/>
          <w:color w:val="auto"/>
        </w:rPr>
      </w:pPr>
    </w:p>
    <w:p>
      <w:pPr>
        <w:jc w:val="both"/>
        <w:ind w:left="660" w:firstLine="644"/>
        <w:spacing w:after="0" w:line="257" w:lineRule="auto"/>
        <w:tabs>
          <w:tab w:leader="none" w:pos="1897" w:val="left"/>
        </w:tabs>
        <w:numPr>
          <w:ilvl w:val="0"/>
          <w:numId w:val="70"/>
        </w:numPr>
        <w:rPr>
          <w:rFonts w:ascii="Arial" w:cs="Arial" w:eastAsia="Arial" w:hAnsi="Arial"/>
          <w:sz w:val="18"/>
          <w:szCs w:val="18"/>
          <w:color w:val="auto"/>
        </w:rPr>
      </w:pPr>
      <w:r>
        <w:rPr>
          <w:rFonts w:ascii="Arial" w:cs="Arial" w:eastAsia="Arial" w:hAnsi="Arial"/>
          <w:sz w:val="18"/>
          <w:szCs w:val="18"/>
          <w:color w:val="auto"/>
        </w:rPr>
        <w:t>modify any of the provisions of this Section, Section 5.13 or Section 10.8, except to increase any such percentage or to provide that certain other provisions of this Indenture cannot be modified or waived without the consent of the Holder of each Outstanding Security affected thereby; provided, however, that this clause shall not be deemed to require the consent of any Holder with respect to changes in the references to “the Trustee” and concomitant changes in this Section and Section 10.8, or the deletion of this proviso, in accordance with the requirements of Sections 6.11 and 9.1(8), or</w:t>
      </w:r>
    </w:p>
    <w:p>
      <w:pPr>
        <w:spacing w:after="0" w:line="187" w:lineRule="exact"/>
        <w:rPr>
          <w:rFonts w:ascii="Arial" w:cs="Arial" w:eastAsia="Arial" w:hAnsi="Arial"/>
          <w:sz w:val="18"/>
          <w:szCs w:val="18"/>
          <w:color w:val="auto"/>
        </w:rPr>
      </w:pPr>
    </w:p>
    <w:p>
      <w:pPr>
        <w:ind w:left="660" w:right="400" w:firstLine="644"/>
        <w:spacing w:after="0" w:line="277" w:lineRule="auto"/>
        <w:tabs>
          <w:tab w:leader="none" w:pos="1833" w:val="left"/>
        </w:tabs>
        <w:numPr>
          <w:ilvl w:val="0"/>
          <w:numId w:val="70"/>
        </w:numPr>
        <w:rPr>
          <w:rFonts w:ascii="Arial" w:cs="Arial" w:eastAsia="Arial" w:hAnsi="Arial"/>
          <w:sz w:val="18"/>
          <w:szCs w:val="18"/>
          <w:color w:val="auto"/>
        </w:rPr>
      </w:pPr>
      <w:r>
        <w:rPr>
          <w:rFonts w:ascii="Arial" w:cs="Arial" w:eastAsia="Arial" w:hAnsi="Arial"/>
          <w:sz w:val="18"/>
          <w:szCs w:val="18"/>
          <w:color w:val="auto"/>
        </w:rPr>
        <w:t>if applicable, make any change that adversely affects the right to convert any security as provided in Article 14 or pursuant to Section 3.1 (except as permitted by Section 9.1(9)).</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 supplemental indenture which changes or eliminates any covenant or other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9" w:name="page80"/>
    <w:bookmarkEnd w:id="79"/>
    <w:p>
      <w:pPr>
        <w:jc w:val="both"/>
        <w:ind w:firstLine="648"/>
        <w:spacing w:after="0" w:line="277" w:lineRule="auto"/>
        <w:rPr>
          <w:sz w:val="20"/>
          <w:szCs w:val="20"/>
          <w:color w:val="auto"/>
        </w:rPr>
      </w:pPr>
      <w:r>
        <w:rPr>
          <w:rFonts w:ascii="Arial" w:cs="Arial" w:eastAsia="Arial" w:hAnsi="Arial"/>
          <w:sz w:val="18"/>
          <w:szCs w:val="18"/>
          <w:color w:val="auto"/>
        </w:rPr>
        <w:t>It shall not be necessary for any Act of Holders under this Section to approve the particular form of any proposed supplemental indenture, but it shall be sufficient if such Act shall approve the substance thereof.</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9.3 Execution of Supplemental Indentures.</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In executing, or accepting the additional trusts created by, any supplemental indenture permitted by this Article or the modifications thereby of the trusts created by this Indenture, the Trustee shall be entitled to receive, and (subject to Sections 6.1 and 6.3) shall be fully protected in relying upon, an Opinion of Counsel stating that the execution of such supplemental indenture is authorized or permitted by this Indenture. The Trustee may, but shall not be obligated to, enter into any such supplemental indenture which affects the Trustee’s own rights, duties or immunities under this Indenture or otherwise.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9.4 Effect of Supplemental Indentures.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shall be bound thereby.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9.5 Conformity with Trust Indenture Act.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Every supplemental indenture executed pursuant to this Article shall conform to the requirements of the Trust Indenture Act.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9.6 Reference in Securities to Supplemental Indentures.</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Securities of any series authenticated and delivered after the execution of any supplemental indenture pursuant to this Article may, and shall if required by the Trustee, bear a notation in form approved by the Trustee as to any matter provided for in such supplemental indenture. If the Company shall so determine, new Securities of any series so modified as to conform, in the opinion of the Trustee and the Company, to any such supplemental indenture may be prepared and executed by the Company and authenticated and delivered by the Trustee in exchange for Outstanding Securities of such series.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COVENANTS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10.1 Payment of Principal, Premium and Interest.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covenants and agrees for the benefit of each series of Securities that it will duly and punctually pay the principal of and any premium and interest on the Securities of that series in accordance with the terms of the Securities and this Indenture.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10.2 Maintenance of Office or Agency.</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Company will maintain in each Place of Payment for any series of Securities an office or agency where Securities of that series may be presented or surrendered for payment, where Securities of that series may be surrendered for registration of transfer or exchange, where Securities of that series may be surrendered for conversion and where notices and demands to or upon the Company in respect of the Securities of that series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and the Company hereby appoints the Trustee as its agent to receive all such presentations, surrenders, notices and demands. Unless otherwise provided in a supplemental indenture or pursuant to Section 3.1 hereof, the Place of Payment for any series of Securities shall be the Corporate Trust Office of the Trustee.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0" w:name="page81"/>
    <w:bookmarkEnd w:id="80"/>
    <w:p>
      <w:pPr>
        <w:jc w:val="both"/>
        <w:ind w:firstLine="648"/>
        <w:spacing w:after="0" w:line="257" w:lineRule="auto"/>
        <w:rPr>
          <w:sz w:val="20"/>
          <w:szCs w:val="20"/>
          <w:color w:val="auto"/>
        </w:rPr>
      </w:pPr>
      <w:r>
        <w:rPr>
          <w:rFonts w:ascii="Arial" w:cs="Arial" w:eastAsia="Arial" w:hAnsi="Arial"/>
          <w:sz w:val="18"/>
          <w:szCs w:val="18"/>
          <w:color w:val="auto"/>
        </w:rPr>
        <w:t xml:space="preserve">The Company may also from time to time designate one or more other offices or agencies where the Securities of one or more series may be presented or surrendered for any or all such purposes and may from time to time rescind such designations;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designation or rescission shall in any manner relieve the Company of its obligation to maintain an office or agency in each Place of Payment for Securities of any series for such purposes. The Company will give prompt written notice to the Trustee of any such designation or rescission and of any change in the location of any such other office or agency.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10.3 Money for Securities Payments To Be Held in Trust.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the Company shall at any time act as its own Paying Agent with respect to any series of Securities, it will, on or before each due date of the principal of or any premium or interest on any of the Securities of that series, segregate and hold in trust for the benefit of the Persons entitled thereto a sum sufficient to pay the principal and any premium and interest so becoming due until such sums shall be paid to such Persons or otherwise disposed of as herein provided and will promptly notify the Trustee of its action or failure so to act.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Whenever the Company shall have one or more Paying Agents for any series of Securities, it will, on or prior to each due date of the principal of or any premium or interest on any Securities of that series, deposit with a Paying Agent a sum sufficient to pay such amount, such sum to be held as provided by the Trust Indenture Act, and (unless such Paying Agent is the Trustee) the Company will promptly notify the Trustee of its action or failure so to act.</w:t>
      </w:r>
    </w:p>
    <w:p>
      <w:pPr>
        <w:spacing w:after="0" w:line="18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Company will cause each Paying Agent for any series of Securities other than the Trustee to execute and deliver to the Trustee an instrument in which such Paying Agent shall agree with the Trustee, subject to the provisions of this Section, that such Paying Agent will (1) comply with the provisions of the Trust Indenture Act applicable to it as a Paying Agent and (2) during the continuance of any default by the Company (or any other obligor upon the Securities of that series) in the making of any payment in respect of the Securities of that series, upon the written request of the Trustee, forthwith pay to the Trustee all sums held in trust by such Paying Agent for payment in respect of the Securities of that series.</w:t>
      </w:r>
    </w:p>
    <w:p>
      <w:pPr>
        <w:spacing w:after="0" w:line="17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money.</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Any money deposited with the Trustee or any Paying Agent, or then held by the Company, in trust for the payment of the principal of or any premium or interest on any Security of any series and remaining unclaimed for a period ending on the earlier of the date that is ten Business Days prior to the date such money would escheat to the State or two years after such principal, premium or interest has become due and payable shall be paid to the Company on Company Request, or (if then held by the Company) shall be discharged from such trust; and the Holder of such Security shall thereafter, as an unsecured general creditor, look only to the Company for payment thereof, and all liability of the Trustee or such Paying Agent with respect to such trust money, and all liability of the Company as trustee thereof, shall thereupon cease; provided, however, that the Trustee or such Paying Agent, before being required to make any such repayment, may at the expense of the Company cause to be published once, in a newspaper published in the English language, customarily published on each Business Day and of general circulation in each Place of Payment, notice that such money remains unclaimed and that, after a date specified therein, which shall not be less than 30 days from the date of such publication, any unclaimed balance of such money then remaining will be repaid to the Company.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Section 10.4 Statement by Officers as to Default.</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Company will deliver to the Trustee, within 120 days after the end of each fiscal year of the Company ending after the date hereof, an Officers’ Certificate, stating whether or not to the best knowledge of the signers thereof the Company is in default in the performance and observance of any of the terms, provisions and conditions of this Indenture (without regard to any period of grace or requirement of notice provided hereunder) and, if the Company shall be in default, specifying all such defaults and the nature and status thereof of which they may have knowledge. The fiscal year of the Company currently ends on December 31; and the Company will give the Trustee prompt written notice of any change of its fiscal year.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10.5 Existence.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Subject to Article 8, the Company will do or cause to be done all things necessary to preserve and keep in full force and effect its existence.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10.6 Waiver of Certain Covenants.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Except as otherwise specified as contemplated by Section 3.1 for Securities of such series, the Company may, with respect to the Securities of any series, omit in any particular instance to comply with any term, provision or condition set forth in any covenant provided pursuant to Section 3.1(19), 9.1(2), or 9.1(7) for the benefit of the Holders of such series if before the time for such compliance the Holders of at least a majority in principal amount of the Outstanding Securities of such series shall, by Act of such Holders, either waive such compliance in such instance or generally waive compliance with such term, provision or condition, but no such waiver shall extend to or affect such term, provision or condition except to the extent so expressly waived, and, until such waiver shall become effective, the obligations of the Company and the duties of the Trustee in respect of any such term, provision or condition shall remain in full force and effect.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REDEMPTION OF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11.1 Applicability of Article.</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Securities of any series that are redeemable before their Stated Maturity shall be redeemable in accordance with their terms and (except as otherwise specified as contemplated by Section 3.1 for such Securities) in accordance with this Article.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11.2 Election to Redeem; Notice to Trustee.</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election of the Company to redeem any Securities shall be evidenced by a Board Resolution or in another manner specified as contemplated by Section 3.1 for such Securities. In case of any redemption at the election of the Company of less than all the Securities of any series (including any such redemption affecting only a single Security), the Company shall, at least 45 days prior to the Redemption Date fixed by the Company (unless a shorter notice shall be satisfactory to the Trustee), notify the Trustee of such Redemption Date, of the principal amount of Securities of such series to be redeemed and, if applicable, of the tenor of the Securities to be redeemed. Any such notice may be cancelled at any time prior to notice of such redemption being sent to any Holder and shall thereby be void and of no effect. In the case of any redemption of Securities prior to the expiration of any restriction on such redemption provided in the terms of such Securities or elsewhere in this Indenture, the Company shall furnish the Trustee with an Officers’ Certificate evidencing compliance with such restriction.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Section 11.3 Selection by Trustee of Securities to Be Redeemed.</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less than all the Securities of any series are to be redeemed (unless all the Securities of such series and of a specified tenor are to be redeemed or unless such redemption affects only a single Security), the particular Securities to be redeemed shall be selected not more than 45 days prior to the Redemption Date by the Trustee, from the Outstanding Securities of such series not previously called for redemption, by lot, or in the Trustee’s discretion, on a pro-rata basis, provided that the unredeemed portion of the principal amount of any Security shall be in an authorized denomination (which shall not be less than the minimum authorized denomination) for such Security. If less than all the Securities of such series and of a specified tenor are to be redeemed (unless such redemption affects only a single Security), the particular Securities to be redeemed shall be selected not more than 45 days prior to the Redemption Date by the Trustee, from the Outstanding Securities of such series and specified tenor not previously called for redemption in accordance with the preceding sentence.</w:t>
      </w:r>
    </w:p>
    <w:p>
      <w:pPr>
        <w:spacing w:after="0" w:line="19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If any Security selected for partial redemption is converted in part before termination of the conversion right with respect to the portion of the Security so selected, the converted portion of such Security shall be deemed (so far as may be) to be the portion selected for redemption. Securities that have been converted during a selection of Securities to be redeemed shall be treated by the Trustee as Outstanding for the purpose of such selection.</w:t>
      </w:r>
    </w:p>
    <w:p>
      <w:pPr>
        <w:spacing w:after="0" w:line="1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Trustee shall promptly notify the Company in writing of the Securities selected for redemption as aforesaid and, in case of any Securities selected for partial redemption as aforesaid, the principal amount thereof to be redeemed.</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provisions of the three preceding paragraphs shall not apply with respect to any redemption affecting only a single Security, whether such Security is to be redeemed in whole or in part. In the case of any such redemption in part, the unredeemed portion of the principal amount of the Security shall be in an authorized denomination (which shall not be less than the minimum authorized denomination) for such Security.</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all purposes of this Indenture, unless the context otherwise requires, all provisions relating to the redemption of Securities shall relate, in the case of any Securities redeemed or to be redeemed only in part, to the portion of the principal amount of such Securities which has been or is to be redeemed.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11.4 Notice of Redemption.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Notice of redemption shall be given by first-class mail, postage prepaid, mailed not fewer than 30 nor more than 60 days prior to the Redemption Date, unless a shorter period is specified in the Securities to be redeemed, to each Holder of Securities to be redeemed, at its address appearing in the Security Register.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notices of redemption shall state:</w:t>
      </w:r>
    </w:p>
    <w:p>
      <w:pPr>
        <w:spacing w:after="0" w:line="225" w:lineRule="exact"/>
        <w:rPr>
          <w:sz w:val="20"/>
          <w:szCs w:val="20"/>
          <w:color w:val="auto"/>
        </w:rPr>
      </w:pPr>
    </w:p>
    <w:p>
      <w:pPr>
        <w:ind w:left="1820" w:hanging="516"/>
        <w:spacing w:after="0"/>
        <w:tabs>
          <w:tab w:leader="none" w:pos="18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225" w:lineRule="exact"/>
        <w:rPr>
          <w:rFonts w:ascii="Arial" w:cs="Arial" w:eastAsia="Arial" w:hAnsi="Arial"/>
          <w:sz w:val="18"/>
          <w:szCs w:val="18"/>
          <w:color w:val="auto"/>
        </w:rPr>
      </w:pPr>
    </w:p>
    <w:p>
      <w:pPr>
        <w:ind w:left="1820" w:hanging="516"/>
        <w:spacing w:after="0"/>
        <w:tabs>
          <w:tab w:leader="none" w:pos="18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Redemption Price (including accrued interest, if any),</w:t>
      </w:r>
    </w:p>
    <w:p>
      <w:pPr>
        <w:spacing w:after="0" w:line="225" w:lineRule="exact"/>
        <w:rPr>
          <w:rFonts w:ascii="Arial" w:cs="Arial" w:eastAsia="Arial" w:hAnsi="Arial"/>
          <w:sz w:val="18"/>
          <w:szCs w:val="18"/>
          <w:color w:val="auto"/>
        </w:rPr>
      </w:pPr>
    </w:p>
    <w:p>
      <w:pPr>
        <w:jc w:val="both"/>
        <w:ind w:left="660" w:firstLine="644"/>
        <w:spacing w:after="0" w:line="259" w:lineRule="auto"/>
        <w:tabs>
          <w:tab w:leader="none" w:pos="2032" w:val="left"/>
        </w:tabs>
        <w:numPr>
          <w:ilvl w:val="0"/>
          <w:numId w:val="71"/>
        </w:numPr>
        <w:rPr>
          <w:rFonts w:ascii="Arial" w:cs="Arial" w:eastAsia="Arial" w:hAnsi="Arial"/>
          <w:sz w:val="18"/>
          <w:szCs w:val="18"/>
          <w:color w:val="auto"/>
        </w:rPr>
      </w:pPr>
      <w:r>
        <w:rPr>
          <w:rFonts w:ascii="Arial" w:cs="Arial" w:eastAsia="Arial" w:hAnsi="Arial"/>
          <w:sz w:val="18"/>
          <w:szCs w:val="18"/>
          <w:color w:val="auto"/>
        </w:rPr>
        <w:t>if less than all the Outstanding Securities of any series consisting of more than a single Security are to be redeemed, the identification (and, in the case of partial redemption of any such Securities, the principal amounts) of the particular Securities to be redeemed and, if less than all the Outstanding Securities of any series consisting of a single Security are to be redeemed, the principal amount of the particular Security to be redeemed,</w:t>
      </w:r>
    </w:p>
    <w:p>
      <w:pPr>
        <w:spacing w:after="0" w:line="186" w:lineRule="exact"/>
        <w:rPr>
          <w:rFonts w:ascii="Arial" w:cs="Arial" w:eastAsia="Arial" w:hAnsi="Arial"/>
          <w:sz w:val="18"/>
          <w:szCs w:val="18"/>
          <w:color w:val="auto"/>
        </w:rPr>
      </w:pPr>
    </w:p>
    <w:p>
      <w:pPr>
        <w:jc w:val="both"/>
        <w:ind w:left="660" w:firstLine="644"/>
        <w:spacing w:after="0" w:line="263" w:lineRule="auto"/>
        <w:tabs>
          <w:tab w:leader="none" w:pos="1921"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 case any Security is to be redeemed in part only, that on and after the Redemption Date, upon surrender of the Security, the Holder of such Security will receive, without charge, a new Security or Securities of authorized denominations for the principal amount thereof remaining unredeemed;</w:t>
      </w:r>
    </w:p>
    <w:p>
      <w:pPr>
        <w:spacing w:after="0" w:line="183" w:lineRule="exact"/>
        <w:rPr>
          <w:rFonts w:ascii="Arial" w:cs="Arial" w:eastAsia="Arial" w:hAnsi="Arial"/>
          <w:sz w:val="18"/>
          <w:szCs w:val="18"/>
          <w:color w:val="auto"/>
        </w:rPr>
      </w:pPr>
    </w:p>
    <w:p>
      <w:pPr>
        <w:ind w:left="660" w:right="20" w:firstLine="644"/>
        <w:spacing w:after="0" w:line="277" w:lineRule="auto"/>
        <w:tabs>
          <w:tab w:leader="none" w:pos="1866"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that on the Redemption Date the Redemption Price will become due and payable upon each such Security to be redeemed and, if applicable, that interest thereon will cease to accrue on and after said date,</w:t>
      </w:r>
    </w:p>
    <w:p>
      <w:pPr>
        <w:spacing w:after="0" w:line="170" w:lineRule="exact"/>
        <w:rPr>
          <w:rFonts w:ascii="Arial" w:cs="Arial" w:eastAsia="Arial" w:hAnsi="Arial"/>
          <w:sz w:val="18"/>
          <w:szCs w:val="18"/>
          <w:color w:val="auto"/>
        </w:rPr>
      </w:pPr>
    </w:p>
    <w:p>
      <w:pPr>
        <w:ind w:left="1820" w:hanging="516"/>
        <w:spacing w:after="0"/>
        <w:tabs>
          <w:tab w:leader="none" w:pos="18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place or places where each such Security is to be surrendered for payment of the Redemption Price,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3" w:name="page84"/>
    <w:bookmarkEnd w:id="83"/>
    <w:p>
      <w:pPr>
        <w:jc w:val="both"/>
        <w:ind w:left="660" w:firstLine="644"/>
        <w:spacing w:after="0" w:line="263" w:lineRule="auto"/>
        <w:tabs>
          <w:tab w:leader="none" w:pos="1833" w:val="left"/>
        </w:tabs>
        <w:numPr>
          <w:ilvl w:val="0"/>
          <w:numId w:val="72"/>
        </w:numPr>
        <w:rPr>
          <w:rFonts w:ascii="Arial" w:cs="Arial" w:eastAsia="Arial" w:hAnsi="Arial"/>
          <w:sz w:val="18"/>
          <w:szCs w:val="18"/>
          <w:color w:val="auto"/>
        </w:rPr>
      </w:pPr>
      <w:r>
        <w:rPr>
          <w:rFonts w:ascii="Arial" w:cs="Arial" w:eastAsia="Arial" w:hAnsi="Arial"/>
          <w:sz w:val="18"/>
          <w:szCs w:val="18"/>
          <w:color w:val="auto"/>
        </w:rPr>
        <w:t>if applicable, the conversion price or the conversion rate, as the case may be, the date on which the right to convert the principal of the Securities or the portions thereof to be redeemed will terminate, and the place or places where such Securities may be surrendered for conversion,</w:t>
      </w:r>
    </w:p>
    <w:p>
      <w:pPr>
        <w:spacing w:after="0" w:line="183" w:lineRule="exact"/>
        <w:rPr>
          <w:rFonts w:ascii="Arial" w:cs="Arial" w:eastAsia="Arial" w:hAnsi="Arial"/>
          <w:sz w:val="18"/>
          <w:szCs w:val="18"/>
          <w:color w:val="auto"/>
        </w:rPr>
      </w:pPr>
    </w:p>
    <w:p>
      <w:pPr>
        <w:ind w:left="1820" w:hanging="516"/>
        <w:spacing w:after="0"/>
        <w:tabs>
          <w:tab w:leader="none" w:pos="18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that the redemption is for a sinking fund, if such is the case, and</w:t>
      </w:r>
    </w:p>
    <w:p>
      <w:pPr>
        <w:spacing w:after="0" w:line="225" w:lineRule="exact"/>
        <w:rPr>
          <w:rFonts w:ascii="Arial" w:cs="Arial" w:eastAsia="Arial" w:hAnsi="Arial"/>
          <w:sz w:val="18"/>
          <w:szCs w:val="18"/>
          <w:color w:val="auto"/>
        </w:rPr>
      </w:pPr>
    </w:p>
    <w:p>
      <w:pPr>
        <w:ind w:left="1820" w:hanging="516"/>
        <w:spacing w:after="0"/>
        <w:tabs>
          <w:tab w:leader="none" w:pos="18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CUSIP number or numbers and/or common code(s) of the Security being redeemed.</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Notice of redemption of Securities to be redeemed at the election of the Company shall be given by the Company or, at the Company’s request, by the Trustee in the name and at the expense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11.5 Deposit of Redemption Price.</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or prior to any Redemption Date, the Company shall deposit with the Trustee or with a Paying Agent (or, if the Company is acting as its own Paying Agent, segregate and hold in trust as provided in Section 10.3) an amount of money sufficient to pay the Redemption Price of, and (except if the Redemption Date shall be an Interest Payment Date) accrued interest on, all the Securities which are to be redeemed on that date.</w:t>
      </w:r>
    </w:p>
    <w:p>
      <w:pPr>
        <w:spacing w:after="0" w:line="16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If any Security called for redemption is converted, any money deposited with the Trustee or with a Paying Agent or so segregated and held in trust for the redemption of such Security shall (subject to the right of any Holder of such Security to receive interest as provided in the last paragraph of Section 3.7) be paid to the Company on Company Request, or if then held by the Company, shall be discharged from such trust.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11.6 Securities Payable on Redemption Date.</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Notice of redemption having been given as aforesaid, the Securities so to be redeemed shall, on the Redemption Date, become due and payable at the Redemption Price therein specified, and from and after such date (unless the Company shall default in the payment of the Redemption Price and accrued interest) such Securities shall cease to bear interest. Upon surrender of any such Security for redemption in accordance with said notice, such Security shall be paid by the Company at the Redemption Price, together with accrued interest to the Redemption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unless otherwise specified as contemplated by Section 3.1, installments of interest whose Stated Maturity is on or prior to the Redemption Date will be payable to the Holders of such Securities, or one or more Predecessor Securities, registered as such at the close of business on the relevant Record Dates according to their terms and the provisions of Section 3.7.</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any Security called for redemption shall not be so paid upon surrender thereof for redemption, the principal and any premium shall, until paid, bear interest from the Redemption Date at the rate prescribed therefor in the Security.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11.7 Securities Redeemed in Part.</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Any Security which is to be redeemed only in part shall be surrendered at a Place of Payment therefor (with, if the Company or the Trustee so requires, due endorsement by, or a written instrument of transfer in form satisfactory to the Company and the Trustee duly executed by, the Holder thereof or its attorney duly authorized in writing), and the Company shall execute, and the Trustee shall authenticate and deliver to the Holder of such Security without service charge, a new Security or Securities of the same series and of like tenor, of any authorized denomination as requested by such Holder, in aggregate principal amount equal to and in exchange for the unredeemed portion of the principal of the Security so surrendered.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ARTICLE 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SINKING FUNDS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12.1 Applicability of Article.</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provisions of this Article shall be applicable to any sinking fund for the retirement of Securities of any series except as otherwise specified as contemplated by Section 3.1 for such Securities.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minimum amount of any sinking fund payment provided for by the terms of any Securities is herein referred to as a “mandatory sinking fund payment,” and any payment in excess of such minimum amount provided for by the terms of such Securities is herein referred to as an “optional sinking fund payment.” If provided for by the terms of any Securities, the cash amount of any sinking fund payment may be subject to reduction as provided in Section 12.2. Each sinking fund payment shall be applied to the redemption of Securities as provided for by the terms of such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12.2 Satisfaction of Sinking Fund Payments with Securities.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The Company (1) may deliver Outstanding Securities of a series (other than any previously called for redemption) and (2) may apply as a credit Securities of a series which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any Securities of such series required to be made pursuant to the terms of such Securities as and to the extent provided for by the terms of such Securities;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Securities to be so credited have not been previously so credited. The Securities to be so credited shall be received and credited for such purpose by the Trustee at the Redemption Price, as specified in the Securities so to be redeemed, for redemption through operation of the sinking fund and the amount of such sinking fund payment shall be reduced accordingly.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12.3 Redemption of Securities for Sinking Fund.</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Not fewer than 60 days prior to each sinking fund payment date for any Securities, the Company will deliver to the Trustee an Officers’ Certificate specifying the amount of the next ensuing sinking fund payment for such Securities pursuant to the terms of such Securities, the portion thereof, if any, which is to be satisfied by payment of cash and the portion thereof, if any, which is to be satisfied by delivering and crediting Securities pursuant to Section 12.2 and will also deliver to the Trustee any Securities to be so delivered. Not fewer than 30 days prior to each such sinking fund payment date, the Trustee shall select the Securities to be redeemed upon such sinking fund payment date in the manner specified in Section 11.3 and cause notice of the redemption thereof to be given in the name of and at the expense of the Company in the manner provided in Section 11.4. Such notice having been duly given, the redemption of such Securities shall be made upon the terms and in the manner stated in Sections 11.6 and 11.7.</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13</w:t>
      </w:r>
    </w:p>
    <w:p>
      <w:pPr>
        <w:spacing w:after="0" w:line="225"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DEFEASANCE AND COVENANT DEFEASANCE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13.1 Company’s Option to Effect Defeasance or Covenant Defeasance.</w:t>
      </w:r>
    </w:p>
    <w:p>
      <w:pPr>
        <w:spacing w:after="0" w:line="229" w:lineRule="exact"/>
        <w:rPr>
          <w:sz w:val="20"/>
          <w:szCs w:val="20"/>
          <w:color w:val="auto"/>
        </w:rPr>
      </w:pPr>
    </w:p>
    <w:p>
      <w:pPr>
        <w:jc w:val="both"/>
        <w:ind w:right="120" w:firstLine="648"/>
        <w:spacing w:after="0" w:line="279" w:lineRule="auto"/>
        <w:rPr>
          <w:sz w:val="20"/>
          <w:szCs w:val="20"/>
          <w:color w:val="auto"/>
        </w:rPr>
      </w:pPr>
      <w:r>
        <w:rPr>
          <w:rFonts w:ascii="Arial" w:cs="Arial" w:eastAsia="Arial" w:hAnsi="Arial"/>
          <w:sz w:val="17"/>
          <w:szCs w:val="17"/>
          <w:color w:val="auto"/>
        </w:rPr>
        <w:t>The Company may elect, at its option at any time, to have Section 13.2 or Section 13.3 applied to any Securities or any series of Securities, as the case may be, designated pursuant to Section 3.1 as being defeasible pursuant to such Section 13.2 or 13.3, in accordance with any applicable requirements provided pursuant to Section 3.1 and upon compliance with the conditions set forth below in this Article. Any such election shall be evidenced by a Board Resolution or in another manner specified as contemplated by Section 3.1 for such Securities.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Section 13.2 Defeasance and Discharge.</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Upon the Company’s exercise of its option (if any) to have this Section applied to any Securities or any series of Securities, as the case may be, the Company shall be deemed to have been discharged from its obligations with respect to such Securities as provided in this Section on and after the date the conditions set forth in Section 13.4 are satisfied (hereinafter called “Defeasance”). For this purpose, such Defeasance means that the Company shall be deemed to have paid and discharged the entire indebtedness represented by such Securities and to have satisfied all its other obligations under such Securities and this Indenture insofar as such Securities are concerned (and the Trustee, at the expense of the Company, shall execute proper instruments acknowledging the same), subject to the following which shall survive until otherwise terminated or discharged hereunder:</w:t>
      </w:r>
    </w:p>
    <w:p>
      <w:pPr>
        <w:spacing w:after="0" w:line="164" w:lineRule="exact"/>
        <w:rPr>
          <w:sz w:val="20"/>
          <w:szCs w:val="20"/>
          <w:color w:val="auto"/>
        </w:rPr>
      </w:pPr>
    </w:p>
    <w:p>
      <w:pPr>
        <w:ind w:left="660" w:right="20" w:firstLine="644"/>
        <w:spacing w:after="0" w:line="308" w:lineRule="auto"/>
        <w:tabs>
          <w:tab w:leader="none" w:pos="1861"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rights of Holders of such Securities to receive, solely from the trust fund described in Section 13.4 and as more fully set forth in such Section, payments in respect of the principal of and any premium and interest on such Securities when payments are due,</w:t>
      </w:r>
    </w:p>
    <w:p>
      <w:pPr>
        <w:spacing w:after="0" w:line="146" w:lineRule="exact"/>
        <w:rPr>
          <w:rFonts w:ascii="Arial" w:cs="Arial" w:eastAsia="Arial" w:hAnsi="Arial"/>
          <w:sz w:val="17"/>
          <w:szCs w:val="17"/>
          <w:color w:val="auto"/>
        </w:rPr>
      </w:pPr>
    </w:p>
    <w:p>
      <w:pPr>
        <w:ind w:left="1900" w:hanging="596"/>
        <w:spacing w:after="0"/>
        <w:tabs>
          <w:tab w:leader="none" w:pos="19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Company’s obligations with respect to such Securities under Sections 3.4, 3.5, 3.6, 10.2 and 10.3, and, if applicable, Article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14,</w:t>
      </w:r>
    </w:p>
    <w:p>
      <w:pPr>
        <w:spacing w:after="0" w:line="210" w:lineRule="exact"/>
        <w:rPr>
          <w:rFonts w:ascii="Arial" w:cs="Arial" w:eastAsia="Arial" w:hAnsi="Arial"/>
          <w:sz w:val="16"/>
          <w:szCs w:val="16"/>
          <w:color w:val="auto"/>
        </w:rPr>
      </w:pPr>
    </w:p>
    <w:p>
      <w:pPr>
        <w:ind w:left="1820" w:hanging="516"/>
        <w:spacing w:after="0"/>
        <w:tabs>
          <w:tab w:leader="none" w:pos="18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hereunder, and</w:t>
      </w:r>
    </w:p>
    <w:p>
      <w:pPr>
        <w:spacing w:after="0" w:line="225" w:lineRule="exact"/>
        <w:rPr>
          <w:rFonts w:ascii="Arial" w:cs="Arial" w:eastAsia="Arial" w:hAnsi="Arial"/>
          <w:sz w:val="18"/>
          <w:szCs w:val="18"/>
          <w:color w:val="auto"/>
        </w:rPr>
      </w:pPr>
    </w:p>
    <w:p>
      <w:pPr>
        <w:ind w:left="1820" w:hanging="516"/>
        <w:spacing w:after="0"/>
        <w:tabs>
          <w:tab w:leader="none" w:pos="18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this Article.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Subject to compliance with this Article, the Company may exercise its option (if any) to have this Section applied to any Securities notwithstanding the prior exercise of its option (if any) to have Section 13.3 applied to such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13.3 Covenant Defeasance.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Upon the Company’s exercise of its option (if any) to have this Section applied to any Securities or any series of Securities, as the case may be,</w:t>
      </w:r>
    </w:p>
    <w:p>
      <w:pPr>
        <w:spacing w:after="0" w:line="248" w:lineRule="exact"/>
        <w:rPr>
          <w:sz w:val="20"/>
          <w:szCs w:val="20"/>
          <w:color w:val="auto"/>
        </w:rPr>
      </w:pPr>
    </w:p>
    <w:p>
      <w:pPr>
        <w:ind w:left="660" w:right="20" w:firstLine="644"/>
        <w:spacing w:after="0" w:line="308" w:lineRule="auto"/>
        <w:tabs>
          <w:tab w:leader="none" w:pos="1842"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Company shall be released from its obligations under Sections 7.4 and 10.5 and clause (2) of the first paragraph of Section 8.1 and any covenants provided pursuant to Sections 3.1(19), 9.1(2) or 9.1(7) for the benefit of the Holders of such Securities and</w:t>
      </w:r>
    </w:p>
    <w:p>
      <w:pPr>
        <w:spacing w:after="0" w:line="146" w:lineRule="exact"/>
        <w:rPr>
          <w:rFonts w:ascii="Arial" w:cs="Arial" w:eastAsia="Arial" w:hAnsi="Arial"/>
          <w:sz w:val="17"/>
          <w:szCs w:val="17"/>
          <w:color w:val="auto"/>
        </w:rPr>
      </w:pPr>
    </w:p>
    <w:p>
      <w:pPr>
        <w:jc w:val="both"/>
        <w:ind w:left="660" w:firstLine="644"/>
        <w:spacing w:after="0" w:line="270" w:lineRule="auto"/>
        <w:tabs>
          <w:tab w:leader="none" w:pos="1945"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occurrence of any event specified in Section 5.1(4) (with respect to any of Section 10.5 and any such covenants provided pursuant to Section 3.1(19), 9.1(2) or 9.1(7)) and the occurrence of any other Event of Default specified pursuant to Section 3.1 shall be deemed not to be or result in an Event of Default, in each case with respect to such Securities or any series of Securities as provided in this Section on and after the date the conditions set forth in Section 13.4 are satisfied (hereinafter called “Covenant Defeasance”). For this purpose, such Covenant Defeasance means that, with respect to such Securities, the Company may omit to comply with and shall have no liability in respect of any term, condition or limitation set forth in any such specified Section (to the extent so specified in the case of Section 5.1(4) and the occurrence of any other Event of Default specified pursuant to Section 3. 1), whether directly or indirectly by reason of any reference elsewhere herein to any such Section or by reason of any reference in any such Section to any other provision herein or in any other document, but the remainder of this Indenture and such Securities shall be unaffected thereby.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13.4 Conditions to Defeasance or Covenant Defeasance.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shall be the conditions to the application of Section 13.2 or Section 13.3 to any Securities or any series of Securities, as the case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may be: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6" w:name="page87"/>
    <w:bookmarkEnd w:id="86"/>
    <w:p>
      <w:pPr>
        <w:jc w:val="both"/>
        <w:ind w:left="-460" w:firstLine="644"/>
        <w:spacing w:after="0" w:line="259" w:lineRule="auto"/>
        <w:tabs>
          <w:tab w:leader="none" w:pos="764"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Company shall irrevocably have deposited or caused to be deposited with the Trustee (or another trustee which satisfies the requirements contemplated by Section 6.9 and agrees to comply with the provisions of this Article applicable to it) as trust funds in trust for the purpose of making the following payments, specifically pledged as security for, and dedicated solely to, the benefits of the Holders of such Securities,</w:t>
      </w:r>
    </w:p>
    <w:p>
      <w:pPr>
        <w:spacing w:after="0" w:line="186" w:lineRule="exact"/>
        <w:rPr>
          <w:rFonts w:ascii="Arial" w:cs="Arial" w:eastAsia="Arial" w:hAnsi="Arial"/>
          <w:sz w:val="18"/>
          <w:szCs w:val="18"/>
          <w:color w:val="auto"/>
        </w:rPr>
      </w:pPr>
    </w:p>
    <w:p>
      <w:pPr>
        <w:ind w:left="1080" w:hanging="572"/>
        <w:spacing w:after="0"/>
        <w:tabs>
          <w:tab w:leader="none" w:pos="1080" w:val="left"/>
        </w:tabs>
        <w:numPr>
          <w:ilvl w:val="1"/>
          <w:numId w:val="75"/>
        </w:numPr>
        <w:rPr>
          <w:rFonts w:ascii="Arial" w:cs="Arial" w:eastAsia="Arial" w:hAnsi="Arial"/>
          <w:sz w:val="18"/>
          <w:szCs w:val="18"/>
          <w:color w:val="auto"/>
        </w:rPr>
      </w:pPr>
      <w:r>
        <w:rPr>
          <w:rFonts w:ascii="Arial" w:cs="Arial" w:eastAsia="Arial" w:hAnsi="Arial"/>
          <w:sz w:val="18"/>
          <w:szCs w:val="18"/>
          <w:color w:val="auto"/>
        </w:rPr>
        <w:t>in the case of Securities of a series denominated in currency of the United States of America,</w:t>
      </w:r>
    </w:p>
    <w:p>
      <w:pPr>
        <w:spacing w:after="0" w:line="225" w:lineRule="exact"/>
        <w:rPr>
          <w:rFonts w:ascii="Arial" w:cs="Arial" w:eastAsia="Arial" w:hAnsi="Arial"/>
          <w:sz w:val="18"/>
          <w:szCs w:val="18"/>
          <w:color w:val="auto"/>
        </w:rPr>
      </w:pPr>
    </w:p>
    <w:p>
      <w:pPr>
        <w:ind w:left="1320" w:hanging="488"/>
        <w:spacing w:after="0"/>
        <w:tabs>
          <w:tab w:leader="none" w:pos="1320" w:val="left"/>
        </w:tabs>
        <w:numPr>
          <w:ilvl w:val="2"/>
          <w:numId w:val="75"/>
        </w:numPr>
        <w:rPr>
          <w:rFonts w:ascii="Arial" w:cs="Arial" w:eastAsia="Arial" w:hAnsi="Arial"/>
          <w:sz w:val="18"/>
          <w:szCs w:val="18"/>
          <w:color w:val="auto"/>
        </w:rPr>
      </w:pPr>
      <w:r>
        <w:rPr>
          <w:rFonts w:ascii="Arial" w:cs="Arial" w:eastAsia="Arial" w:hAnsi="Arial"/>
          <w:sz w:val="18"/>
          <w:szCs w:val="18"/>
          <w:color w:val="auto"/>
        </w:rPr>
        <w:t>cash in currency of the United States of America in an amount, or</w:t>
      </w:r>
    </w:p>
    <w:p>
      <w:pPr>
        <w:spacing w:after="0" w:line="225" w:lineRule="exact"/>
        <w:rPr>
          <w:rFonts w:ascii="Arial" w:cs="Arial" w:eastAsia="Arial" w:hAnsi="Arial"/>
          <w:sz w:val="18"/>
          <w:szCs w:val="18"/>
          <w:color w:val="auto"/>
        </w:rPr>
      </w:pPr>
    </w:p>
    <w:p>
      <w:pPr>
        <w:ind w:left="180" w:firstLine="652"/>
        <w:spacing w:after="0" w:line="308" w:lineRule="auto"/>
        <w:tabs>
          <w:tab w:leader="none" w:pos="1547" w:val="left"/>
        </w:tabs>
        <w:numPr>
          <w:ilvl w:val="2"/>
          <w:numId w:val="75"/>
        </w:numPr>
        <w:rPr>
          <w:rFonts w:ascii="Arial" w:cs="Arial" w:eastAsia="Arial" w:hAnsi="Arial"/>
          <w:sz w:val="17"/>
          <w:szCs w:val="17"/>
          <w:color w:val="auto"/>
        </w:rPr>
      </w:pPr>
      <w:r>
        <w:rPr>
          <w:rFonts w:ascii="Arial" w:cs="Arial" w:eastAsia="Arial" w:hAnsi="Arial"/>
          <w:sz w:val="17"/>
          <w:szCs w:val="17"/>
          <w:color w:val="auto"/>
        </w:rPr>
        <w:t>U.S. Government Obligations which through the scheduled payment of principal and interest in respect thereof in accordance with their terms will provide, not later than one day before the due date of any payment, an amount in cash, or</w:t>
      </w:r>
    </w:p>
    <w:p>
      <w:pPr>
        <w:spacing w:after="0" w:line="146" w:lineRule="exact"/>
        <w:rPr>
          <w:rFonts w:ascii="Arial" w:cs="Arial" w:eastAsia="Arial" w:hAnsi="Arial"/>
          <w:sz w:val="17"/>
          <w:szCs w:val="17"/>
          <w:color w:val="auto"/>
        </w:rPr>
      </w:pPr>
    </w:p>
    <w:p>
      <w:pPr>
        <w:ind w:left="1420" w:hanging="588"/>
        <w:spacing w:after="0"/>
        <w:tabs>
          <w:tab w:leader="none" w:pos="1420" w:val="left"/>
        </w:tabs>
        <w:numPr>
          <w:ilvl w:val="2"/>
          <w:numId w:val="75"/>
        </w:numPr>
        <w:rPr>
          <w:rFonts w:ascii="Arial" w:cs="Arial" w:eastAsia="Arial" w:hAnsi="Arial"/>
          <w:sz w:val="18"/>
          <w:szCs w:val="18"/>
          <w:color w:val="auto"/>
        </w:rPr>
      </w:pPr>
      <w:r>
        <w:rPr>
          <w:rFonts w:ascii="Arial" w:cs="Arial" w:eastAsia="Arial" w:hAnsi="Arial"/>
          <w:sz w:val="18"/>
          <w:szCs w:val="18"/>
          <w:color w:val="auto"/>
        </w:rPr>
        <w:t>a combination thereof, or</w:t>
      </w:r>
    </w:p>
    <w:p>
      <w:pPr>
        <w:spacing w:after="0" w:line="225" w:lineRule="exact"/>
        <w:rPr>
          <w:rFonts w:ascii="Arial" w:cs="Arial" w:eastAsia="Arial" w:hAnsi="Arial"/>
          <w:sz w:val="18"/>
          <w:szCs w:val="18"/>
          <w:color w:val="auto"/>
        </w:rPr>
      </w:pPr>
    </w:p>
    <w:p>
      <w:pPr>
        <w:ind w:left="1060" w:hanging="552"/>
        <w:spacing w:after="0"/>
        <w:tabs>
          <w:tab w:leader="none" w:pos="10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in the case of Securities of a series denominated in currency other than that of the United States of America,</w:t>
      </w:r>
    </w:p>
    <w:p>
      <w:pPr>
        <w:spacing w:after="0" w:line="225" w:lineRule="exact"/>
        <w:rPr>
          <w:rFonts w:ascii="Arial" w:cs="Arial" w:eastAsia="Arial" w:hAnsi="Arial"/>
          <w:sz w:val="18"/>
          <w:szCs w:val="18"/>
          <w:color w:val="auto"/>
        </w:rPr>
      </w:pPr>
    </w:p>
    <w:p>
      <w:pPr>
        <w:ind w:left="1320" w:hanging="488"/>
        <w:spacing w:after="0"/>
        <w:tabs>
          <w:tab w:leader="none" w:pos="1320" w:val="left"/>
        </w:tabs>
        <w:numPr>
          <w:ilvl w:val="2"/>
          <w:numId w:val="75"/>
        </w:numPr>
        <w:rPr>
          <w:rFonts w:ascii="Arial" w:cs="Arial" w:eastAsia="Arial" w:hAnsi="Arial"/>
          <w:sz w:val="18"/>
          <w:szCs w:val="18"/>
          <w:color w:val="auto"/>
        </w:rPr>
      </w:pPr>
      <w:r>
        <w:rPr>
          <w:rFonts w:ascii="Arial" w:cs="Arial" w:eastAsia="Arial" w:hAnsi="Arial"/>
          <w:sz w:val="18"/>
          <w:szCs w:val="18"/>
          <w:color w:val="auto"/>
        </w:rPr>
        <w:t>cash in the currency in which such series of Securities is denominated in an amount, or</w:t>
      </w:r>
    </w:p>
    <w:p>
      <w:pPr>
        <w:spacing w:after="0" w:line="225" w:lineRule="exact"/>
        <w:rPr>
          <w:rFonts w:ascii="Arial" w:cs="Arial" w:eastAsia="Arial" w:hAnsi="Arial"/>
          <w:sz w:val="18"/>
          <w:szCs w:val="18"/>
          <w:color w:val="auto"/>
        </w:rPr>
      </w:pPr>
    </w:p>
    <w:p>
      <w:pPr>
        <w:ind w:left="180" w:firstLine="652"/>
        <w:spacing w:after="0" w:line="308" w:lineRule="auto"/>
        <w:tabs>
          <w:tab w:leader="none" w:pos="1470" w:val="left"/>
        </w:tabs>
        <w:numPr>
          <w:ilvl w:val="2"/>
          <w:numId w:val="75"/>
        </w:numPr>
        <w:rPr>
          <w:rFonts w:ascii="Arial" w:cs="Arial" w:eastAsia="Arial" w:hAnsi="Arial"/>
          <w:sz w:val="17"/>
          <w:szCs w:val="17"/>
          <w:color w:val="auto"/>
        </w:rPr>
      </w:pPr>
      <w:r>
        <w:rPr>
          <w:rFonts w:ascii="Arial" w:cs="Arial" w:eastAsia="Arial" w:hAnsi="Arial"/>
          <w:sz w:val="17"/>
          <w:szCs w:val="17"/>
          <w:color w:val="auto"/>
        </w:rPr>
        <w:t>Foreign Government Obligations which through the scheduled payment of principal and interest in respect thereof in accordance with their terms will provide, not later than one day before the due date of any payment, an amount in cash, or</w:t>
      </w:r>
    </w:p>
    <w:p>
      <w:pPr>
        <w:spacing w:after="0" w:line="146" w:lineRule="exact"/>
        <w:rPr>
          <w:rFonts w:ascii="Arial" w:cs="Arial" w:eastAsia="Arial" w:hAnsi="Arial"/>
          <w:sz w:val="17"/>
          <w:szCs w:val="17"/>
          <w:color w:val="auto"/>
        </w:rPr>
      </w:pPr>
    </w:p>
    <w:p>
      <w:pPr>
        <w:ind w:left="180" w:right="180" w:firstLine="652"/>
        <w:spacing w:after="0" w:line="279" w:lineRule="auto"/>
        <w:tabs>
          <w:tab w:leader="none" w:pos="1413" w:val="left"/>
        </w:tabs>
        <w:numPr>
          <w:ilvl w:val="2"/>
          <w:numId w:val="75"/>
        </w:numPr>
        <w:rPr>
          <w:rFonts w:ascii="Arial" w:cs="Arial" w:eastAsia="Arial" w:hAnsi="Arial"/>
          <w:sz w:val="17"/>
          <w:szCs w:val="17"/>
          <w:color w:val="auto"/>
        </w:rPr>
      </w:pPr>
      <w:r>
        <w:rPr>
          <w:rFonts w:ascii="Arial" w:cs="Arial" w:eastAsia="Arial" w:hAnsi="Arial"/>
          <w:sz w:val="17"/>
          <w:szCs w:val="17"/>
          <w:color w:val="auto"/>
        </w:rPr>
        <w:t>a combination thereof, in each case sufficient, in the opinion of a nationally recognized firm of independent public accountants expressed in a written certification thereof delivered to the Trustee, to pay and discharge, and which shall be applied by the Trustee (or any such other qualifying trustee) to pay and discharge, the principal of and any premium and interest on such Securities on the respective Stated Maturities, in accordance with the terms of this Indenture and such Securities.</w:t>
      </w:r>
    </w:p>
    <w:p>
      <w:pPr>
        <w:spacing w:after="0" w:line="171" w:lineRule="exact"/>
        <w:rPr>
          <w:rFonts w:ascii="Arial" w:cs="Arial" w:eastAsia="Arial" w:hAnsi="Arial"/>
          <w:sz w:val="17"/>
          <w:szCs w:val="17"/>
          <w:color w:val="auto"/>
        </w:rPr>
      </w:pPr>
    </w:p>
    <w:p>
      <w:pPr>
        <w:jc w:val="both"/>
        <w:ind w:left="-460" w:firstLine="644"/>
        <w:spacing w:after="0" w:line="254" w:lineRule="auto"/>
        <w:tabs>
          <w:tab w:leader="none" w:pos="868"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 the event of an election to have Section 13.2 apply to any Securities or any series of Securities, as the case may be, the Company shall have delivered to the Trustee an Opinion of Counsel stating that (A) the Company has received from, or there has been published by, the Internal Revenue Service a ruling or (B) since the date of this instrument, there has been a change in the applicable Federal income tax law, in either case (A) or (B) to the effect that, and based thereon such opinion shall confirm that, the Holders of such Securities will not recognize gain or loss for Federal income tax purposes as a result of the deposit, Defeasance and discharge to be effected with respect to such Securities and will be subject to Federal income tax on the same amount, in the same manner and at the same times as would be the case if such deposit, Defeasance and discharge were not to occur.</w:t>
      </w:r>
    </w:p>
    <w:p>
      <w:pPr>
        <w:spacing w:after="0" w:line="194" w:lineRule="exact"/>
        <w:rPr>
          <w:rFonts w:ascii="Arial" w:cs="Arial" w:eastAsia="Arial" w:hAnsi="Arial"/>
          <w:sz w:val="18"/>
          <w:szCs w:val="18"/>
          <w:color w:val="auto"/>
        </w:rPr>
      </w:pPr>
    </w:p>
    <w:p>
      <w:pPr>
        <w:jc w:val="both"/>
        <w:ind w:left="-460" w:firstLine="644"/>
        <w:spacing w:after="0" w:line="257" w:lineRule="auto"/>
        <w:tabs>
          <w:tab w:leader="none" w:pos="868"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 the event of an election to have Section 13.3 apply to any Securities or any series of Securities, as the case may be, the Company shall have delivered to the Trustee an Opinion of Counsel to the effect that the Holders of such Securities will not recognize gain or loss for Federal income tax purposes as a result of the deposit and Covenant Defeasance to be effected with respect to such Securities and will be subject to Federal income tax on the same amount, in the same manner and at the same times as would be the case if such deposit and Covenant Defeasance were not to occur.</w:t>
      </w:r>
    </w:p>
    <w:p>
      <w:pPr>
        <w:spacing w:after="0" w:line="187" w:lineRule="exact"/>
        <w:rPr>
          <w:rFonts w:ascii="Arial" w:cs="Arial" w:eastAsia="Arial" w:hAnsi="Arial"/>
          <w:sz w:val="18"/>
          <w:szCs w:val="18"/>
          <w:color w:val="auto"/>
        </w:rPr>
      </w:pPr>
    </w:p>
    <w:p>
      <w:pPr>
        <w:ind w:left="-460" w:firstLine="644"/>
        <w:spacing w:after="0" w:line="277" w:lineRule="auto"/>
        <w:tabs>
          <w:tab w:leader="none" w:pos="779"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to the effect that neither such Securities nor any other Securities of the same series, if then listed on any securities exchange, will be delisted as a result of such deposit.</w:t>
      </w:r>
    </w:p>
    <w:p>
      <w:pPr>
        <w:spacing w:after="0" w:line="17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5" w:right="339" w:bottom="1440" w:gutter="0" w:footer="0" w:header="0"/>
        </w:sectPr>
      </w:pPr>
    </w:p>
    <w:bookmarkStart w:id="87" w:name="page88"/>
    <w:bookmarkEnd w:id="87"/>
    <w:p>
      <w:pPr>
        <w:jc w:val="both"/>
        <w:ind w:left="660" w:firstLine="644"/>
        <w:spacing w:after="0" w:line="259" w:lineRule="auto"/>
        <w:tabs>
          <w:tab w:leader="none" w:pos="1888" w:val="left"/>
        </w:tabs>
        <w:numPr>
          <w:ilvl w:val="0"/>
          <w:numId w:val="76"/>
        </w:numPr>
        <w:rPr>
          <w:rFonts w:ascii="Arial" w:cs="Arial" w:eastAsia="Arial" w:hAnsi="Arial"/>
          <w:sz w:val="18"/>
          <w:szCs w:val="18"/>
          <w:color w:val="auto"/>
        </w:rPr>
      </w:pPr>
      <w:r>
        <w:rPr>
          <w:rFonts w:ascii="Arial" w:cs="Arial" w:eastAsia="Arial" w:hAnsi="Arial"/>
          <w:sz w:val="18"/>
          <w:szCs w:val="18"/>
          <w:color w:val="auto"/>
        </w:rPr>
        <w:t>No event which is, or after notice or lapse of time or both would become, an Event of Default with respect to such Securities or any other Securities shall have occurred and be continuing at the time of such deposit or, with regard to any such event specified in Sections 5.1(5) and (6), at any time on or prior to the 90th day after the date of such deposit (it being understood that this condition shall not be deemed satisfied until after such 90th day).</w:t>
      </w:r>
    </w:p>
    <w:p>
      <w:pPr>
        <w:spacing w:after="0" w:line="186" w:lineRule="exact"/>
        <w:rPr>
          <w:rFonts w:ascii="Arial" w:cs="Arial" w:eastAsia="Arial" w:hAnsi="Arial"/>
          <w:sz w:val="18"/>
          <w:szCs w:val="18"/>
          <w:color w:val="auto"/>
        </w:rPr>
      </w:pPr>
    </w:p>
    <w:p>
      <w:pPr>
        <w:ind w:left="660" w:firstLine="644"/>
        <w:spacing w:after="0" w:line="277" w:lineRule="auto"/>
        <w:tabs>
          <w:tab w:leader="none" w:pos="1836" w:val="left"/>
        </w:tabs>
        <w:numPr>
          <w:ilvl w:val="0"/>
          <w:numId w:val="76"/>
        </w:numPr>
        <w:rPr>
          <w:rFonts w:ascii="Arial" w:cs="Arial" w:eastAsia="Arial" w:hAnsi="Arial"/>
          <w:sz w:val="18"/>
          <w:szCs w:val="18"/>
          <w:color w:val="auto"/>
        </w:rPr>
      </w:pPr>
      <w:r>
        <w:rPr>
          <w:rFonts w:ascii="Arial" w:cs="Arial" w:eastAsia="Arial" w:hAnsi="Arial"/>
          <w:sz w:val="18"/>
          <w:szCs w:val="18"/>
          <w:color w:val="auto"/>
        </w:rPr>
        <w:t>Such Defeasance or Covenant Defeasance shall not cause the Trustee to have a conflicting interest within the meaning of the Trust Indenture Act (assuming all Securities are in default within the meaning of such Act).</w:t>
      </w:r>
    </w:p>
    <w:p>
      <w:pPr>
        <w:spacing w:after="0" w:line="170" w:lineRule="exact"/>
        <w:rPr>
          <w:rFonts w:ascii="Arial" w:cs="Arial" w:eastAsia="Arial" w:hAnsi="Arial"/>
          <w:sz w:val="18"/>
          <w:szCs w:val="18"/>
          <w:color w:val="auto"/>
        </w:rPr>
      </w:pPr>
    </w:p>
    <w:p>
      <w:pPr>
        <w:ind w:left="660" w:firstLine="644"/>
        <w:spacing w:after="0" w:line="277" w:lineRule="auto"/>
        <w:tabs>
          <w:tab w:leader="none" w:pos="1878" w:val="left"/>
        </w:tabs>
        <w:numPr>
          <w:ilvl w:val="0"/>
          <w:numId w:val="76"/>
        </w:numPr>
        <w:rPr>
          <w:rFonts w:ascii="Arial" w:cs="Arial" w:eastAsia="Arial" w:hAnsi="Arial"/>
          <w:sz w:val="18"/>
          <w:szCs w:val="18"/>
          <w:color w:val="auto"/>
        </w:rPr>
      </w:pPr>
      <w:r>
        <w:rPr>
          <w:rFonts w:ascii="Arial" w:cs="Arial" w:eastAsia="Arial" w:hAnsi="Arial"/>
          <w:sz w:val="18"/>
          <w:szCs w:val="18"/>
          <w:color w:val="auto"/>
        </w:rPr>
        <w:t>Such Defeasance or Covenant Defeasance shall not result in a breach or violation of, or constitute a default under, this Indenture or any other agreement or instrument to which the Company is a party or by which it is bound.</w:t>
      </w:r>
    </w:p>
    <w:p>
      <w:pPr>
        <w:spacing w:after="0" w:line="170" w:lineRule="exact"/>
        <w:rPr>
          <w:rFonts w:ascii="Arial" w:cs="Arial" w:eastAsia="Arial" w:hAnsi="Arial"/>
          <w:sz w:val="18"/>
          <w:szCs w:val="18"/>
          <w:color w:val="auto"/>
        </w:rPr>
      </w:pPr>
    </w:p>
    <w:p>
      <w:pPr>
        <w:jc w:val="both"/>
        <w:ind w:left="660" w:firstLine="644"/>
        <w:spacing w:after="0" w:line="263" w:lineRule="auto"/>
        <w:tabs>
          <w:tab w:leader="none" w:pos="2018" w:val="left"/>
        </w:tabs>
        <w:numPr>
          <w:ilvl w:val="0"/>
          <w:numId w:val="76"/>
        </w:numPr>
        <w:rPr>
          <w:rFonts w:ascii="Arial" w:cs="Arial" w:eastAsia="Arial" w:hAnsi="Arial"/>
          <w:sz w:val="18"/>
          <w:szCs w:val="18"/>
          <w:color w:val="auto"/>
        </w:rPr>
      </w:pPr>
      <w:r>
        <w:rPr>
          <w:rFonts w:ascii="Arial" w:cs="Arial" w:eastAsia="Arial" w:hAnsi="Arial"/>
          <w:sz w:val="18"/>
          <w:szCs w:val="18"/>
          <w:color w:val="auto"/>
        </w:rPr>
        <w:t>Such Defeasance or Covenant Defeasance shall not result in the trust arising from such deposit constituting an investment company within the meaning of the Investment Company Act unless such trust shall be registered under such Act or exempt from registration thereunder.</w:t>
      </w:r>
    </w:p>
    <w:p>
      <w:pPr>
        <w:spacing w:after="0" w:line="183" w:lineRule="exact"/>
        <w:rPr>
          <w:rFonts w:ascii="Arial" w:cs="Arial" w:eastAsia="Arial" w:hAnsi="Arial"/>
          <w:sz w:val="18"/>
          <w:szCs w:val="18"/>
          <w:color w:val="auto"/>
        </w:rPr>
      </w:pPr>
    </w:p>
    <w:p>
      <w:pPr>
        <w:ind w:left="660" w:right="20" w:firstLine="644"/>
        <w:spacing w:after="0" w:line="277" w:lineRule="auto"/>
        <w:tabs>
          <w:tab w:leader="none" w:pos="2015"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and an Opinion of Counsel, each stating that all conditions precedent with respect to such Defeasance or Covenant Defeasance have been complied with.</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Section 13.5 Deposited Money, U.S. Government Obligations and Foreign Government Obligations to be Held in Trust; Miscellaneous Provisions.</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Subject to the provisions of the last paragraph of Section 10.3, all money, U.S. Government Obligations and Foreign Government Obligations (including the proceeds thereof) deposited with the Trustee or other qualifying trustee (solely for purposes of this Section and Section 13.6, the Trustee and any such other trustee are referred to collectively as the “Trustee”) pursuant to Section 13.4 in respect of any Securities shall be held in trust and applied by the Trustee, in accordance with the provisions of such Securities and this Indenture, to the payment, either directly or through any such Paying Agent (including the Company acting as its own Paying Agent) as the Trustee may determine, to the Holders of such Securities, of all sums due and to become due thereon in respect of principal and any premium and interest, but money so held in trust need not be segregated from other funds except to the extent required by law. The Company shall pay and indemnify the Trustee against any tax, fee or other charge imposed on or assessed against the U.S. Government Obligations or Foreign Government Obligations deposited pursuant to Section 13.4 or the principal and interest received in respect thereof other than any such tax, fee or other charge which by law is for the account of the Holders of Outstanding Securities. Anything in this Article to the contrary notwithstanding, the Trustee shall deliver or pay to the Company from time to time upon Company Request any money, U.S. Government Obligations or Foreign Government Obligations held by it as provided in Section 13.4 with respect to any Securities which, in the opinion of a nationally recognized firm of independent public accountants expressed in a written certification thereof delivered to the Trustee, are in excess of the amount thereof which would then be required to be deposited to effect the Defeasance or Covenant Defeasance, as the case may be, with respect to such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13.6 Reinstatement.</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If the Trustee or the Paying Agent is unable to apply any money in accordance with this Article with respect to any Securities by reason of any order or judgment of any court or governmental authority enjoining, restraining or otherwise prohibiting such application, then the obligations under this Indenture and such Securities from which the Company has been discharged or released pursuant to Section 13.2 or 13.3 shall be revived and reinstated as though no deposit had occurred pursuant to this Article with respect to such Securities, until such time as the Trustee or Paying Agent is permitted to apply all money held in trust pursuant to Section 13.5 with respect to such Securities in accordance with this Article; provided, however, that if the Company makes any payment of principal of or any premium or interest on any such Security following such reinstatement of its obligations, the Company shall be subrogated to the rights (if any) of the Holders of such Securities to receive such payment from the money so held in trust.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ARTICLE 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CONVERSION OF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14.1 Applicability of Article.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provisions of this Article shall be applicable to the Securities of any series which are convertible into shares of Common Stock of the Company, and the issuance of such shares of Common Stock upon the conversion of such Securities, except as otherwise specified as contemplated by Section 3.1 for the Securities of such series.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14.2 Exercise of Conversion Privilege.</w:t>
      </w:r>
    </w:p>
    <w:p>
      <w:pPr>
        <w:spacing w:after="0" w:line="229"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In order to exercise a conversion privilege, the Holder of a Security of a series with such a privilege shall surrender such Security to the Company at the office or agency maintained for that purpose pursuant to Section 10.2, accompanied by a duly executed conversion notice to the Company substantially in the form set forth in Section 2.6 stating that the Holder elects to convert such Security or a specified portion thereof. Such notice shall also state, if different from the name and address of such Holder, the name or names (with address) in which the certificate or certificates for shares of Common Stock which shall be issuable on such conversion shall be issued. Securities surrendered for conversion shall (if so required by the Company or the Trustee) be duly endorsed by or accompanied by instruments of transfer in forms satisfactory to the Company and the Trustee duly executed by the Holder or its attorney duly authorized in writing; and Securities so surrendered for conversion (in whole or in part) during the period from the close of business on any Regular Record Date to the opening of business on the next succeeding Interest Payment Date (excluding Securities or portions thereof called for redemption during the period beginning at the close of business on a Regular Record Date and ending at the opening of business on the first Business Day after the next succeeding Interest Payment Date, or if such Interest Payment Date is not a Business Day, the second such Business Day) shall also be accompanied by payment in funds acceptable to the Company of an amount equal to the interest payable on such Interest Payment Date on the principal amount of such Security then being converted, and such interest shall be payable to such Holder notwithstanding the conversion of such Security, subject to the provisions of Section 3.7 relating to the payment of Defaulted Interest by the Company. As promptly as practicable after the receipt of such notice and of any payment required pursuant to a Board Resolution and, subject to Section 3.3, set forth, or determined in the manner provided, in an Officers’ Certificate, or established in one or more indentures supplemental hereto setting forth the terms of such series of Security, and the surrender of such Security in accordance with such reasonable regulations as the Company may prescribe, the Company shall issue and shall deliver, at the office or agency at which such Security is surrendered, to such Holder or on its written order, a certificate or certificates for the number of full shares of Common Stock issuable upon the conversion of such Security (or specified portion thereof), in accordance with the provisions of such Board Resolution, Officers’ Certificate or supplemental indenture, and cash as provided therein in respect of any fractional share of such Common Stock otherwise issuable upon such conversion. Such conversion shall be deemed to have been effected immediately prior to the close of business on the date on which such notice and such payment, if required, shall have been received in proper order for conversion by the Company and such Security shall have been surrendered as aforesaid (unless such Holder shall have so surrendered such Security and shall have instructed the Company to effect the conversion on a particular date following such surrender and such Holder shall be entitled to convert such Security on such date, in which case such conversion shall be deemed to be effected immediately prior to the close of business on such date) and at such time the rights of the Holder of such Security as such Security Holder shall cease and the person or persons in whose name or names any certificate or certificates for shares of Common Stock of the Company shall be issuable upon such conversion shall be deemed to have become the Holder or Holders of record of the shares represented thereby. Except as set forth above and subject to the final paragraph of Section 3.7, no payment or adjustment shall be made upon any conversion on account of any interest accrued on the Securities (or any part thereof) surrendered for conversion or on account of any dividends on the Common Stock of the Company issued upon such conversion. In the case of any Security which is converted in part only, upon such conversion the Company shall execute and the Trustee shall authenticate and deliver to or on the order of the Holder thereof, at the expense of the Company, a new Security or Securities of the same series, of authorized denominations, in aggregate principal amount equal to the unconverted portion of such Security.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Section 14.3 No Fractional Shares.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No fractional share of Common Stock of the Company shall be issued upon conversions of Securities of any series. If more than one Security shall be surrendered for conversion at one time by the same Holder, the number of full shares which shall be issuable upon conversion shall be computed on the basis of the aggregate principal amount of the Securities (or specified portions thereof to the extent permitted hereby) so surrendered. If, except for the provisions of this Section 14.3, any Holder of a Security or Securities would be entitled to a fractional share of Common Stock of the Company upon the conversion of such Security or Securities, or specified portions thereof, the Company shall pay to such Holder an amount in cash equal to the current market value of such fractional share computed, (i) if such Common Stock is listed or admitted to unlisted trading privileges on a national securities exchange or market, on the basis of the last reported sale price regular way on such exchange or market on the last trading day prior to the date of conversion upon which such a sale shall have been effected, or (ii) if such Common Stock is not at the time so listed or admitted to unlisted trading privileges on a national securities exchange or market, on the basis of the average of the bid and asked prices of such Common Stock in the over-the-counter market, on the last trading day prior to the date of conversion, as reported by the National Quotation Bureau, Incorporated or similar organization if the National Quotation Bureau, Incorporated is no longer reporting such information, or if not so available, the fair market price as determined by the Board of Directors. For purposes of this Section, “trading day” shall mean each Monday, Tuesday, Wednesday, Thursday and Friday other than any day on which the Common Stock is not traded or quoted on the principal exchange or market on which the Common Stock is then traded or quoted.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14.4 Adjustment of Conversion Price or Conversion Rate.</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conversion price or conversion rate, as the case may be, of Securities of any series that is convertible into Common Stock of the Company shall be adjusted for any stock dividends, stock splits, reclassifications, combinations or similar transactions in accordance with the terms of the supplemental indenture or Board Resolutions setting forth the terms of the Securities of such series. Whenever the conversion price or conversion rate, as the case may be, is adjusted, the Company shall compute the adjusted conversion price or conversion rate, as the case may be, in accordance with terms of the applicable Board Resolution or supplemental indenture and shall prepare an Officers’ Certificate setting forth the adjusted conversion price or conversion rate, as the case may be, and showing in reasonable detail the facts upon which such adjustment is based, and such certificate shall forthwith be filed at each office or agency maintained for the purpose of conversion of Securities pursuant to Section 10.2 and, if different, with the Trustee. The Company shall forthwith cause a notice setting forth the adjusted conversion price or conversion rate, as the case may be, to be mailed, first class postage prepaid, to each Holder of Securities of such series at its address appearing on the Security Register and to any conversion agent other than the Trustee.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14.5 Notice of Certain Corporate Actions. In case:</w:t>
      </w:r>
    </w:p>
    <w:p>
      <w:pPr>
        <w:spacing w:after="0" w:line="229" w:lineRule="exact"/>
        <w:rPr>
          <w:sz w:val="20"/>
          <w:szCs w:val="20"/>
          <w:color w:val="auto"/>
        </w:rPr>
      </w:pPr>
    </w:p>
    <w:p>
      <w:pPr>
        <w:jc w:val="both"/>
        <w:ind w:left="660" w:firstLine="644"/>
        <w:spacing w:after="0" w:line="263" w:lineRule="auto"/>
        <w:tabs>
          <w:tab w:leader="none" w:pos="189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Company shall declare a dividend (or any other distribution) on its Common Stock payable otherwise than in cash out of its retained earnings (other than a dividend for which approval of any shareholders of the Company is required) that would require an adjustment pursuant to Section 14.4; or</w:t>
      </w:r>
    </w:p>
    <w:p>
      <w:pPr>
        <w:spacing w:after="0" w:line="183" w:lineRule="exact"/>
        <w:rPr>
          <w:rFonts w:ascii="Arial" w:cs="Arial" w:eastAsia="Arial" w:hAnsi="Arial"/>
          <w:sz w:val="18"/>
          <w:szCs w:val="18"/>
          <w:color w:val="auto"/>
        </w:rPr>
      </w:pPr>
    </w:p>
    <w:p>
      <w:pPr>
        <w:jc w:val="both"/>
        <w:ind w:left="660" w:firstLine="644"/>
        <w:spacing w:after="0" w:line="263" w:lineRule="auto"/>
        <w:tabs>
          <w:tab w:leader="none" w:pos="1974"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Company shall authorize the granting to all or substantially all of the holders of its Common Stock of rights, options or warrants to subscribe for or purchase any shares of capital stock of any class or of any other rights (other than any such grant for which approval of any shareholders of the Company is required); or</w:t>
      </w:r>
    </w:p>
    <w:p>
      <w:pPr>
        <w:spacing w:after="0" w:line="183" w:lineRule="exact"/>
        <w:rPr>
          <w:rFonts w:ascii="Arial" w:cs="Arial" w:eastAsia="Arial" w:hAnsi="Arial"/>
          <w:sz w:val="18"/>
          <w:szCs w:val="18"/>
          <w:color w:val="auto"/>
        </w:rPr>
      </w:pPr>
    </w:p>
    <w:p>
      <w:pPr>
        <w:jc w:val="both"/>
        <w:ind w:left="660" w:firstLine="644"/>
        <w:spacing w:after="0" w:line="287" w:lineRule="auto"/>
        <w:tabs>
          <w:tab w:leader="none" w:pos="1840" w:val="left"/>
        </w:tabs>
        <w:numPr>
          <w:ilvl w:val="0"/>
          <w:numId w:val="77"/>
        </w:numPr>
        <w:rPr>
          <w:rFonts w:ascii="Arial" w:cs="Arial" w:eastAsia="Arial" w:hAnsi="Arial"/>
          <w:sz w:val="16"/>
          <w:szCs w:val="16"/>
          <w:color w:val="auto"/>
        </w:rPr>
      </w:pPr>
      <w:r>
        <w:rPr>
          <w:rFonts w:ascii="Arial" w:cs="Arial" w:eastAsia="Arial" w:hAnsi="Arial"/>
          <w:sz w:val="16"/>
          <w:szCs w:val="16"/>
          <w:color w:val="auto"/>
        </w:rPr>
        <w:t>of any reclassification of the Common Stock of the Company (other than a subdivision or combination of its outstanding shares of Common Stock, or of any consolidation, merger or share exchange to which the Company is a party and for which approval of any shareholders of the Company is required), or of the sale of all or substantially all of the assets of the Company; or (4) of the voluntary or involuntary dissolution, liquidation or winding up of the Company; then the Company shall cause to be filed with the Trustee, and shall cause to be mailed to all Holders at their last addresses as they shall appear in the Security Register, at least 20 days (or 10 days in any case specified in clause (1) or (2) above) prior to the applicable record date hereinafter specified, a notice stating (i) the date on which a record is to be taken for the purpose of such dividend, distribution, rights, options or warrants, or, if a record is not to be taken, the date as of which the holders of Common Stock of record to be entitled to such dividend, distribution, rights, options or warrants are to be determined, or (ii) the date on which such reclassification, consolidation, merger, share exchange, sale, dissolution, liquidation or winding up is expected to become effective, and the date as of which it is expected that holders of Common Stock of record shall be entitled to exchange their shares of Common Stock for securities, cash or other property deliverable upon such reclassification, consolidation, merger, share exchange, sale, dissolution, liquidation or winding up. If at any time the Trustee shall not be the conversion agent, a copy of such notice shall also forthwith be filed by the Company with the Trustee.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Section 14.6 Reservation of Shares of Common Stock.</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shall at all times reserve and keep available, free from preemptive rights, out of its authorized but unissued Common Stock, for the purpose of effecting the conversion of Securities, the full number of shares of Common Stock of the Company then issuable upon the conversion of all outstanding Securities of any series that has conversion rights.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14.7 Payment of Certain Taxes upon Conversion.</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Except as provided in the next sentence, the Company will pay any and all taxes that may be payable in respect of the issue or delivery of shares of its Common Stock on conversion of Securities pursuant hereto. The Company shall not, however, be required to pay any tax which may be payable in respect of any transfer involved in the issue and delivery of shares of its Common Stock in a name other than that of the Holder of the Security or Securities to be converted, and no such issue or delivery shall be made unless and until the person requesting such issue has paid to the Company the amount of any such tax, or has established, to the satisfaction of the Company, that such tax has been paid.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14.8 Nonassessability.</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covenants that all shares of its Common Stock that may be issued upon conversion of Securities will upon issue in accordance with the terms hereof be duly and validly issued and fully paid and nonassessable.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14.9 Provision in Case of Consolidation, Merger or Sale of Assets.</w:t>
      </w:r>
    </w:p>
    <w:p>
      <w:pPr>
        <w:spacing w:after="0" w:line="22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In case of any consolidation or merger of the Company with or into any other Person, any merger of another Person with or into the Company (other than a merger which does not result in any reclassification, conversion, exchange or cancellation of outstanding shares of Common Stock of the Company) or any conveyance, sale, transfer or lease of all or substantially all of the assets of the Company, the Person formed by such consolidation or resulting from such merger or which acquires such assets, as the case may be, shall execute and deliver to the Trustee a supplemental indenture providing that the Holder of each Security of a series then Outstanding that is convertible into Common Stock of the Company shall have the right thereafter (which right shall be the exclusive conversion right thereafter available to said Holder), during the period such Security shall be convertible, to convert such Security only into the kind and amount of securities, cash and other property receivable upon such consolidation, merger, conveyance, sale, transfer or lease by a holder of the number of shares of Common Stock of the Company into which such Security might have been converted immediately prior to such consolidation, merger, conveyance, sale, transfer or lease, assuming such holder of Common Stock of the Company (i) is not a Person with which the Company consolidated or merged with or into or which merged into or with the Company or to which such conveyance, sale, transfer or lease was made, as the case may be (a “Constituent Person”), or an Affiliate of a Constituent Person and (ii) failed to exercise his rights of election, if any, as to the kind or amount of securities, cash and other property receivable upon such consolidation, merger, conveyance, sale, transfer or lease (provided that if the kind or amount of securities, cash and other property receivable upon such consolidation, merger, conveyance, sale, transfer, or lease is not the same for each share of Common Stock of the Company held immediately prior to such consolidation, merger, conveyance, sale, transfer or lease by others than a Constituent Person or an Affiliate thereof and in respect of which such rights of election shall not have been exercised (“Non-electing Share”), then for the purpose of this Section 14.9 the kind and amount of securities, cash and other property receivable upon such consolidation, merger, conveyance, sale, transfer or lease by the holders of each Non-electing Share shall be deemed to be the kind and amount so receivable per share by a plurality of the Non-electing Shares). Such supplemental indenture shall provide for adjustments which, for events subsequent to the effective date of such supplemental indenture, shall be as nearly equivalent as may be practicable to the adjustments provided for in this Article or in accordance with the terms of the supplemental indenture or Board Resolutions setting forth the terms of such adjustments. The above provisions of this Section 14.9 shall similarly apply to successive consolidations, mergers, conveyances, sales, transfers or leases. Notice of the execution of such a supplemental indenture shall be given by the Company to the Holder of each Security of a series that is convertible into Common Stock of the Company as provided in Section 1.6 promptly upon such execution. Neither the Trustee nor any conversion agent, if any, shall be under any responsibility to determine the correctness of any provisions contained in any such supplemental indenture relating either to the kind or amount of shares of stock or other securities or property or cash receivable by Holders of Securities of a series convertible into Common Stock of the Company upon the conversion of their Securities after any such consolidation, merger, conveyance, transfer, sale or lease or to any such adjustment, but may accept as conclusive evidence of the correctness of any such provisions, and shall be protected in relying upon, an Opinion of Counsel with respect thereto, which the Company shall cause to be furnished to the Trustee upon request.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Section 14.10 Duties of Trustee Regarding Conversion.</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Neither the Trustee nor any conversion agent shall at any time be under any duty or responsibility to any Holder of Securities of any series that is convertible into Common Stock of the Company to determine whether any facts exist which may require any adjustment of the conversion price or conversion rate, as the case may be, or with respect to the nature or extent of any such adjustment when made, or with respect to the method employed, whether herein or in any supplemental indenture, any resolutions of the Board of Directors or written instrument executed by one or more officers of the Company provided to be employed in making the same. Neither the Trustee nor any conversion agent shall be accountable with respect to the validity or value (or the kind or amount) of any shares of Common Stock of the Company, or of any securities or property, which may at any time be issued or delivered upon the conversion of any Securities and neither the Trustee nor any conversion agent makes any representation with respect thereto. Subject to the provisions of Section 6. 1, neither the Trustee nor any conversion agent shall be responsible for any failure of the Company to issue, transfer or deliver any shares of its Common Stock or stock certificates or other securities or property upon the surrender of any Security for the purpose of conversion or to comply with any of the covenants of the Company contained in this Article 14 or in the applicable supplemental indenture, resolutions of the Board of Directors or written instrument executed by one or more duly authorized officers of the Company.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14.11 Repayment of Certain Funds upon Conversion.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Any funds which at any time shall have been deposited by the Company or on its behalf with the Trustee or any other paying agent for the purpose of paying the principal of, and premium, if any, and interest, if any, on any of the Securities (including, but not limited to, funds deposited for the sinking fund referred to in Article 12 hereof and funds deposited pursuant to Article 13 hereof) and which shall not be required for such purposes because of the conversion of such Securities as provided in this Article 14 shall after such conversion be repaid to the Company by the Trustee upon the Company’s written request.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Follows]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2" w:name="page93"/>
    <w:bookmarkEnd w:id="92"/>
    <w:p>
      <w:pPr>
        <w:spacing w:after="0"/>
        <w:rPr>
          <w:sz w:val="20"/>
          <w:szCs w:val="20"/>
          <w:color w:val="auto"/>
        </w:rPr>
      </w:pPr>
      <w:r>
        <w:rPr>
          <w:rFonts w:ascii="Arial" w:cs="Arial" w:eastAsia="Arial" w:hAnsi="Arial"/>
          <w:sz w:val="16"/>
          <w:szCs w:val="16"/>
          <w:color w:val="auto"/>
        </w:rPr>
        <w:t>IN WITNESS WHEREOF, the parties hereto have caused this Indenture to be duly executed as of the day and year first above written.</w:t>
      </w:r>
    </w:p>
    <w:p>
      <w:pPr>
        <w:spacing w:after="0" w:line="248"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HARROW HEALTH, INC.</w:t>
      </w:r>
    </w:p>
    <w:p>
      <w:pPr>
        <w:spacing w:after="0" w:line="225"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Mark L. Baum</w:t>
      </w:r>
    </w:p>
    <w:p>
      <w:pPr>
        <w:spacing w:after="0" w:line="36"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680"/>
          </w:cols>
          <w:pgMar w:left="980" w:top="665" w:right="1239" w:bottom="1440" w:gutter="0" w:footer="0" w:header="0"/>
        </w:sectPr>
      </w:pPr>
    </w:p>
    <w:bookmarkStart w:id="93" w:name="page94"/>
    <w:bookmarkEnd w:id="93"/>
    <w:p>
      <w:pPr>
        <w:ind w:left="4520"/>
        <w:spacing w:after="0"/>
        <w:rPr>
          <w:sz w:val="20"/>
          <w:szCs w:val="20"/>
          <w:color w:val="auto"/>
        </w:rPr>
      </w:pPr>
      <w:r>
        <w:rPr>
          <w:rFonts w:ascii="Arial" w:cs="Arial" w:eastAsia="Arial" w:hAnsi="Arial"/>
          <w:sz w:val="17"/>
          <w:szCs w:val="17"/>
          <w:color w:val="auto"/>
        </w:rPr>
        <w:t>U.S. BANK NATIONAL ASSOCIATION, as Trustee</w:t>
      </w:r>
    </w:p>
    <w:p>
      <w:pPr>
        <w:spacing w:after="0" w:line="237"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Wally Jones</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Wally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-130175</wp:posOffset>
            </wp:positionV>
            <wp:extent cx="320611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29210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4.2</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Harrow Health, Inc.</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U.S. Bank National Association,</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as Trustee</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FIRST SUPPLEMENTAL INDENTURE</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Dated as of April 20, 2021</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color w:val="auto"/>
        </w:rPr>
        <w:t>to the Indenture dated as of April 20, 2021</w:t>
      </w:r>
    </w:p>
    <w:p>
      <w:pPr>
        <w:spacing w:after="0" w:line="248"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8.625% Senior Notes due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78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216"/>
        </w:trPr>
        <w:tc>
          <w:tcPr>
            <w:tcW w:w="17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ARTICLE 1 APPLICATION OF FIRST SUPPLEMENTAL INDENTURE</w:t>
            </w:r>
          </w:p>
        </w:tc>
        <w:tc>
          <w:tcPr>
            <w:tcW w:w="5740" w:type="dxa"/>
            <w:vAlign w:val="bottom"/>
            <w:gridSpan w:val="2"/>
            <w:shd w:val="clear" w:color="auto" w:fill="CCEEFF"/>
          </w:tcPr>
          <w:p>
            <w:pPr>
              <w:jc w:val="center"/>
              <w:ind w:left="5010"/>
              <w:spacing w:after="0"/>
              <w:rPr>
                <w:sz w:val="20"/>
                <w:szCs w:val="20"/>
                <w:color w:val="auto"/>
              </w:rPr>
            </w:pPr>
            <w:r>
              <w:rPr>
                <w:rFonts w:ascii="Arial" w:cs="Arial" w:eastAsia="Arial" w:hAnsi="Arial"/>
                <w:sz w:val="18"/>
                <w:szCs w:val="18"/>
                <w:color w:val="auto"/>
                <w:w w:val="79"/>
              </w:rPr>
              <w:t>1</w:t>
            </w:r>
          </w:p>
        </w:tc>
      </w:tr>
      <w:tr>
        <w:trPr>
          <w:trHeight w:val="216"/>
        </w:trPr>
        <w:tc>
          <w:tcPr>
            <w:tcW w:w="1780" w:type="dxa"/>
            <w:vAlign w:val="bottom"/>
            <w:shd w:val="clear" w:color="auto" w:fill="FEFEFE"/>
          </w:tcPr>
          <w:p>
            <w:pPr>
              <w:spacing w:after="0"/>
              <w:rPr>
                <w:sz w:val="18"/>
                <w:szCs w:val="18"/>
                <w:color w:val="auto"/>
              </w:rPr>
            </w:pPr>
          </w:p>
        </w:tc>
        <w:tc>
          <w:tcPr>
            <w:tcW w:w="3720" w:type="dxa"/>
            <w:vAlign w:val="bottom"/>
            <w:shd w:val="clear" w:color="auto" w:fill="FEFEFE"/>
          </w:tcPr>
          <w:p>
            <w:pPr>
              <w:spacing w:after="0"/>
              <w:rPr>
                <w:sz w:val="18"/>
                <w:szCs w:val="18"/>
                <w:color w:val="auto"/>
              </w:rPr>
            </w:pPr>
          </w:p>
        </w:tc>
        <w:tc>
          <w:tcPr>
            <w:tcW w:w="5100" w:type="dxa"/>
            <w:vAlign w:val="bottom"/>
            <w:shd w:val="clear" w:color="auto" w:fill="FEFEFE"/>
          </w:tcPr>
          <w:p>
            <w:pPr>
              <w:spacing w:after="0"/>
              <w:rPr>
                <w:sz w:val="18"/>
                <w:szCs w:val="18"/>
                <w:color w:val="auto"/>
              </w:rPr>
            </w:pPr>
          </w:p>
        </w:tc>
        <w:tc>
          <w:tcPr>
            <w:tcW w:w="640" w:type="dxa"/>
            <w:vAlign w:val="bottom"/>
            <w:shd w:val="clear" w:color="auto" w:fill="FEFEFE"/>
          </w:tcPr>
          <w:p>
            <w:pPr>
              <w:spacing w:after="0"/>
              <w:rPr>
                <w:sz w:val="18"/>
                <w:szCs w:val="18"/>
                <w:color w:val="auto"/>
              </w:rPr>
            </w:pPr>
          </w:p>
        </w:tc>
      </w:tr>
      <w:tr>
        <w:trPr>
          <w:trHeight w:val="216"/>
        </w:trPr>
        <w:tc>
          <w:tcPr>
            <w:tcW w:w="17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1.01.</w:t>
            </w:r>
          </w:p>
        </w:tc>
        <w:tc>
          <w:tcPr>
            <w:tcW w:w="3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Application of First Supplemental Indenture.</w:t>
            </w:r>
          </w:p>
        </w:tc>
        <w:tc>
          <w:tcPr>
            <w:tcW w:w="5740" w:type="dxa"/>
            <w:vAlign w:val="bottom"/>
            <w:gridSpan w:val="2"/>
            <w:shd w:val="clear" w:color="auto" w:fill="CCEEFF"/>
          </w:tcPr>
          <w:p>
            <w:pPr>
              <w:jc w:val="center"/>
              <w:ind w:left="5010"/>
              <w:spacing w:after="0"/>
              <w:rPr>
                <w:sz w:val="20"/>
                <w:szCs w:val="20"/>
                <w:color w:val="auto"/>
              </w:rPr>
            </w:pPr>
            <w:r>
              <w:rPr>
                <w:rFonts w:ascii="Arial" w:cs="Arial" w:eastAsia="Arial" w:hAnsi="Arial"/>
                <w:sz w:val="18"/>
                <w:szCs w:val="18"/>
                <w:color w:val="auto"/>
                <w:w w:val="79"/>
              </w:rPr>
              <w:t>1</w:t>
            </w:r>
          </w:p>
        </w:tc>
      </w:tr>
      <w:tr>
        <w:trPr>
          <w:trHeight w:val="216"/>
        </w:trPr>
        <w:tc>
          <w:tcPr>
            <w:tcW w:w="5500" w:type="dxa"/>
            <w:vAlign w:val="bottom"/>
            <w:gridSpan w:val="2"/>
            <w:shd w:val="clear" w:color="auto" w:fill="FEFEFE"/>
          </w:tcPr>
          <w:p>
            <w:pPr>
              <w:spacing w:after="0"/>
              <w:rPr>
                <w:sz w:val="18"/>
                <w:szCs w:val="18"/>
                <w:color w:val="auto"/>
              </w:rPr>
            </w:pPr>
          </w:p>
        </w:tc>
        <w:tc>
          <w:tcPr>
            <w:tcW w:w="5100" w:type="dxa"/>
            <w:vAlign w:val="bottom"/>
            <w:shd w:val="clear" w:color="auto" w:fill="FEFEFE"/>
          </w:tcPr>
          <w:p>
            <w:pPr>
              <w:spacing w:after="0"/>
              <w:rPr>
                <w:sz w:val="18"/>
                <w:szCs w:val="18"/>
                <w:color w:val="auto"/>
              </w:rPr>
            </w:pPr>
          </w:p>
        </w:tc>
        <w:tc>
          <w:tcPr>
            <w:tcW w:w="640" w:type="dxa"/>
            <w:vAlign w:val="bottom"/>
            <w:shd w:val="clear" w:color="auto" w:fill="FEFEFE"/>
          </w:tcPr>
          <w:p>
            <w:pPr>
              <w:spacing w:after="0"/>
              <w:rPr>
                <w:sz w:val="18"/>
                <w:szCs w:val="18"/>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2 DEFINITIONS</w:t>
            </w:r>
          </w:p>
        </w:tc>
        <w:tc>
          <w:tcPr>
            <w:tcW w:w="5740" w:type="dxa"/>
            <w:vAlign w:val="bottom"/>
            <w:gridSpan w:val="2"/>
            <w:shd w:val="clear" w:color="auto" w:fill="CCEEFF"/>
          </w:tcPr>
          <w:p>
            <w:pPr>
              <w:jc w:val="center"/>
              <w:ind w:left="5010"/>
              <w:spacing w:after="0"/>
              <w:rPr>
                <w:sz w:val="20"/>
                <w:szCs w:val="20"/>
                <w:color w:val="auto"/>
              </w:rPr>
            </w:pPr>
            <w:r>
              <w:rPr>
                <w:rFonts w:ascii="Arial" w:cs="Arial" w:eastAsia="Arial" w:hAnsi="Arial"/>
                <w:sz w:val="18"/>
                <w:szCs w:val="18"/>
                <w:color w:val="auto"/>
                <w:w w:val="79"/>
              </w:rPr>
              <w:t>2</w:t>
            </w:r>
          </w:p>
        </w:tc>
      </w:tr>
      <w:tr>
        <w:trPr>
          <w:trHeight w:val="216"/>
        </w:trPr>
        <w:tc>
          <w:tcPr>
            <w:tcW w:w="1780" w:type="dxa"/>
            <w:vAlign w:val="bottom"/>
            <w:shd w:val="clear" w:color="auto" w:fill="FEFEFE"/>
          </w:tcPr>
          <w:p>
            <w:pPr>
              <w:spacing w:after="0"/>
              <w:rPr>
                <w:sz w:val="18"/>
                <w:szCs w:val="18"/>
                <w:color w:val="auto"/>
              </w:rPr>
            </w:pPr>
          </w:p>
        </w:tc>
        <w:tc>
          <w:tcPr>
            <w:tcW w:w="3720" w:type="dxa"/>
            <w:vAlign w:val="bottom"/>
            <w:shd w:val="clear" w:color="auto" w:fill="FEFEFE"/>
          </w:tcPr>
          <w:p>
            <w:pPr>
              <w:spacing w:after="0"/>
              <w:rPr>
                <w:sz w:val="18"/>
                <w:szCs w:val="18"/>
                <w:color w:val="auto"/>
              </w:rPr>
            </w:pPr>
          </w:p>
        </w:tc>
        <w:tc>
          <w:tcPr>
            <w:tcW w:w="5100" w:type="dxa"/>
            <w:vAlign w:val="bottom"/>
            <w:shd w:val="clear" w:color="auto" w:fill="FEFEFE"/>
          </w:tcPr>
          <w:p>
            <w:pPr>
              <w:spacing w:after="0"/>
              <w:rPr>
                <w:sz w:val="18"/>
                <w:szCs w:val="18"/>
                <w:color w:val="auto"/>
              </w:rPr>
            </w:pPr>
          </w:p>
        </w:tc>
        <w:tc>
          <w:tcPr>
            <w:tcW w:w="640" w:type="dxa"/>
            <w:vAlign w:val="bottom"/>
            <w:shd w:val="clear" w:color="auto" w:fill="FEFEFE"/>
          </w:tcPr>
          <w:p>
            <w:pPr>
              <w:spacing w:after="0"/>
              <w:rPr>
                <w:sz w:val="18"/>
                <w:szCs w:val="18"/>
                <w:color w:val="auto"/>
              </w:rPr>
            </w:pPr>
          </w:p>
        </w:tc>
      </w:tr>
      <w:tr>
        <w:trPr>
          <w:trHeight w:val="216"/>
        </w:trPr>
        <w:tc>
          <w:tcPr>
            <w:tcW w:w="17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2.01.</w:t>
            </w:r>
          </w:p>
        </w:tc>
        <w:tc>
          <w:tcPr>
            <w:tcW w:w="3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Certain Terms Defined in the Indenture.</w:t>
            </w:r>
          </w:p>
        </w:tc>
        <w:tc>
          <w:tcPr>
            <w:tcW w:w="5740" w:type="dxa"/>
            <w:vAlign w:val="bottom"/>
            <w:gridSpan w:val="2"/>
            <w:shd w:val="clear" w:color="auto" w:fill="CCEEFF"/>
          </w:tcPr>
          <w:p>
            <w:pPr>
              <w:jc w:val="center"/>
              <w:ind w:left="5010"/>
              <w:spacing w:after="0"/>
              <w:rPr>
                <w:sz w:val="20"/>
                <w:szCs w:val="20"/>
                <w:color w:val="auto"/>
              </w:rPr>
            </w:pPr>
            <w:r>
              <w:rPr>
                <w:rFonts w:ascii="Arial" w:cs="Arial" w:eastAsia="Arial" w:hAnsi="Arial"/>
                <w:sz w:val="18"/>
                <w:szCs w:val="18"/>
                <w:color w:val="auto"/>
                <w:w w:val="79"/>
              </w:rPr>
              <w:t>2</w:t>
            </w:r>
          </w:p>
        </w:tc>
      </w:tr>
      <w:tr>
        <w:trPr>
          <w:trHeight w:val="216"/>
        </w:trPr>
        <w:tc>
          <w:tcPr>
            <w:tcW w:w="1780" w:type="dxa"/>
            <w:vAlign w:val="bottom"/>
            <w:shd w:val="clear" w:color="auto" w:fill="FEFEFE"/>
          </w:tcPr>
          <w:p>
            <w:pPr>
              <w:spacing w:after="0"/>
              <w:rPr>
                <w:sz w:val="18"/>
                <w:szCs w:val="18"/>
                <w:color w:val="auto"/>
              </w:rPr>
            </w:pPr>
          </w:p>
        </w:tc>
        <w:tc>
          <w:tcPr>
            <w:tcW w:w="3720" w:type="dxa"/>
            <w:vAlign w:val="bottom"/>
            <w:shd w:val="clear" w:color="auto" w:fill="FEFEFE"/>
          </w:tcPr>
          <w:p>
            <w:pPr>
              <w:spacing w:after="0"/>
              <w:rPr>
                <w:sz w:val="18"/>
                <w:szCs w:val="18"/>
                <w:color w:val="auto"/>
              </w:rPr>
            </w:pPr>
          </w:p>
        </w:tc>
        <w:tc>
          <w:tcPr>
            <w:tcW w:w="5100" w:type="dxa"/>
            <w:vAlign w:val="bottom"/>
            <w:shd w:val="clear" w:color="auto" w:fill="FEFEFE"/>
          </w:tcPr>
          <w:p>
            <w:pPr>
              <w:spacing w:after="0"/>
              <w:rPr>
                <w:sz w:val="18"/>
                <w:szCs w:val="18"/>
                <w:color w:val="auto"/>
              </w:rPr>
            </w:pPr>
          </w:p>
        </w:tc>
        <w:tc>
          <w:tcPr>
            <w:tcW w:w="640" w:type="dxa"/>
            <w:vAlign w:val="bottom"/>
            <w:shd w:val="clear" w:color="auto" w:fill="FEFEFE"/>
          </w:tcPr>
          <w:p>
            <w:pPr>
              <w:spacing w:after="0"/>
              <w:rPr>
                <w:sz w:val="18"/>
                <w:szCs w:val="18"/>
                <w:color w:val="auto"/>
              </w:rPr>
            </w:pPr>
          </w:p>
        </w:tc>
      </w:tr>
      <w:tr>
        <w:trPr>
          <w:trHeight w:val="216"/>
        </w:trPr>
        <w:tc>
          <w:tcPr>
            <w:tcW w:w="17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2.02.</w:t>
            </w:r>
          </w:p>
        </w:tc>
        <w:tc>
          <w:tcPr>
            <w:tcW w:w="3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Definitions.</w:t>
            </w:r>
          </w:p>
        </w:tc>
        <w:tc>
          <w:tcPr>
            <w:tcW w:w="5740" w:type="dxa"/>
            <w:vAlign w:val="bottom"/>
            <w:gridSpan w:val="2"/>
            <w:shd w:val="clear" w:color="auto" w:fill="CCEEFF"/>
          </w:tcPr>
          <w:p>
            <w:pPr>
              <w:jc w:val="center"/>
              <w:ind w:left="5010"/>
              <w:spacing w:after="0"/>
              <w:rPr>
                <w:sz w:val="20"/>
                <w:szCs w:val="20"/>
                <w:color w:val="auto"/>
              </w:rPr>
            </w:pPr>
            <w:r>
              <w:rPr>
                <w:rFonts w:ascii="Arial" w:cs="Arial" w:eastAsia="Arial" w:hAnsi="Arial"/>
                <w:sz w:val="18"/>
                <w:szCs w:val="18"/>
                <w:color w:val="auto"/>
                <w:w w:val="79"/>
              </w:rPr>
              <w:t>2</w:t>
            </w:r>
          </w:p>
        </w:tc>
      </w:tr>
      <w:tr>
        <w:trPr>
          <w:trHeight w:val="216"/>
        </w:trPr>
        <w:tc>
          <w:tcPr>
            <w:tcW w:w="5500" w:type="dxa"/>
            <w:vAlign w:val="bottom"/>
            <w:gridSpan w:val="2"/>
            <w:shd w:val="clear" w:color="auto" w:fill="FEFEFE"/>
          </w:tcPr>
          <w:p>
            <w:pPr>
              <w:spacing w:after="0"/>
              <w:rPr>
                <w:sz w:val="18"/>
                <w:szCs w:val="18"/>
                <w:color w:val="auto"/>
              </w:rPr>
            </w:pPr>
          </w:p>
        </w:tc>
        <w:tc>
          <w:tcPr>
            <w:tcW w:w="5100" w:type="dxa"/>
            <w:vAlign w:val="bottom"/>
            <w:shd w:val="clear" w:color="auto" w:fill="FEFEFE"/>
          </w:tcPr>
          <w:p>
            <w:pPr>
              <w:spacing w:after="0"/>
              <w:rPr>
                <w:sz w:val="18"/>
                <w:szCs w:val="18"/>
                <w:color w:val="auto"/>
              </w:rPr>
            </w:pPr>
          </w:p>
        </w:tc>
        <w:tc>
          <w:tcPr>
            <w:tcW w:w="640" w:type="dxa"/>
            <w:vAlign w:val="bottom"/>
            <w:shd w:val="clear" w:color="auto" w:fill="FEFEFE"/>
          </w:tcPr>
          <w:p>
            <w:pPr>
              <w:spacing w:after="0"/>
              <w:rPr>
                <w:sz w:val="18"/>
                <w:szCs w:val="18"/>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3 FORM AND TERMS OF THE NOTES</w:t>
            </w:r>
          </w:p>
        </w:tc>
        <w:tc>
          <w:tcPr>
            <w:tcW w:w="5740" w:type="dxa"/>
            <w:vAlign w:val="bottom"/>
            <w:gridSpan w:val="2"/>
            <w:shd w:val="clear" w:color="auto" w:fill="CCEEFF"/>
          </w:tcPr>
          <w:p>
            <w:pPr>
              <w:jc w:val="center"/>
              <w:ind w:left="5010"/>
              <w:spacing w:after="0"/>
              <w:rPr>
                <w:sz w:val="20"/>
                <w:szCs w:val="20"/>
                <w:color w:val="auto"/>
              </w:rPr>
            </w:pPr>
            <w:r>
              <w:rPr>
                <w:rFonts w:ascii="Arial" w:cs="Arial" w:eastAsia="Arial" w:hAnsi="Arial"/>
                <w:sz w:val="18"/>
                <w:szCs w:val="18"/>
                <w:color w:val="auto"/>
                <w:w w:val="79"/>
              </w:rPr>
              <w:t>3</w:t>
            </w:r>
          </w:p>
        </w:tc>
      </w:tr>
      <w:tr>
        <w:trPr>
          <w:trHeight w:val="216"/>
        </w:trPr>
        <w:tc>
          <w:tcPr>
            <w:tcW w:w="1780" w:type="dxa"/>
            <w:vAlign w:val="bottom"/>
            <w:shd w:val="clear" w:color="auto" w:fill="FEFEFE"/>
          </w:tcPr>
          <w:p>
            <w:pPr>
              <w:spacing w:after="0"/>
              <w:rPr>
                <w:sz w:val="18"/>
                <w:szCs w:val="18"/>
                <w:color w:val="auto"/>
              </w:rPr>
            </w:pPr>
          </w:p>
        </w:tc>
        <w:tc>
          <w:tcPr>
            <w:tcW w:w="3720" w:type="dxa"/>
            <w:vAlign w:val="bottom"/>
            <w:shd w:val="clear" w:color="auto" w:fill="FEFEFE"/>
          </w:tcPr>
          <w:p>
            <w:pPr>
              <w:spacing w:after="0"/>
              <w:rPr>
                <w:sz w:val="18"/>
                <w:szCs w:val="18"/>
                <w:color w:val="auto"/>
              </w:rPr>
            </w:pPr>
          </w:p>
        </w:tc>
        <w:tc>
          <w:tcPr>
            <w:tcW w:w="5100" w:type="dxa"/>
            <w:vAlign w:val="bottom"/>
            <w:shd w:val="clear" w:color="auto" w:fill="FEFEFE"/>
          </w:tcPr>
          <w:p>
            <w:pPr>
              <w:spacing w:after="0"/>
              <w:rPr>
                <w:sz w:val="18"/>
                <w:szCs w:val="18"/>
                <w:color w:val="auto"/>
              </w:rPr>
            </w:pPr>
          </w:p>
        </w:tc>
        <w:tc>
          <w:tcPr>
            <w:tcW w:w="640" w:type="dxa"/>
            <w:vAlign w:val="bottom"/>
            <w:shd w:val="clear" w:color="auto" w:fill="FEFEFE"/>
          </w:tcPr>
          <w:p>
            <w:pPr>
              <w:spacing w:after="0"/>
              <w:rPr>
                <w:sz w:val="18"/>
                <w:szCs w:val="18"/>
                <w:color w:val="auto"/>
              </w:rPr>
            </w:pPr>
          </w:p>
        </w:tc>
      </w:tr>
      <w:tr>
        <w:trPr>
          <w:trHeight w:val="216"/>
        </w:trPr>
        <w:tc>
          <w:tcPr>
            <w:tcW w:w="17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3.01.</w:t>
            </w:r>
          </w:p>
        </w:tc>
        <w:tc>
          <w:tcPr>
            <w:tcW w:w="3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Form and Dating.</w:t>
            </w:r>
          </w:p>
        </w:tc>
        <w:tc>
          <w:tcPr>
            <w:tcW w:w="5740" w:type="dxa"/>
            <w:vAlign w:val="bottom"/>
            <w:gridSpan w:val="2"/>
            <w:shd w:val="clear" w:color="auto" w:fill="CCEEFF"/>
          </w:tcPr>
          <w:p>
            <w:pPr>
              <w:jc w:val="center"/>
              <w:ind w:left="5010"/>
              <w:spacing w:after="0"/>
              <w:rPr>
                <w:sz w:val="20"/>
                <w:szCs w:val="20"/>
                <w:color w:val="auto"/>
              </w:rPr>
            </w:pPr>
            <w:r>
              <w:rPr>
                <w:rFonts w:ascii="Arial" w:cs="Arial" w:eastAsia="Arial" w:hAnsi="Arial"/>
                <w:sz w:val="18"/>
                <w:szCs w:val="18"/>
                <w:color w:val="auto"/>
                <w:w w:val="79"/>
              </w:rPr>
              <w:t>3</w:t>
            </w:r>
          </w:p>
        </w:tc>
      </w:tr>
      <w:tr>
        <w:trPr>
          <w:trHeight w:val="216"/>
        </w:trPr>
        <w:tc>
          <w:tcPr>
            <w:tcW w:w="1780" w:type="dxa"/>
            <w:vAlign w:val="bottom"/>
            <w:shd w:val="clear" w:color="auto" w:fill="FEFEFE"/>
          </w:tcPr>
          <w:p>
            <w:pPr>
              <w:spacing w:after="0"/>
              <w:rPr>
                <w:sz w:val="18"/>
                <w:szCs w:val="18"/>
                <w:color w:val="auto"/>
              </w:rPr>
            </w:pPr>
          </w:p>
        </w:tc>
        <w:tc>
          <w:tcPr>
            <w:tcW w:w="3720" w:type="dxa"/>
            <w:vAlign w:val="bottom"/>
            <w:shd w:val="clear" w:color="auto" w:fill="FEFEFE"/>
          </w:tcPr>
          <w:p>
            <w:pPr>
              <w:spacing w:after="0"/>
              <w:rPr>
                <w:sz w:val="18"/>
                <w:szCs w:val="18"/>
                <w:color w:val="auto"/>
              </w:rPr>
            </w:pPr>
          </w:p>
        </w:tc>
        <w:tc>
          <w:tcPr>
            <w:tcW w:w="5100" w:type="dxa"/>
            <w:vAlign w:val="bottom"/>
            <w:shd w:val="clear" w:color="auto" w:fill="FEFEFE"/>
          </w:tcPr>
          <w:p>
            <w:pPr>
              <w:spacing w:after="0"/>
              <w:rPr>
                <w:sz w:val="18"/>
                <w:szCs w:val="18"/>
                <w:color w:val="auto"/>
              </w:rPr>
            </w:pPr>
          </w:p>
        </w:tc>
        <w:tc>
          <w:tcPr>
            <w:tcW w:w="640" w:type="dxa"/>
            <w:vAlign w:val="bottom"/>
            <w:shd w:val="clear" w:color="auto" w:fill="FEFEFE"/>
          </w:tcPr>
          <w:p>
            <w:pPr>
              <w:spacing w:after="0"/>
              <w:rPr>
                <w:sz w:val="18"/>
                <w:szCs w:val="18"/>
                <w:color w:val="auto"/>
              </w:rPr>
            </w:pPr>
          </w:p>
        </w:tc>
      </w:tr>
      <w:tr>
        <w:trPr>
          <w:trHeight w:val="216"/>
        </w:trPr>
        <w:tc>
          <w:tcPr>
            <w:tcW w:w="17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3.02.</w:t>
            </w:r>
          </w:p>
        </w:tc>
        <w:tc>
          <w:tcPr>
            <w:tcW w:w="3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Terms of the Notes.</w:t>
            </w:r>
          </w:p>
        </w:tc>
        <w:tc>
          <w:tcPr>
            <w:tcW w:w="5740" w:type="dxa"/>
            <w:vAlign w:val="bottom"/>
            <w:gridSpan w:val="2"/>
            <w:shd w:val="clear" w:color="auto" w:fill="CCEEFF"/>
          </w:tcPr>
          <w:p>
            <w:pPr>
              <w:jc w:val="center"/>
              <w:ind w:left="5010"/>
              <w:spacing w:after="0"/>
              <w:rPr>
                <w:sz w:val="20"/>
                <w:szCs w:val="20"/>
                <w:color w:val="auto"/>
              </w:rPr>
            </w:pPr>
            <w:r>
              <w:rPr>
                <w:rFonts w:ascii="Arial" w:cs="Arial" w:eastAsia="Arial" w:hAnsi="Arial"/>
                <w:sz w:val="18"/>
                <w:szCs w:val="18"/>
                <w:color w:val="auto"/>
                <w:w w:val="79"/>
              </w:rPr>
              <w:t>3</w:t>
            </w:r>
          </w:p>
        </w:tc>
      </w:tr>
      <w:tr>
        <w:trPr>
          <w:trHeight w:val="216"/>
        </w:trPr>
        <w:tc>
          <w:tcPr>
            <w:tcW w:w="1780" w:type="dxa"/>
            <w:vAlign w:val="bottom"/>
            <w:shd w:val="clear" w:color="auto" w:fill="FEFEFE"/>
          </w:tcPr>
          <w:p>
            <w:pPr>
              <w:spacing w:after="0"/>
              <w:rPr>
                <w:sz w:val="18"/>
                <w:szCs w:val="18"/>
                <w:color w:val="auto"/>
              </w:rPr>
            </w:pPr>
          </w:p>
        </w:tc>
        <w:tc>
          <w:tcPr>
            <w:tcW w:w="3720" w:type="dxa"/>
            <w:vAlign w:val="bottom"/>
            <w:shd w:val="clear" w:color="auto" w:fill="FEFEFE"/>
          </w:tcPr>
          <w:p>
            <w:pPr>
              <w:spacing w:after="0"/>
              <w:rPr>
                <w:sz w:val="18"/>
                <w:szCs w:val="18"/>
                <w:color w:val="auto"/>
              </w:rPr>
            </w:pPr>
          </w:p>
        </w:tc>
        <w:tc>
          <w:tcPr>
            <w:tcW w:w="5100" w:type="dxa"/>
            <w:vAlign w:val="bottom"/>
            <w:shd w:val="clear" w:color="auto" w:fill="FEFEFE"/>
          </w:tcPr>
          <w:p>
            <w:pPr>
              <w:spacing w:after="0"/>
              <w:rPr>
                <w:sz w:val="18"/>
                <w:szCs w:val="18"/>
                <w:color w:val="auto"/>
              </w:rPr>
            </w:pPr>
          </w:p>
        </w:tc>
        <w:tc>
          <w:tcPr>
            <w:tcW w:w="640" w:type="dxa"/>
            <w:vAlign w:val="bottom"/>
            <w:shd w:val="clear" w:color="auto" w:fill="FEFEFE"/>
          </w:tcPr>
          <w:p>
            <w:pPr>
              <w:spacing w:after="0"/>
              <w:rPr>
                <w:sz w:val="18"/>
                <w:szCs w:val="18"/>
                <w:color w:val="auto"/>
              </w:rPr>
            </w:pPr>
          </w:p>
        </w:tc>
      </w:tr>
      <w:tr>
        <w:trPr>
          <w:trHeight w:val="216"/>
        </w:trPr>
        <w:tc>
          <w:tcPr>
            <w:tcW w:w="17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3.03.</w:t>
            </w:r>
          </w:p>
        </w:tc>
        <w:tc>
          <w:tcPr>
            <w:tcW w:w="3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Optional Redemption.</w:t>
            </w:r>
          </w:p>
        </w:tc>
        <w:tc>
          <w:tcPr>
            <w:tcW w:w="5740" w:type="dxa"/>
            <w:vAlign w:val="bottom"/>
            <w:gridSpan w:val="2"/>
            <w:shd w:val="clear" w:color="auto" w:fill="CCEEFF"/>
          </w:tcPr>
          <w:p>
            <w:pPr>
              <w:jc w:val="center"/>
              <w:ind w:left="5010"/>
              <w:spacing w:after="0"/>
              <w:rPr>
                <w:sz w:val="20"/>
                <w:szCs w:val="20"/>
                <w:color w:val="auto"/>
              </w:rPr>
            </w:pPr>
            <w:r>
              <w:rPr>
                <w:rFonts w:ascii="Arial" w:cs="Arial" w:eastAsia="Arial" w:hAnsi="Arial"/>
                <w:sz w:val="18"/>
                <w:szCs w:val="18"/>
                <w:color w:val="auto"/>
                <w:w w:val="79"/>
              </w:rPr>
              <w:t>4</w:t>
            </w:r>
          </w:p>
        </w:tc>
      </w:tr>
      <w:tr>
        <w:trPr>
          <w:trHeight w:val="216"/>
        </w:trPr>
        <w:tc>
          <w:tcPr>
            <w:tcW w:w="5500" w:type="dxa"/>
            <w:vAlign w:val="bottom"/>
            <w:gridSpan w:val="2"/>
            <w:shd w:val="clear" w:color="auto" w:fill="FEFEFE"/>
          </w:tcPr>
          <w:p>
            <w:pPr>
              <w:spacing w:after="0"/>
              <w:rPr>
                <w:sz w:val="18"/>
                <w:szCs w:val="18"/>
                <w:color w:val="auto"/>
              </w:rPr>
            </w:pPr>
          </w:p>
        </w:tc>
        <w:tc>
          <w:tcPr>
            <w:tcW w:w="5100" w:type="dxa"/>
            <w:vAlign w:val="bottom"/>
            <w:shd w:val="clear" w:color="auto" w:fill="FEFEFE"/>
          </w:tcPr>
          <w:p>
            <w:pPr>
              <w:spacing w:after="0"/>
              <w:rPr>
                <w:sz w:val="18"/>
                <w:szCs w:val="18"/>
                <w:color w:val="auto"/>
              </w:rPr>
            </w:pPr>
          </w:p>
        </w:tc>
        <w:tc>
          <w:tcPr>
            <w:tcW w:w="640" w:type="dxa"/>
            <w:vAlign w:val="bottom"/>
            <w:shd w:val="clear" w:color="auto" w:fill="FEFEFE"/>
          </w:tcPr>
          <w:p>
            <w:pPr>
              <w:spacing w:after="0"/>
              <w:rPr>
                <w:sz w:val="18"/>
                <w:szCs w:val="18"/>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4 CERTAIN COVENANTS</w:t>
            </w:r>
          </w:p>
        </w:tc>
        <w:tc>
          <w:tcPr>
            <w:tcW w:w="5740" w:type="dxa"/>
            <w:vAlign w:val="bottom"/>
            <w:gridSpan w:val="2"/>
            <w:shd w:val="clear" w:color="auto" w:fill="CCEEFF"/>
          </w:tcPr>
          <w:p>
            <w:pPr>
              <w:jc w:val="center"/>
              <w:ind w:left="5010"/>
              <w:spacing w:after="0"/>
              <w:rPr>
                <w:sz w:val="20"/>
                <w:szCs w:val="20"/>
                <w:color w:val="auto"/>
              </w:rPr>
            </w:pPr>
            <w:r>
              <w:rPr>
                <w:rFonts w:ascii="Arial" w:cs="Arial" w:eastAsia="Arial" w:hAnsi="Arial"/>
                <w:sz w:val="18"/>
                <w:szCs w:val="18"/>
                <w:color w:val="auto"/>
                <w:w w:val="79"/>
              </w:rPr>
              <w:t>5</w:t>
            </w:r>
          </w:p>
        </w:tc>
      </w:tr>
      <w:tr>
        <w:trPr>
          <w:trHeight w:val="216"/>
        </w:trPr>
        <w:tc>
          <w:tcPr>
            <w:tcW w:w="1780" w:type="dxa"/>
            <w:vAlign w:val="bottom"/>
            <w:shd w:val="clear" w:color="auto" w:fill="FEFEFE"/>
          </w:tcPr>
          <w:p>
            <w:pPr>
              <w:spacing w:after="0"/>
              <w:rPr>
                <w:sz w:val="18"/>
                <w:szCs w:val="18"/>
                <w:color w:val="auto"/>
              </w:rPr>
            </w:pPr>
          </w:p>
        </w:tc>
        <w:tc>
          <w:tcPr>
            <w:tcW w:w="3720" w:type="dxa"/>
            <w:vAlign w:val="bottom"/>
            <w:shd w:val="clear" w:color="auto" w:fill="FEFEFE"/>
          </w:tcPr>
          <w:p>
            <w:pPr>
              <w:spacing w:after="0"/>
              <w:rPr>
                <w:sz w:val="18"/>
                <w:szCs w:val="18"/>
                <w:color w:val="auto"/>
              </w:rPr>
            </w:pPr>
          </w:p>
        </w:tc>
        <w:tc>
          <w:tcPr>
            <w:tcW w:w="5100" w:type="dxa"/>
            <w:vAlign w:val="bottom"/>
            <w:shd w:val="clear" w:color="auto" w:fill="FEFEFE"/>
          </w:tcPr>
          <w:p>
            <w:pPr>
              <w:spacing w:after="0"/>
              <w:rPr>
                <w:sz w:val="18"/>
                <w:szCs w:val="18"/>
                <w:color w:val="auto"/>
              </w:rPr>
            </w:pPr>
          </w:p>
        </w:tc>
        <w:tc>
          <w:tcPr>
            <w:tcW w:w="640" w:type="dxa"/>
            <w:vAlign w:val="bottom"/>
            <w:shd w:val="clear" w:color="auto" w:fill="FEFEFE"/>
          </w:tcPr>
          <w:p>
            <w:pPr>
              <w:spacing w:after="0"/>
              <w:rPr>
                <w:sz w:val="18"/>
                <w:szCs w:val="18"/>
                <w:color w:val="auto"/>
              </w:rPr>
            </w:pPr>
          </w:p>
        </w:tc>
      </w:tr>
      <w:tr>
        <w:trPr>
          <w:trHeight w:val="216"/>
        </w:trPr>
        <w:tc>
          <w:tcPr>
            <w:tcW w:w="17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4.01.</w:t>
            </w:r>
          </w:p>
        </w:tc>
        <w:tc>
          <w:tcPr>
            <w:tcW w:w="3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Merger, Consolidation or Sale of Assets.</w:t>
            </w:r>
          </w:p>
        </w:tc>
        <w:tc>
          <w:tcPr>
            <w:tcW w:w="5740" w:type="dxa"/>
            <w:vAlign w:val="bottom"/>
            <w:gridSpan w:val="2"/>
            <w:shd w:val="clear" w:color="auto" w:fill="CCEEFF"/>
          </w:tcPr>
          <w:p>
            <w:pPr>
              <w:jc w:val="center"/>
              <w:ind w:left="5010"/>
              <w:spacing w:after="0"/>
              <w:rPr>
                <w:sz w:val="20"/>
                <w:szCs w:val="20"/>
                <w:color w:val="auto"/>
              </w:rPr>
            </w:pPr>
            <w:r>
              <w:rPr>
                <w:rFonts w:ascii="Arial" w:cs="Arial" w:eastAsia="Arial" w:hAnsi="Arial"/>
                <w:sz w:val="18"/>
                <w:szCs w:val="18"/>
                <w:color w:val="auto"/>
                <w:w w:val="79"/>
              </w:rPr>
              <w:t>5</w:t>
            </w:r>
          </w:p>
        </w:tc>
      </w:tr>
      <w:tr>
        <w:trPr>
          <w:trHeight w:val="216"/>
        </w:trPr>
        <w:tc>
          <w:tcPr>
            <w:tcW w:w="1780" w:type="dxa"/>
            <w:vAlign w:val="bottom"/>
            <w:shd w:val="clear" w:color="auto" w:fill="FEFEFE"/>
          </w:tcPr>
          <w:p>
            <w:pPr>
              <w:spacing w:after="0"/>
              <w:rPr>
                <w:sz w:val="18"/>
                <w:szCs w:val="18"/>
                <w:color w:val="auto"/>
              </w:rPr>
            </w:pPr>
          </w:p>
        </w:tc>
        <w:tc>
          <w:tcPr>
            <w:tcW w:w="3720" w:type="dxa"/>
            <w:vAlign w:val="bottom"/>
            <w:shd w:val="clear" w:color="auto" w:fill="FEFEFE"/>
          </w:tcPr>
          <w:p>
            <w:pPr>
              <w:spacing w:after="0"/>
              <w:rPr>
                <w:sz w:val="18"/>
                <w:szCs w:val="18"/>
                <w:color w:val="auto"/>
              </w:rPr>
            </w:pPr>
          </w:p>
        </w:tc>
        <w:tc>
          <w:tcPr>
            <w:tcW w:w="5100" w:type="dxa"/>
            <w:vAlign w:val="bottom"/>
            <w:shd w:val="clear" w:color="auto" w:fill="FEFEFE"/>
          </w:tcPr>
          <w:p>
            <w:pPr>
              <w:spacing w:after="0"/>
              <w:rPr>
                <w:sz w:val="18"/>
                <w:szCs w:val="18"/>
                <w:color w:val="auto"/>
              </w:rPr>
            </w:pPr>
          </w:p>
        </w:tc>
        <w:tc>
          <w:tcPr>
            <w:tcW w:w="640" w:type="dxa"/>
            <w:vAlign w:val="bottom"/>
            <w:shd w:val="clear" w:color="auto" w:fill="FEFEFE"/>
          </w:tcPr>
          <w:p>
            <w:pPr>
              <w:spacing w:after="0"/>
              <w:rPr>
                <w:sz w:val="18"/>
                <w:szCs w:val="18"/>
                <w:color w:val="auto"/>
              </w:rPr>
            </w:pPr>
          </w:p>
        </w:tc>
      </w:tr>
      <w:tr>
        <w:trPr>
          <w:trHeight w:val="216"/>
        </w:trPr>
        <w:tc>
          <w:tcPr>
            <w:tcW w:w="17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4.02.</w:t>
            </w:r>
          </w:p>
        </w:tc>
        <w:tc>
          <w:tcPr>
            <w:tcW w:w="3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Reporting.</w:t>
            </w:r>
          </w:p>
        </w:tc>
        <w:tc>
          <w:tcPr>
            <w:tcW w:w="5740" w:type="dxa"/>
            <w:vAlign w:val="bottom"/>
            <w:gridSpan w:val="2"/>
            <w:shd w:val="clear" w:color="auto" w:fill="CCEEFF"/>
          </w:tcPr>
          <w:p>
            <w:pPr>
              <w:jc w:val="center"/>
              <w:ind w:left="5010"/>
              <w:spacing w:after="0"/>
              <w:rPr>
                <w:sz w:val="20"/>
                <w:szCs w:val="20"/>
                <w:color w:val="auto"/>
              </w:rPr>
            </w:pPr>
            <w:r>
              <w:rPr>
                <w:rFonts w:ascii="Arial" w:cs="Arial" w:eastAsia="Arial" w:hAnsi="Arial"/>
                <w:sz w:val="18"/>
                <w:szCs w:val="18"/>
                <w:color w:val="auto"/>
                <w:w w:val="79"/>
              </w:rPr>
              <w:t>5</w:t>
            </w:r>
          </w:p>
        </w:tc>
      </w:tr>
      <w:tr>
        <w:trPr>
          <w:trHeight w:val="216"/>
        </w:trPr>
        <w:tc>
          <w:tcPr>
            <w:tcW w:w="1780" w:type="dxa"/>
            <w:vAlign w:val="bottom"/>
            <w:shd w:val="clear" w:color="auto" w:fill="FEFEFE"/>
          </w:tcPr>
          <w:p>
            <w:pPr>
              <w:spacing w:after="0"/>
              <w:rPr>
                <w:sz w:val="18"/>
                <w:szCs w:val="18"/>
                <w:color w:val="auto"/>
              </w:rPr>
            </w:pPr>
          </w:p>
        </w:tc>
        <w:tc>
          <w:tcPr>
            <w:tcW w:w="3720" w:type="dxa"/>
            <w:vAlign w:val="bottom"/>
            <w:shd w:val="clear" w:color="auto" w:fill="FEFEFE"/>
          </w:tcPr>
          <w:p>
            <w:pPr>
              <w:spacing w:after="0"/>
              <w:rPr>
                <w:sz w:val="18"/>
                <w:szCs w:val="18"/>
                <w:color w:val="auto"/>
              </w:rPr>
            </w:pPr>
          </w:p>
        </w:tc>
        <w:tc>
          <w:tcPr>
            <w:tcW w:w="5100" w:type="dxa"/>
            <w:vAlign w:val="bottom"/>
            <w:shd w:val="clear" w:color="auto" w:fill="FEFEFE"/>
          </w:tcPr>
          <w:p>
            <w:pPr>
              <w:spacing w:after="0"/>
              <w:rPr>
                <w:sz w:val="18"/>
                <w:szCs w:val="18"/>
                <w:color w:val="auto"/>
              </w:rPr>
            </w:pPr>
          </w:p>
        </w:tc>
        <w:tc>
          <w:tcPr>
            <w:tcW w:w="640" w:type="dxa"/>
            <w:vAlign w:val="bottom"/>
            <w:shd w:val="clear" w:color="auto" w:fill="FEFEFE"/>
          </w:tcPr>
          <w:p>
            <w:pPr>
              <w:spacing w:after="0"/>
              <w:rPr>
                <w:sz w:val="18"/>
                <w:szCs w:val="18"/>
                <w:color w:val="auto"/>
              </w:rPr>
            </w:pPr>
          </w:p>
        </w:tc>
      </w:tr>
      <w:tr>
        <w:trPr>
          <w:trHeight w:val="216"/>
        </w:trPr>
        <w:tc>
          <w:tcPr>
            <w:tcW w:w="17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4.03.</w:t>
            </w:r>
          </w:p>
        </w:tc>
        <w:tc>
          <w:tcPr>
            <w:tcW w:w="3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 of Taxes.</w:t>
            </w:r>
          </w:p>
        </w:tc>
        <w:tc>
          <w:tcPr>
            <w:tcW w:w="5740" w:type="dxa"/>
            <w:vAlign w:val="bottom"/>
            <w:gridSpan w:val="2"/>
            <w:shd w:val="clear" w:color="auto" w:fill="CCEEFF"/>
          </w:tcPr>
          <w:p>
            <w:pPr>
              <w:jc w:val="center"/>
              <w:ind w:left="5010"/>
              <w:spacing w:after="0"/>
              <w:rPr>
                <w:sz w:val="20"/>
                <w:szCs w:val="20"/>
                <w:color w:val="auto"/>
              </w:rPr>
            </w:pPr>
            <w:r>
              <w:rPr>
                <w:rFonts w:ascii="Arial" w:cs="Arial" w:eastAsia="Arial" w:hAnsi="Arial"/>
                <w:sz w:val="18"/>
                <w:szCs w:val="18"/>
                <w:color w:val="auto"/>
                <w:w w:val="79"/>
              </w:rPr>
              <w:t>5</w:t>
            </w:r>
          </w:p>
        </w:tc>
      </w:tr>
      <w:tr>
        <w:trPr>
          <w:trHeight w:val="216"/>
        </w:trPr>
        <w:tc>
          <w:tcPr>
            <w:tcW w:w="5500" w:type="dxa"/>
            <w:vAlign w:val="bottom"/>
            <w:gridSpan w:val="2"/>
            <w:shd w:val="clear" w:color="auto" w:fill="FEFEFE"/>
          </w:tcPr>
          <w:p>
            <w:pPr>
              <w:spacing w:after="0"/>
              <w:rPr>
                <w:sz w:val="18"/>
                <w:szCs w:val="18"/>
                <w:color w:val="auto"/>
              </w:rPr>
            </w:pPr>
          </w:p>
        </w:tc>
        <w:tc>
          <w:tcPr>
            <w:tcW w:w="5100" w:type="dxa"/>
            <w:vAlign w:val="bottom"/>
            <w:shd w:val="clear" w:color="auto" w:fill="FEFEFE"/>
          </w:tcPr>
          <w:p>
            <w:pPr>
              <w:spacing w:after="0"/>
              <w:rPr>
                <w:sz w:val="18"/>
                <w:szCs w:val="18"/>
                <w:color w:val="auto"/>
              </w:rPr>
            </w:pPr>
          </w:p>
        </w:tc>
        <w:tc>
          <w:tcPr>
            <w:tcW w:w="640" w:type="dxa"/>
            <w:vAlign w:val="bottom"/>
            <w:shd w:val="clear" w:color="auto" w:fill="FEFEFE"/>
          </w:tcPr>
          <w:p>
            <w:pPr>
              <w:spacing w:after="0"/>
              <w:rPr>
                <w:sz w:val="18"/>
                <w:szCs w:val="18"/>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5 EVENTS OF DEFAULT</w:t>
            </w:r>
          </w:p>
        </w:tc>
        <w:tc>
          <w:tcPr>
            <w:tcW w:w="5740" w:type="dxa"/>
            <w:vAlign w:val="bottom"/>
            <w:gridSpan w:val="2"/>
            <w:shd w:val="clear" w:color="auto" w:fill="CCEEFF"/>
          </w:tcPr>
          <w:p>
            <w:pPr>
              <w:jc w:val="center"/>
              <w:ind w:left="5010"/>
              <w:spacing w:after="0"/>
              <w:rPr>
                <w:sz w:val="20"/>
                <w:szCs w:val="20"/>
                <w:color w:val="auto"/>
              </w:rPr>
            </w:pPr>
            <w:r>
              <w:rPr>
                <w:rFonts w:ascii="Arial" w:cs="Arial" w:eastAsia="Arial" w:hAnsi="Arial"/>
                <w:sz w:val="18"/>
                <w:szCs w:val="18"/>
                <w:color w:val="auto"/>
                <w:w w:val="79"/>
              </w:rPr>
              <w:t>6</w:t>
            </w:r>
          </w:p>
        </w:tc>
      </w:tr>
      <w:tr>
        <w:trPr>
          <w:trHeight w:val="216"/>
        </w:trPr>
        <w:tc>
          <w:tcPr>
            <w:tcW w:w="1780" w:type="dxa"/>
            <w:vAlign w:val="bottom"/>
            <w:shd w:val="clear" w:color="auto" w:fill="FEFEFE"/>
          </w:tcPr>
          <w:p>
            <w:pPr>
              <w:spacing w:after="0"/>
              <w:rPr>
                <w:sz w:val="18"/>
                <w:szCs w:val="18"/>
                <w:color w:val="auto"/>
              </w:rPr>
            </w:pPr>
          </w:p>
        </w:tc>
        <w:tc>
          <w:tcPr>
            <w:tcW w:w="3720" w:type="dxa"/>
            <w:vAlign w:val="bottom"/>
            <w:shd w:val="clear" w:color="auto" w:fill="FEFEFE"/>
          </w:tcPr>
          <w:p>
            <w:pPr>
              <w:spacing w:after="0"/>
              <w:rPr>
                <w:sz w:val="18"/>
                <w:szCs w:val="18"/>
                <w:color w:val="auto"/>
              </w:rPr>
            </w:pPr>
          </w:p>
        </w:tc>
        <w:tc>
          <w:tcPr>
            <w:tcW w:w="5100" w:type="dxa"/>
            <w:vAlign w:val="bottom"/>
            <w:shd w:val="clear" w:color="auto" w:fill="FEFEFE"/>
          </w:tcPr>
          <w:p>
            <w:pPr>
              <w:spacing w:after="0"/>
              <w:rPr>
                <w:sz w:val="18"/>
                <w:szCs w:val="18"/>
                <w:color w:val="auto"/>
              </w:rPr>
            </w:pPr>
          </w:p>
        </w:tc>
        <w:tc>
          <w:tcPr>
            <w:tcW w:w="640" w:type="dxa"/>
            <w:vAlign w:val="bottom"/>
            <w:shd w:val="clear" w:color="auto" w:fill="FEFEFE"/>
          </w:tcPr>
          <w:p>
            <w:pPr>
              <w:spacing w:after="0"/>
              <w:rPr>
                <w:sz w:val="18"/>
                <w:szCs w:val="18"/>
                <w:color w:val="auto"/>
              </w:rPr>
            </w:pPr>
          </w:p>
        </w:tc>
      </w:tr>
      <w:tr>
        <w:trPr>
          <w:trHeight w:val="216"/>
        </w:trPr>
        <w:tc>
          <w:tcPr>
            <w:tcW w:w="17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5.01.</w:t>
            </w:r>
          </w:p>
        </w:tc>
        <w:tc>
          <w:tcPr>
            <w:tcW w:w="3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Events of Default.</w:t>
            </w:r>
          </w:p>
        </w:tc>
        <w:tc>
          <w:tcPr>
            <w:tcW w:w="5740" w:type="dxa"/>
            <w:vAlign w:val="bottom"/>
            <w:gridSpan w:val="2"/>
            <w:shd w:val="clear" w:color="auto" w:fill="CCEEFF"/>
          </w:tcPr>
          <w:p>
            <w:pPr>
              <w:jc w:val="center"/>
              <w:ind w:left="5010"/>
              <w:spacing w:after="0"/>
              <w:rPr>
                <w:sz w:val="20"/>
                <w:szCs w:val="20"/>
                <w:color w:val="auto"/>
              </w:rPr>
            </w:pPr>
            <w:r>
              <w:rPr>
                <w:rFonts w:ascii="Arial" w:cs="Arial" w:eastAsia="Arial" w:hAnsi="Arial"/>
                <w:sz w:val="18"/>
                <w:szCs w:val="18"/>
                <w:color w:val="auto"/>
                <w:w w:val="79"/>
              </w:rPr>
              <w:t>6</w:t>
            </w:r>
          </w:p>
        </w:tc>
      </w:tr>
      <w:tr>
        <w:trPr>
          <w:trHeight w:val="216"/>
        </w:trPr>
        <w:tc>
          <w:tcPr>
            <w:tcW w:w="5500" w:type="dxa"/>
            <w:vAlign w:val="bottom"/>
            <w:gridSpan w:val="2"/>
            <w:shd w:val="clear" w:color="auto" w:fill="FEFEFE"/>
          </w:tcPr>
          <w:p>
            <w:pPr>
              <w:spacing w:after="0"/>
              <w:rPr>
                <w:sz w:val="18"/>
                <w:szCs w:val="18"/>
                <w:color w:val="auto"/>
              </w:rPr>
            </w:pPr>
          </w:p>
        </w:tc>
        <w:tc>
          <w:tcPr>
            <w:tcW w:w="5100" w:type="dxa"/>
            <w:vAlign w:val="bottom"/>
            <w:shd w:val="clear" w:color="auto" w:fill="FEFEFE"/>
          </w:tcPr>
          <w:p>
            <w:pPr>
              <w:spacing w:after="0"/>
              <w:rPr>
                <w:sz w:val="18"/>
                <w:szCs w:val="18"/>
                <w:color w:val="auto"/>
              </w:rPr>
            </w:pPr>
          </w:p>
        </w:tc>
        <w:tc>
          <w:tcPr>
            <w:tcW w:w="640" w:type="dxa"/>
            <w:vAlign w:val="bottom"/>
            <w:shd w:val="clear" w:color="auto" w:fill="FEFEFE"/>
          </w:tcPr>
          <w:p>
            <w:pPr>
              <w:spacing w:after="0"/>
              <w:rPr>
                <w:sz w:val="18"/>
                <w:szCs w:val="18"/>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6 MISCELLANEOUS</w:t>
            </w:r>
          </w:p>
        </w:tc>
        <w:tc>
          <w:tcPr>
            <w:tcW w:w="5740" w:type="dxa"/>
            <w:vAlign w:val="bottom"/>
            <w:gridSpan w:val="2"/>
            <w:shd w:val="clear" w:color="auto" w:fill="CCEEFF"/>
          </w:tcPr>
          <w:p>
            <w:pPr>
              <w:jc w:val="center"/>
              <w:ind w:left="5010"/>
              <w:spacing w:after="0"/>
              <w:rPr>
                <w:sz w:val="20"/>
                <w:szCs w:val="20"/>
                <w:color w:val="auto"/>
              </w:rPr>
            </w:pPr>
            <w:r>
              <w:rPr>
                <w:rFonts w:ascii="Arial" w:cs="Arial" w:eastAsia="Arial" w:hAnsi="Arial"/>
                <w:sz w:val="18"/>
                <w:szCs w:val="18"/>
                <w:color w:val="auto"/>
                <w:w w:val="79"/>
              </w:rPr>
              <w:t>7</w:t>
            </w:r>
          </w:p>
        </w:tc>
      </w:tr>
      <w:tr>
        <w:trPr>
          <w:trHeight w:val="216"/>
        </w:trPr>
        <w:tc>
          <w:tcPr>
            <w:tcW w:w="1780" w:type="dxa"/>
            <w:vAlign w:val="bottom"/>
            <w:shd w:val="clear" w:color="auto" w:fill="FEFEFE"/>
          </w:tcPr>
          <w:p>
            <w:pPr>
              <w:spacing w:after="0"/>
              <w:rPr>
                <w:sz w:val="18"/>
                <w:szCs w:val="18"/>
                <w:color w:val="auto"/>
              </w:rPr>
            </w:pPr>
          </w:p>
        </w:tc>
        <w:tc>
          <w:tcPr>
            <w:tcW w:w="3720" w:type="dxa"/>
            <w:vAlign w:val="bottom"/>
            <w:shd w:val="clear" w:color="auto" w:fill="FEFEFE"/>
          </w:tcPr>
          <w:p>
            <w:pPr>
              <w:spacing w:after="0"/>
              <w:rPr>
                <w:sz w:val="18"/>
                <w:szCs w:val="18"/>
                <w:color w:val="auto"/>
              </w:rPr>
            </w:pPr>
          </w:p>
        </w:tc>
        <w:tc>
          <w:tcPr>
            <w:tcW w:w="5100" w:type="dxa"/>
            <w:vAlign w:val="bottom"/>
            <w:shd w:val="clear" w:color="auto" w:fill="FEFEFE"/>
          </w:tcPr>
          <w:p>
            <w:pPr>
              <w:spacing w:after="0"/>
              <w:rPr>
                <w:sz w:val="18"/>
                <w:szCs w:val="18"/>
                <w:color w:val="auto"/>
              </w:rPr>
            </w:pPr>
          </w:p>
        </w:tc>
        <w:tc>
          <w:tcPr>
            <w:tcW w:w="640" w:type="dxa"/>
            <w:vAlign w:val="bottom"/>
            <w:shd w:val="clear" w:color="auto" w:fill="FEFEFE"/>
          </w:tcPr>
          <w:p>
            <w:pPr>
              <w:spacing w:after="0"/>
              <w:rPr>
                <w:sz w:val="18"/>
                <w:szCs w:val="18"/>
                <w:color w:val="auto"/>
              </w:rPr>
            </w:pPr>
          </w:p>
        </w:tc>
      </w:tr>
      <w:tr>
        <w:trPr>
          <w:trHeight w:val="216"/>
        </w:trPr>
        <w:tc>
          <w:tcPr>
            <w:tcW w:w="17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6.01.</w:t>
            </w:r>
          </w:p>
        </w:tc>
        <w:tc>
          <w:tcPr>
            <w:tcW w:w="3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Trust Indenture Act Controls.</w:t>
            </w:r>
          </w:p>
        </w:tc>
        <w:tc>
          <w:tcPr>
            <w:tcW w:w="5740" w:type="dxa"/>
            <w:vAlign w:val="bottom"/>
            <w:gridSpan w:val="2"/>
            <w:shd w:val="clear" w:color="auto" w:fill="CCEEFF"/>
          </w:tcPr>
          <w:p>
            <w:pPr>
              <w:jc w:val="center"/>
              <w:ind w:left="5010"/>
              <w:spacing w:after="0"/>
              <w:rPr>
                <w:sz w:val="20"/>
                <w:szCs w:val="20"/>
                <w:color w:val="auto"/>
              </w:rPr>
            </w:pPr>
            <w:r>
              <w:rPr>
                <w:rFonts w:ascii="Arial" w:cs="Arial" w:eastAsia="Arial" w:hAnsi="Arial"/>
                <w:sz w:val="18"/>
                <w:szCs w:val="18"/>
                <w:color w:val="auto"/>
                <w:w w:val="79"/>
              </w:rPr>
              <w:t>7</w:t>
            </w:r>
          </w:p>
        </w:tc>
      </w:tr>
      <w:tr>
        <w:trPr>
          <w:trHeight w:val="216"/>
        </w:trPr>
        <w:tc>
          <w:tcPr>
            <w:tcW w:w="1780" w:type="dxa"/>
            <w:vAlign w:val="bottom"/>
            <w:shd w:val="clear" w:color="auto" w:fill="FEFEFE"/>
          </w:tcPr>
          <w:p>
            <w:pPr>
              <w:spacing w:after="0"/>
              <w:rPr>
                <w:sz w:val="18"/>
                <w:szCs w:val="18"/>
                <w:color w:val="auto"/>
              </w:rPr>
            </w:pPr>
          </w:p>
        </w:tc>
        <w:tc>
          <w:tcPr>
            <w:tcW w:w="3720" w:type="dxa"/>
            <w:vAlign w:val="bottom"/>
            <w:shd w:val="clear" w:color="auto" w:fill="FEFEFE"/>
          </w:tcPr>
          <w:p>
            <w:pPr>
              <w:spacing w:after="0"/>
              <w:rPr>
                <w:sz w:val="18"/>
                <w:szCs w:val="18"/>
                <w:color w:val="auto"/>
              </w:rPr>
            </w:pPr>
          </w:p>
        </w:tc>
        <w:tc>
          <w:tcPr>
            <w:tcW w:w="5100" w:type="dxa"/>
            <w:vAlign w:val="bottom"/>
            <w:shd w:val="clear" w:color="auto" w:fill="FEFEFE"/>
          </w:tcPr>
          <w:p>
            <w:pPr>
              <w:spacing w:after="0"/>
              <w:rPr>
                <w:sz w:val="18"/>
                <w:szCs w:val="18"/>
                <w:color w:val="auto"/>
              </w:rPr>
            </w:pPr>
          </w:p>
        </w:tc>
        <w:tc>
          <w:tcPr>
            <w:tcW w:w="640" w:type="dxa"/>
            <w:vAlign w:val="bottom"/>
            <w:shd w:val="clear" w:color="auto" w:fill="FEFEFE"/>
          </w:tcPr>
          <w:p>
            <w:pPr>
              <w:spacing w:after="0"/>
              <w:rPr>
                <w:sz w:val="18"/>
                <w:szCs w:val="18"/>
                <w:color w:val="auto"/>
              </w:rPr>
            </w:pPr>
          </w:p>
        </w:tc>
      </w:tr>
      <w:tr>
        <w:trPr>
          <w:trHeight w:val="216"/>
        </w:trPr>
        <w:tc>
          <w:tcPr>
            <w:tcW w:w="17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6.02.</w:t>
            </w:r>
          </w:p>
        </w:tc>
        <w:tc>
          <w:tcPr>
            <w:tcW w:w="3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New York Law to Govern.</w:t>
            </w:r>
          </w:p>
        </w:tc>
        <w:tc>
          <w:tcPr>
            <w:tcW w:w="5740" w:type="dxa"/>
            <w:vAlign w:val="bottom"/>
            <w:gridSpan w:val="2"/>
            <w:shd w:val="clear" w:color="auto" w:fill="CCEEFF"/>
          </w:tcPr>
          <w:p>
            <w:pPr>
              <w:jc w:val="center"/>
              <w:ind w:left="5010"/>
              <w:spacing w:after="0"/>
              <w:rPr>
                <w:sz w:val="20"/>
                <w:szCs w:val="20"/>
                <w:color w:val="auto"/>
              </w:rPr>
            </w:pPr>
            <w:r>
              <w:rPr>
                <w:rFonts w:ascii="Arial" w:cs="Arial" w:eastAsia="Arial" w:hAnsi="Arial"/>
                <w:sz w:val="18"/>
                <w:szCs w:val="18"/>
                <w:color w:val="auto"/>
                <w:w w:val="79"/>
              </w:rPr>
              <w:t>7</w:t>
            </w:r>
          </w:p>
        </w:tc>
      </w:tr>
      <w:tr>
        <w:trPr>
          <w:trHeight w:val="216"/>
        </w:trPr>
        <w:tc>
          <w:tcPr>
            <w:tcW w:w="1780" w:type="dxa"/>
            <w:vAlign w:val="bottom"/>
            <w:shd w:val="clear" w:color="auto" w:fill="FEFEFE"/>
          </w:tcPr>
          <w:p>
            <w:pPr>
              <w:spacing w:after="0"/>
              <w:rPr>
                <w:sz w:val="18"/>
                <w:szCs w:val="18"/>
                <w:color w:val="auto"/>
              </w:rPr>
            </w:pPr>
          </w:p>
        </w:tc>
        <w:tc>
          <w:tcPr>
            <w:tcW w:w="3720" w:type="dxa"/>
            <w:vAlign w:val="bottom"/>
            <w:shd w:val="clear" w:color="auto" w:fill="FEFEFE"/>
          </w:tcPr>
          <w:p>
            <w:pPr>
              <w:spacing w:after="0"/>
              <w:rPr>
                <w:sz w:val="18"/>
                <w:szCs w:val="18"/>
                <w:color w:val="auto"/>
              </w:rPr>
            </w:pPr>
          </w:p>
        </w:tc>
        <w:tc>
          <w:tcPr>
            <w:tcW w:w="5100" w:type="dxa"/>
            <w:vAlign w:val="bottom"/>
            <w:shd w:val="clear" w:color="auto" w:fill="FEFEFE"/>
          </w:tcPr>
          <w:p>
            <w:pPr>
              <w:spacing w:after="0"/>
              <w:rPr>
                <w:sz w:val="18"/>
                <w:szCs w:val="18"/>
                <w:color w:val="auto"/>
              </w:rPr>
            </w:pPr>
          </w:p>
        </w:tc>
        <w:tc>
          <w:tcPr>
            <w:tcW w:w="640" w:type="dxa"/>
            <w:vAlign w:val="bottom"/>
            <w:shd w:val="clear" w:color="auto" w:fill="FEFEFE"/>
          </w:tcPr>
          <w:p>
            <w:pPr>
              <w:spacing w:after="0"/>
              <w:rPr>
                <w:sz w:val="18"/>
                <w:szCs w:val="18"/>
                <w:color w:val="auto"/>
              </w:rPr>
            </w:pPr>
          </w:p>
        </w:tc>
      </w:tr>
      <w:tr>
        <w:trPr>
          <w:trHeight w:val="216"/>
        </w:trPr>
        <w:tc>
          <w:tcPr>
            <w:tcW w:w="17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6.03.</w:t>
            </w:r>
          </w:p>
        </w:tc>
        <w:tc>
          <w:tcPr>
            <w:tcW w:w="3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Counterparts.</w:t>
            </w:r>
          </w:p>
        </w:tc>
        <w:tc>
          <w:tcPr>
            <w:tcW w:w="5740" w:type="dxa"/>
            <w:vAlign w:val="bottom"/>
            <w:gridSpan w:val="2"/>
            <w:shd w:val="clear" w:color="auto" w:fill="CCEEFF"/>
          </w:tcPr>
          <w:p>
            <w:pPr>
              <w:jc w:val="center"/>
              <w:ind w:left="5010"/>
              <w:spacing w:after="0"/>
              <w:rPr>
                <w:sz w:val="20"/>
                <w:szCs w:val="20"/>
                <w:color w:val="auto"/>
              </w:rPr>
            </w:pPr>
            <w:r>
              <w:rPr>
                <w:rFonts w:ascii="Arial" w:cs="Arial" w:eastAsia="Arial" w:hAnsi="Arial"/>
                <w:sz w:val="18"/>
                <w:szCs w:val="18"/>
                <w:color w:val="auto"/>
                <w:w w:val="79"/>
              </w:rPr>
              <w:t>7</w:t>
            </w:r>
          </w:p>
        </w:tc>
      </w:tr>
      <w:tr>
        <w:trPr>
          <w:trHeight w:val="216"/>
        </w:trPr>
        <w:tc>
          <w:tcPr>
            <w:tcW w:w="1780" w:type="dxa"/>
            <w:vAlign w:val="bottom"/>
            <w:shd w:val="clear" w:color="auto" w:fill="FEFEFE"/>
          </w:tcPr>
          <w:p>
            <w:pPr>
              <w:spacing w:after="0"/>
              <w:rPr>
                <w:sz w:val="18"/>
                <w:szCs w:val="18"/>
                <w:color w:val="auto"/>
              </w:rPr>
            </w:pPr>
          </w:p>
        </w:tc>
        <w:tc>
          <w:tcPr>
            <w:tcW w:w="3720" w:type="dxa"/>
            <w:vAlign w:val="bottom"/>
            <w:shd w:val="clear" w:color="auto" w:fill="FEFEFE"/>
          </w:tcPr>
          <w:p>
            <w:pPr>
              <w:spacing w:after="0"/>
              <w:rPr>
                <w:sz w:val="18"/>
                <w:szCs w:val="18"/>
                <w:color w:val="auto"/>
              </w:rPr>
            </w:pPr>
          </w:p>
        </w:tc>
        <w:tc>
          <w:tcPr>
            <w:tcW w:w="5100" w:type="dxa"/>
            <w:vAlign w:val="bottom"/>
            <w:shd w:val="clear" w:color="auto" w:fill="FEFEFE"/>
          </w:tcPr>
          <w:p>
            <w:pPr>
              <w:spacing w:after="0"/>
              <w:rPr>
                <w:sz w:val="18"/>
                <w:szCs w:val="18"/>
                <w:color w:val="auto"/>
              </w:rPr>
            </w:pPr>
          </w:p>
        </w:tc>
        <w:tc>
          <w:tcPr>
            <w:tcW w:w="640" w:type="dxa"/>
            <w:vAlign w:val="bottom"/>
            <w:shd w:val="clear" w:color="auto" w:fill="FEFEFE"/>
          </w:tcPr>
          <w:p>
            <w:pPr>
              <w:spacing w:after="0"/>
              <w:rPr>
                <w:sz w:val="18"/>
                <w:szCs w:val="18"/>
                <w:color w:val="auto"/>
              </w:rPr>
            </w:pPr>
          </w:p>
        </w:tc>
      </w:tr>
      <w:tr>
        <w:trPr>
          <w:trHeight w:val="216"/>
        </w:trPr>
        <w:tc>
          <w:tcPr>
            <w:tcW w:w="17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6.04.</w:t>
            </w:r>
          </w:p>
        </w:tc>
        <w:tc>
          <w:tcPr>
            <w:tcW w:w="3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Severability.</w:t>
            </w:r>
          </w:p>
        </w:tc>
        <w:tc>
          <w:tcPr>
            <w:tcW w:w="5740" w:type="dxa"/>
            <w:vAlign w:val="bottom"/>
            <w:gridSpan w:val="2"/>
            <w:shd w:val="clear" w:color="auto" w:fill="CCEEFF"/>
          </w:tcPr>
          <w:p>
            <w:pPr>
              <w:jc w:val="center"/>
              <w:ind w:left="5010"/>
              <w:spacing w:after="0"/>
              <w:rPr>
                <w:sz w:val="20"/>
                <w:szCs w:val="20"/>
                <w:color w:val="auto"/>
              </w:rPr>
            </w:pPr>
            <w:r>
              <w:rPr>
                <w:rFonts w:ascii="Arial" w:cs="Arial" w:eastAsia="Arial" w:hAnsi="Arial"/>
                <w:sz w:val="18"/>
                <w:szCs w:val="18"/>
                <w:color w:val="auto"/>
                <w:w w:val="79"/>
              </w:rPr>
              <w:t>7</w:t>
            </w:r>
          </w:p>
        </w:tc>
      </w:tr>
      <w:tr>
        <w:trPr>
          <w:trHeight w:val="216"/>
        </w:trPr>
        <w:tc>
          <w:tcPr>
            <w:tcW w:w="1780" w:type="dxa"/>
            <w:vAlign w:val="bottom"/>
            <w:shd w:val="clear" w:color="auto" w:fill="FEFEFE"/>
          </w:tcPr>
          <w:p>
            <w:pPr>
              <w:spacing w:after="0"/>
              <w:rPr>
                <w:sz w:val="18"/>
                <w:szCs w:val="18"/>
                <w:color w:val="auto"/>
              </w:rPr>
            </w:pPr>
          </w:p>
        </w:tc>
        <w:tc>
          <w:tcPr>
            <w:tcW w:w="3720" w:type="dxa"/>
            <w:vAlign w:val="bottom"/>
            <w:shd w:val="clear" w:color="auto" w:fill="FEFEFE"/>
          </w:tcPr>
          <w:p>
            <w:pPr>
              <w:spacing w:after="0"/>
              <w:rPr>
                <w:sz w:val="18"/>
                <w:szCs w:val="18"/>
                <w:color w:val="auto"/>
              </w:rPr>
            </w:pPr>
          </w:p>
        </w:tc>
        <w:tc>
          <w:tcPr>
            <w:tcW w:w="5100" w:type="dxa"/>
            <w:vAlign w:val="bottom"/>
            <w:shd w:val="clear" w:color="auto" w:fill="FEFEFE"/>
          </w:tcPr>
          <w:p>
            <w:pPr>
              <w:spacing w:after="0"/>
              <w:rPr>
                <w:sz w:val="18"/>
                <w:szCs w:val="18"/>
                <w:color w:val="auto"/>
              </w:rPr>
            </w:pPr>
          </w:p>
        </w:tc>
        <w:tc>
          <w:tcPr>
            <w:tcW w:w="640" w:type="dxa"/>
            <w:vAlign w:val="bottom"/>
            <w:shd w:val="clear" w:color="auto" w:fill="FEFEFE"/>
          </w:tcPr>
          <w:p>
            <w:pPr>
              <w:spacing w:after="0"/>
              <w:rPr>
                <w:sz w:val="18"/>
                <w:szCs w:val="18"/>
                <w:color w:val="auto"/>
              </w:rPr>
            </w:pPr>
          </w:p>
        </w:tc>
      </w:tr>
      <w:tr>
        <w:trPr>
          <w:trHeight w:val="216"/>
        </w:trPr>
        <w:tc>
          <w:tcPr>
            <w:tcW w:w="17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6.05.</w:t>
            </w:r>
          </w:p>
        </w:tc>
        <w:tc>
          <w:tcPr>
            <w:tcW w:w="3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Ratification.</w:t>
            </w:r>
          </w:p>
        </w:tc>
        <w:tc>
          <w:tcPr>
            <w:tcW w:w="5740" w:type="dxa"/>
            <w:vAlign w:val="bottom"/>
            <w:gridSpan w:val="2"/>
            <w:shd w:val="clear" w:color="auto" w:fill="CCEEFF"/>
          </w:tcPr>
          <w:p>
            <w:pPr>
              <w:jc w:val="center"/>
              <w:ind w:left="5010"/>
              <w:spacing w:after="0"/>
              <w:rPr>
                <w:sz w:val="20"/>
                <w:szCs w:val="20"/>
                <w:color w:val="auto"/>
              </w:rPr>
            </w:pPr>
            <w:r>
              <w:rPr>
                <w:rFonts w:ascii="Arial" w:cs="Arial" w:eastAsia="Arial" w:hAnsi="Arial"/>
                <w:sz w:val="18"/>
                <w:szCs w:val="18"/>
                <w:color w:val="auto"/>
                <w:w w:val="79"/>
              </w:rPr>
              <w:t>7</w:t>
            </w:r>
          </w:p>
        </w:tc>
      </w:tr>
      <w:tr>
        <w:trPr>
          <w:trHeight w:val="216"/>
        </w:trPr>
        <w:tc>
          <w:tcPr>
            <w:tcW w:w="1780" w:type="dxa"/>
            <w:vAlign w:val="bottom"/>
            <w:shd w:val="clear" w:color="auto" w:fill="FEFEFE"/>
          </w:tcPr>
          <w:p>
            <w:pPr>
              <w:spacing w:after="0"/>
              <w:rPr>
                <w:sz w:val="18"/>
                <w:szCs w:val="18"/>
                <w:color w:val="auto"/>
              </w:rPr>
            </w:pPr>
          </w:p>
        </w:tc>
        <w:tc>
          <w:tcPr>
            <w:tcW w:w="3720" w:type="dxa"/>
            <w:vAlign w:val="bottom"/>
            <w:shd w:val="clear" w:color="auto" w:fill="FEFEFE"/>
          </w:tcPr>
          <w:p>
            <w:pPr>
              <w:spacing w:after="0"/>
              <w:rPr>
                <w:sz w:val="18"/>
                <w:szCs w:val="18"/>
                <w:color w:val="auto"/>
              </w:rPr>
            </w:pPr>
          </w:p>
        </w:tc>
        <w:tc>
          <w:tcPr>
            <w:tcW w:w="5100" w:type="dxa"/>
            <w:vAlign w:val="bottom"/>
            <w:shd w:val="clear" w:color="auto" w:fill="FEFEFE"/>
          </w:tcPr>
          <w:p>
            <w:pPr>
              <w:spacing w:after="0"/>
              <w:rPr>
                <w:sz w:val="18"/>
                <w:szCs w:val="18"/>
                <w:color w:val="auto"/>
              </w:rPr>
            </w:pPr>
          </w:p>
        </w:tc>
        <w:tc>
          <w:tcPr>
            <w:tcW w:w="640" w:type="dxa"/>
            <w:vAlign w:val="bottom"/>
            <w:shd w:val="clear" w:color="auto" w:fill="FEFEFE"/>
          </w:tcPr>
          <w:p>
            <w:pPr>
              <w:spacing w:after="0"/>
              <w:rPr>
                <w:sz w:val="18"/>
                <w:szCs w:val="18"/>
                <w:color w:val="auto"/>
              </w:rPr>
            </w:pPr>
          </w:p>
        </w:tc>
      </w:tr>
      <w:tr>
        <w:trPr>
          <w:trHeight w:val="216"/>
        </w:trPr>
        <w:tc>
          <w:tcPr>
            <w:tcW w:w="17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6.06.</w:t>
            </w:r>
          </w:p>
        </w:tc>
        <w:tc>
          <w:tcPr>
            <w:tcW w:w="3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Effectiveness.</w:t>
            </w:r>
          </w:p>
        </w:tc>
        <w:tc>
          <w:tcPr>
            <w:tcW w:w="5740" w:type="dxa"/>
            <w:vAlign w:val="bottom"/>
            <w:gridSpan w:val="2"/>
            <w:shd w:val="clear" w:color="auto" w:fill="CCEEFF"/>
          </w:tcPr>
          <w:p>
            <w:pPr>
              <w:jc w:val="center"/>
              <w:ind w:left="5010"/>
              <w:spacing w:after="0"/>
              <w:rPr>
                <w:sz w:val="20"/>
                <w:szCs w:val="20"/>
                <w:color w:val="auto"/>
              </w:rPr>
            </w:pPr>
            <w:r>
              <w:rPr>
                <w:rFonts w:ascii="Arial" w:cs="Arial" w:eastAsia="Arial" w:hAnsi="Arial"/>
                <w:sz w:val="18"/>
                <w:szCs w:val="18"/>
                <w:color w:val="auto"/>
                <w:w w:val="79"/>
              </w:rPr>
              <w:t>7</w:t>
            </w:r>
          </w:p>
        </w:tc>
      </w:tr>
      <w:tr>
        <w:trPr>
          <w:trHeight w:val="216"/>
        </w:trPr>
        <w:tc>
          <w:tcPr>
            <w:tcW w:w="17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7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6.07.</w:t>
            </w:r>
          </w:p>
        </w:tc>
        <w:tc>
          <w:tcPr>
            <w:tcW w:w="3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Trustee Makes No Representation.</w:t>
            </w:r>
          </w:p>
        </w:tc>
        <w:tc>
          <w:tcPr>
            <w:tcW w:w="5740" w:type="dxa"/>
            <w:vAlign w:val="bottom"/>
            <w:gridSpan w:val="2"/>
            <w:shd w:val="clear" w:color="auto" w:fill="CCEEFF"/>
          </w:tcPr>
          <w:p>
            <w:pPr>
              <w:jc w:val="center"/>
              <w:ind w:left="5010"/>
              <w:spacing w:after="0"/>
              <w:rPr>
                <w:sz w:val="20"/>
                <w:szCs w:val="20"/>
                <w:color w:val="auto"/>
              </w:rPr>
            </w:pPr>
            <w:r>
              <w:rPr>
                <w:rFonts w:ascii="Arial" w:cs="Arial" w:eastAsia="Arial" w:hAnsi="Arial"/>
                <w:sz w:val="18"/>
                <w:szCs w:val="18"/>
                <w:color w:val="auto"/>
                <w:w w:val="79"/>
              </w:rPr>
              <w:t>8</w:t>
            </w:r>
          </w:p>
        </w:tc>
      </w:tr>
      <w:tr>
        <w:trPr>
          <w:trHeight w:val="216"/>
        </w:trPr>
        <w:tc>
          <w:tcPr>
            <w:tcW w:w="17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EXHIBIT A</w:t>
            </w:r>
          </w:p>
        </w:tc>
        <w:tc>
          <w:tcPr>
            <w:tcW w:w="3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Form of 8.625% Senior Note due 2026</w:t>
            </w:r>
          </w:p>
        </w:tc>
        <w:tc>
          <w:tcPr>
            <w:tcW w:w="5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439"/>
        </w:trPr>
        <w:tc>
          <w:tcPr>
            <w:tcW w:w="178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5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i</w:t>
            </w:r>
          </w:p>
        </w:tc>
      </w:tr>
    </w:tbl>
    <w:p>
      <w:pPr>
        <w:sectPr>
          <w:pgSz w:w="11900" w:h="16838" w:orient="portrait"/>
          <w:cols w:equalWidth="0" w:num="1">
            <w:col w:w="11240"/>
          </w:cols>
          <w:pgMar w:left="320" w:top="675" w:right="3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FIRST SUPPLEMENTAL INDENTURE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FIRST SUPPLEMENTAL INDENTURE (this “</w:t>
      </w:r>
      <w:r>
        <w:rPr>
          <w:rFonts w:ascii="Arial" w:cs="Arial" w:eastAsia="Arial" w:hAnsi="Arial"/>
          <w:sz w:val="18"/>
          <w:szCs w:val="18"/>
          <w:u w:val="single" w:color="auto"/>
          <w:color w:val="auto"/>
        </w:rPr>
        <w:t>First Supplemental Indenture</w:t>
      </w:r>
      <w:r>
        <w:rPr>
          <w:rFonts w:ascii="Arial" w:cs="Arial" w:eastAsia="Arial" w:hAnsi="Arial"/>
          <w:sz w:val="18"/>
          <w:szCs w:val="18"/>
          <w:color w:val="auto"/>
        </w:rPr>
        <w:t>”), dated as of April 20, 2021, between Harrow Health,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U.S. Bank National Association, as trustee (the “</w:t>
      </w:r>
      <w:r>
        <w:rPr>
          <w:rFonts w:ascii="Arial" w:cs="Arial" w:eastAsia="Arial" w:hAnsi="Arial"/>
          <w:sz w:val="18"/>
          <w:szCs w:val="18"/>
          <w:u w:val="single" w:color="auto"/>
          <w:color w:val="auto"/>
        </w:rPr>
        <w:t>Trustee</w:t>
      </w:r>
      <w:r>
        <w:rPr>
          <w:rFonts w:ascii="Arial" w:cs="Arial" w:eastAsia="Arial" w:hAnsi="Arial"/>
          <w:sz w:val="18"/>
          <w:szCs w:val="18"/>
          <w:color w:val="auto"/>
        </w:rPr>
        <w: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 OF THE COMPANY</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Trustee executed and delivered an Indenture, dated as of April 20, 2021 (the “</w:t>
      </w:r>
      <w:r>
        <w:rPr>
          <w:rFonts w:ascii="Arial" w:cs="Arial" w:eastAsia="Arial" w:hAnsi="Arial"/>
          <w:sz w:val="18"/>
          <w:szCs w:val="18"/>
          <w:u w:val="single" w:color="auto"/>
          <w:color w:val="auto"/>
        </w:rPr>
        <w:t>Base Indenture,</w:t>
      </w:r>
      <w:r>
        <w:rPr>
          <w:rFonts w:ascii="Arial" w:cs="Arial" w:eastAsia="Arial" w:hAnsi="Arial"/>
          <w:sz w:val="18"/>
          <w:szCs w:val="18"/>
          <w:color w:val="auto"/>
        </w:rPr>
        <w:t>” and, together with this</w:t>
      </w:r>
      <w:r>
        <w:rPr>
          <w:rFonts w:ascii="Arial" w:cs="Arial" w:eastAsia="Arial" w:hAnsi="Arial"/>
          <w:sz w:val="18"/>
          <w:szCs w:val="18"/>
          <w:b w:val="1"/>
          <w:bCs w:val="1"/>
          <w:color w:val="auto"/>
        </w:rPr>
        <w:t xml:space="preserve"> </w:t>
      </w:r>
      <w:r>
        <w:rPr>
          <w:rFonts w:ascii="Arial" w:cs="Arial" w:eastAsia="Arial" w:hAnsi="Arial"/>
          <w:sz w:val="18"/>
          <w:szCs w:val="18"/>
          <w:color w:val="auto"/>
        </w:rPr>
        <w:t>First Supplemental Indenture, the “</w:t>
      </w:r>
      <w:r>
        <w:rPr>
          <w:rFonts w:ascii="Arial" w:cs="Arial" w:eastAsia="Arial" w:hAnsi="Arial"/>
          <w:sz w:val="18"/>
          <w:szCs w:val="18"/>
          <w:u w:val="single" w:color="auto"/>
          <w:color w:val="auto"/>
        </w:rPr>
        <w:t>Indenture</w:t>
      </w:r>
      <w:r>
        <w:rPr>
          <w:rFonts w:ascii="Arial" w:cs="Arial" w:eastAsia="Arial" w:hAnsi="Arial"/>
          <w:sz w:val="18"/>
          <w:szCs w:val="18"/>
          <w:color w:val="auto"/>
        </w:rPr>
        <w:t>”) to provide for the issuance by the Company from time to time of Securities to be issued in one or more series as provided in the Indenture;</w:t>
      </w:r>
    </w:p>
    <w:p>
      <w:pPr>
        <w:spacing w:after="0" w:line="17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Section 9.1 of the Base Indenture provides, among other things, that the Company and the Trustee may enter into indentures supplemental to</w:t>
      </w:r>
      <w:r>
        <w:rPr>
          <w:rFonts w:ascii="Arial" w:cs="Arial" w:eastAsia="Arial" w:hAnsi="Arial"/>
          <w:sz w:val="18"/>
          <w:szCs w:val="18"/>
          <w:b w:val="1"/>
          <w:bCs w:val="1"/>
          <w:color w:val="auto"/>
        </w:rPr>
        <w:t xml:space="preserve"> </w:t>
      </w:r>
      <w:r>
        <w:rPr>
          <w:rFonts w:ascii="Arial" w:cs="Arial" w:eastAsia="Arial" w:hAnsi="Arial"/>
          <w:sz w:val="18"/>
          <w:szCs w:val="18"/>
          <w:color w:val="auto"/>
        </w:rPr>
        <w:t>the Base Indenture, without the consent of any Holders of Securities, to establish the form of any Security, as permitted by Section 2.1 of the Base Indenture, and to provide for the issuance of the Notes (as defined below), as permitted by Section 3.1 of the Base Indenture, and to set forth the terms thereof;</w:t>
      </w:r>
    </w:p>
    <w:p>
      <w:pPr>
        <w:spacing w:after="0" w:line="180"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the Company desires to execute this First Supplemental Indenture, pursuant to Section 2.1 of the Base Indenture, to establish the form and,</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to Section 3.1 of the Base Indenture, to provide for the issuance, of a series of its senior notes designated as its 8.625% Senior Notes due 2026 (the “</w:t>
      </w:r>
      <w:r>
        <w:rPr>
          <w:rFonts w:ascii="Arial" w:cs="Arial" w:eastAsia="Arial" w:hAnsi="Arial"/>
          <w:sz w:val="16"/>
          <w:szCs w:val="16"/>
          <w:u w:val="single" w:color="auto"/>
          <w:color w:val="auto"/>
        </w:rPr>
        <w:t>Notes</w:t>
      </w:r>
      <w:r>
        <w:rPr>
          <w:rFonts w:ascii="Arial" w:cs="Arial" w:eastAsia="Arial" w:hAnsi="Arial"/>
          <w:sz w:val="16"/>
          <w:szCs w:val="16"/>
          <w:color w:val="auto"/>
        </w:rPr>
        <w:t>”), in an initial aggregate principal amount of $50,000,000. The Notes are a series of Securities as referred to in Section 3.1 of the Base Indenture.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Company has requested and hereby requests that the Trustee execute and deliver this First Supplemental Indenture;</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execution and delivery of this First Supplemental Indenture has been duly authorized by the Company and all things necessary have been</w:t>
      </w:r>
      <w:r>
        <w:rPr>
          <w:rFonts w:ascii="Arial" w:cs="Arial" w:eastAsia="Arial" w:hAnsi="Arial"/>
          <w:sz w:val="18"/>
          <w:szCs w:val="18"/>
          <w:b w:val="1"/>
          <w:bCs w:val="1"/>
          <w:color w:val="auto"/>
        </w:rPr>
        <w:t xml:space="preserve"> </w:t>
      </w:r>
      <w:r>
        <w:rPr>
          <w:rFonts w:ascii="Arial" w:cs="Arial" w:eastAsia="Arial" w:hAnsi="Arial"/>
          <w:sz w:val="18"/>
          <w:szCs w:val="18"/>
          <w:color w:val="auto"/>
        </w:rPr>
        <w:t>done by the Company to make this First Supplemental Indenture, when executed and delivered by the Company, a valid and binding supplement to the Indenture and agreement of the Company;</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all things necessary have been done by the Company to make the Notes, when executed by the Company and authenticated and delivered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Trustee in accordance with the provisions of the Indenture, the valid and binding obligations of the Company; and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all conditions precedent provided for in the Indenture relating to this First Supplemental Indenture have been complied with.</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 xml:space="preserve">NOW, THEREFORE, </w:t>
      </w:r>
      <w:r>
        <w:rPr>
          <w:rFonts w:ascii="Arial" w:cs="Arial" w:eastAsia="Arial" w:hAnsi="Arial"/>
          <w:sz w:val="17"/>
          <w:szCs w:val="17"/>
          <w:color w:val="auto"/>
        </w:rPr>
        <w:t>in consideration of the premises stated herein and the purchase of the Notes by the Holders thereof, the Company and the Trustee</w:t>
      </w:r>
      <w:r>
        <w:rPr>
          <w:rFonts w:ascii="Arial" w:cs="Arial" w:eastAsia="Arial" w:hAnsi="Arial"/>
          <w:sz w:val="17"/>
          <w:szCs w:val="17"/>
          <w:b w:val="1"/>
          <w:bCs w:val="1"/>
          <w:color w:val="auto"/>
        </w:rPr>
        <w:t xml:space="preserve"> </w:t>
      </w:r>
      <w:r>
        <w:rPr>
          <w:rFonts w:ascii="Arial" w:cs="Arial" w:eastAsia="Arial" w:hAnsi="Arial"/>
          <w:sz w:val="17"/>
          <w:szCs w:val="17"/>
          <w:color w:val="auto"/>
        </w:rPr>
        <w:t>mutually covenant and agree for the equal and proportionate benefit of the respective Holders from time to time of the Notes as follows: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APPLICATION OF FIRST SUPPLEMENTAL INDENTURE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Application of First Supplemental Indenture</w:t>
      </w:r>
      <w:r>
        <w:rPr>
          <w:rFonts w:ascii="Arial" w:cs="Arial" w:eastAsia="Arial" w:hAnsi="Arial"/>
          <w:sz w:val="18"/>
          <w:szCs w:val="18"/>
          <w:color w:val="auto"/>
        </w:rPr>
        <w:t>.</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Notwithstanding any other provision of this First Supplemental Indenture, all provisions of this First Supplemental Indenture are expressly and solely for the benefit of the Holders of the Notes, and any such provisions shall not be deemed to apply to any other Securities issued under the Base Indenture and shall not be deemed to amend, modify or supplement the Base Indenture for any purpose other than with respect to the Notes. Unless otherwise expressly specified, references in this First Supplemental Indenture to specific Article numbers or Section numbers refer to Articles and Sections contained in this First Supplemental Indenture and not the Base Indenture or any other document. All Initial Notes and Additional Notes, if any, shall be treated as a single class for all purposes of the Indenture, including waivers, amendments, redemptions and offers to purchase.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ARTICLE 2</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Certain Terms Defined in the Base Indenture</w:t>
      </w:r>
      <w:r>
        <w:rPr>
          <w:rFonts w:ascii="Arial" w:cs="Arial" w:eastAsia="Arial" w:hAnsi="Arial"/>
          <w:sz w:val="18"/>
          <w:szCs w:val="18"/>
          <w:color w:val="auto"/>
        </w:rPr>
        <w: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purposes of this First Supplemental Indenture, all capitalized terms used but not defined herein shall have the meanings ascribed to such terms in the Base Indenture.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2.02. </w:t>
      </w:r>
      <w:r>
        <w:rPr>
          <w:rFonts w:ascii="Arial" w:cs="Arial" w:eastAsia="Arial" w:hAnsi="Arial"/>
          <w:sz w:val="17"/>
          <w:szCs w:val="17"/>
          <w:u w:val="single" w:color="auto"/>
          <w:color w:val="auto"/>
        </w:rPr>
        <w:t>Definitions</w:t>
      </w:r>
      <w:r>
        <w:rPr>
          <w:rFonts w:ascii="Arial" w:cs="Arial" w:eastAsia="Arial" w:hAnsi="Arial"/>
          <w:sz w:val="17"/>
          <w:szCs w:val="17"/>
          <w:color w:val="auto"/>
        </w:rPr>
        <w:t>. (a) For the benefit of the Holders of the Notes, the following terms shall have the meanings set forth in this Section 2.02:</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Notes</w:t>
      </w:r>
      <w:r>
        <w:rPr>
          <w:rFonts w:ascii="Arial" w:cs="Arial" w:eastAsia="Arial" w:hAnsi="Arial"/>
          <w:sz w:val="18"/>
          <w:szCs w:val="18"/>
          <w:color w:val="auto"/>
        </w:rPr>
        <w:t>” has the meaning specified in Section 3.02(b) of this First Supplemental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Depositary</w:t>
      </w:r>
      <w:r>
        <w:rPr>
          <w:rFonts w:ascii="Arial" w:cs="Arial" w:eastAsia="Arial" w:hAnsi="Arial"/>
          <w:sz w:val="18"/>
          <w:szCs w:val="18"/>
          <w:color w:val="auto"/>
        </w:rPr>
        <w:t>” has the meaning specified in Section 3.01(c) of this First Supplemental Indenture.</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Electronic Means</w:t>
      </w:r>
      <w:r>
        <w:rPr>
          <w:rFonts w:ascii="Arial" w:cs="Arial" w:eastAsia="Arial" w:hAnsi="Arial"/>
          <w:sz w:val="18"/>
          <w:szCs w:val="18"/>
          <w:color w:val="auto"/>
        </w:rPr>
        <w:t>” shall mean the following communications methods: e-mail, facsimile transmission, secure electronic transmission containing applicable authorization codes, passwords and/or authentication keys issued by the Trustee, or another method or system specified by the Trustee as available for use in connection with its services hereunder.</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Global Notes</w:t>
      </w:r>
      <w:r>
        <w:rPr>
          <w:rFonts w:ascii="Arial" w:cs="Arial" w:eastAsia="Arial" w:hAnsi="Arial"/>
          <w:sz w:val="17"/>
          <w:szCs w:val="17"/>
          <w:color w:val="auto"/>
        </w:rPr>
        <w:t>” means the Notes in the form of Global Securities issued to the Depositary or its nominee, substantially in the form of Exhibit A.</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Notes</w:t>
      </w:r>
      <w:r>
        <w:rPr>
          <w:rFonts w:ascii="Arial" w:cs="Arial" w:eastAsia="Arial" w:hAnsi="Arial"/>
          <w:sz w:val="18"/>
          <w:szCs w:val="18"/>
          <w:color w:val="auto"/>
        </w:rPr>
        <w:t>” has the meaning specified in Section 3.02(b) of this First Supplemental Indenture.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Make-Whole Amount</w:t>
      </w:r>
      <w:r>
        <w:rPr>
          <w:rFonts w:ascii="Arial" w:cs="Arial" w:eastAsia="Arial" w:hAnsi="Arial"/>
          <w:sz w:val="18"/>
          <w:szCs w:val="18"/>
          <w:color w:val="auto"/>
        </w:rPr>
        <w:t>” means, in connection with any optional redemption of any Note, the excess, if any, of (i) the sum of the present values, as of the date of such redemption, of the remaining scheduled payments of principal of, and interest (exclusive of interest accrued to, but excluding, the date of redemption) on, such Note, assuming such Note matured on, and that accrued and unpaid interest on such Note was payable through, the Notes Par Call Date, determined by discounting, on a semi-annual basis (assuming a 360-day year consisting of twelve 30-day months), such principal and interest at the Reinvestment Rate (determined on the third Business Day preceding the date of redemption) over (ii) the aggregate principal amount of such Notes being redeemed.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Notes</w:t>
      </w:r>
      <w:r>
        <w:rPr>
          <w:rFonts w:ascii="Arial" w:cs="Arial" w:eastAsia="Arial" w:hAnsi="Arial"/>
          <w:sz w:val="18"/>
          <w:szCs w:val="18"/>
          <w:color w:val="auto"/>
        </w:rPr>
        <w:t>” has the meaning specified in the recitals of this First Supplemental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Notes Par Call Date</w:t>
      </w:r>
      <w:r>
        <w:rPr>
          <w:rFonts w:ascii="Arial" w:cs="Arial" w:eastAsia="Arial" w:hAnsi="Arial"/>
          <w:sz w:val="18"/>
          <w:szCs w:val="18"/>
          <w:color w:val="auto"/>
        </w:rPr>
        <w:t>” has the meaning specified in Section 3.03(b) of this First Supplemental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has the meaning specified in Section 6.09(a) of this First Supplemental Indenture.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Reinvestment Rate</w:t>
      </w:r>
      <w:r>
        <w:rPr>
          <w:rFonts w:ascii="Arial" w:cs="Arial" w:eastAsia="Arial" w:hAnsi="Arial"/>
          <w:sz w:val="18"/>
          <w:szCs w:val="18"/>
          <w:color w:val="auto"/>
        </w:rPr>
        <w:t>” means, 0.500%, or 50 basis points, plus the arithmetic mean (rounded to the nearest one-hundredth of one percent) of the yields displayed for each day in the preceding calendar week published in the most recent Statistical Release under the caption “Treasury constant maturities” for the maturity (rounded to the nearest month) corresponding to the remaining life to maturity of the Notes (assuming that the Notes matured on the Notes Par Call Date) as of the Redemption Date. If no maturity exactly corresponds to such remaining life to maturity, yields for the two published maturities most closely corresponding to such remaining life to maturity shall be calculated pursuant to the immediately preceding sentence and the Reinvestment Rate shall be interpolated or extrapolated from such yields on a straight-line basis, rounding in each of such relevant periods to the nearest month. For the purpose of calculating the Reinvestment Rate, the most recent Statistical Release published prior to the date of determination of the Reinvestment Rate shall be used.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has the meaning specified in Section 6.09(a) of this First Supplemental Indenture.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Statistical Release</w:t>
      </w:r>
      <w:r>
        <w:rPr>
          <w:rFonts w:ascii="Arial" w:cs="Arial" w:eastAsia="Arial" w:hAnsi="Arial"/>
          <w:sz w:val="18"/>
          <w:szCs w:val="18"/>
          <w:color w:val="auto"/>
        </w:rPr>
        <w:t>” means that statistical release designated “H.15” or any successor publication that is published daily by the Federal Reserve System and that establishes yields on actively traded United States Treasury securities adjusted to constant maturities, or, if such statistical release (or a successor publication) is not published at the time of any determination under the Indenture; as supplemented by the First Supplemental Indenture; then such other reasonably comparable index that shall be designated by us.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ARTICLE 3</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AND TERMS OF THE NOTES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Form and Dating</w:t>
      </w:r>
      <w:r>
        <w:rPr>
          <w:rFonts w:ascii="Arial" w:cs="Arial" w:eastAsia="Arial" w:hAnsi="Arial"/>
          <w:sz w:val="18"/>
          <w:szCs w:val="18"/>
          <w:color w:val="auto"/>
        </w:rPr>
        <w:t>.</w:t>
      </w:r>
    </w:p>
    <w:p>
      <w:pPr>
        <w:spacing w:after="0" w:line="225" w:lineRule="exact"/>
        <w:rPr>
          <w:sz w:val="20"/>
          <w:szCs w:val="20"/>
          <w:color w:val="auto"/>
        </w:rPr>
      </w:pPr>
    </w:p>
    <w:p>
      <w:pPr>
        <w:jc w:val="both"/>
        <w:ind w:firstLine="8"/>
        <w:spacing w:after="0" w:line="259" w:lineRule="auto"/>
        <w:tabs>
          <w:tab w:leader="none" w:pos="189"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Notes and the Trustee’s certificate of authentication shall be substantially in the form of Exhibit A attached hereto. The Notes shall be executed on behalf of the Company by an officer of the Company. The Notes may have notations, legends or endorsements required by law, stock exchange rules or usage. Each Note shall be dated the date of its authentication. The Notes and any beneficial interest in the Notes shall be in minimum denominations of $25 and integral multiples of $25 in excess thereof.</w:t>
      </w:r>
    </w:p>
    <w:p>
      <w:pPr>
        <w:spacing w:after="0" w:line="186" w:lineRule="exact"/>
        <w:rPr>
          <w:rFonts w:ascii="Arial" w:cs="Arial" w:eastAsia="Arial" w:hAnsi="Arial"/>
          <w:sz w:val="18"/>
          <w:szCs w:val="18"/>
          <w:color w:val="auto"/>
        </w:rPr>
      </w:pPr>
    </w:p>
    <w:p>
      <w:pPr>
        <w:jc w:val="both"/>
        <w:ind w:firstLine="8"/>
        <w:spacing w:after="0" w:line="263" w:lineRule="auto"/>
        <w:tabs>
          <w:tab w:leader="none" w:pos="215"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terms and notations contained in the Notes shall constitute, and are hereby expressly made, a part of the Indenture, and the Company and the Trustee, by their execution and delivery of this First Supplemental Indenture; as supplemented by the First Supplemental Indenture; expressly agree to such terms and provisions and to be bound thereby.</w:t>
      </w:r>
    </w:p>
    <w:p>
      <w:pPr>
        <w:spacing w:after="0" w:line="183" w:lineRule="exact"/>
        <w:rPr>
          <w:rFonts w:ascii="Arial" w:cs="Arial" w:eastAsia="Arial" w:hAnsi="Arial"/>
          <w:sz w:val="18"/>
          <w:szCs w:val="18"/>
          <w:color w:val="auto"/>
        </w:rPr>
      </w:pPr>
    </w:p>
    <w:p>
      <w:pPr>
        <w:jc w:val="both"/>
        <w:ind w:firstLine="8"/>
        <w:spacing w:after="0" w:line="263" w:lineRule="auto"/>
        <w:tabs>
          <w:tab w:leader="none" w:pos="186" w:val="left"/>
        </w:tabs>
        <w:numPr>
          <w:ilvl w:val="0"/>
          <w:numId w:val="78"/>
        </w:numPr>
        <w:rPr>
          <w:rFonts w:ascii="Arial" w:cs="Arial" w:eastAsia="Arial" w:hAnsi="Arial"/>
          <w:sz w:val="18"/>
          <w:szCs w:val="18"/>
          <w:color w:val="auto"/>
        </w:rPr>
      </w:pPr>
      <w:r>
        <w:rPr>
          <w:rFonts w:ascii="Arial" w:cs="Arial" w:eastAsia="Arial" w:hAnsi="Arial"/>
          <w:sz w:val="18"/>
          <w:szCs w:val="18"/>
          <w:color w:val="auto"/>
        </w:rPr>
        <w:t>Global Notes. The Notes shall be issued initially in the form of fully registered Global Securities, which shall be deposited on behalf of the purchasers of the Notes represented thereby with The Depository Trust Company, New York, New York (the “</w:t>
      </w:r>
      <w:r>
        <w:rPr>
          <w:rFonts w:ascii="Arial" w:cs="Arial" w:eastAsia="Arial" w:hAnsi="Arial"/>
          <w:sz w:val="18"/>
          <w:szCs w:val="18"/>
          <w:u w:val="single" w:color="auto"/>
          <w:color w:val="auto"/>
        </w:rPr>
        <w:t>Depositary</w:t>
      </w:r>
      <w:r>
        <w:rPr>
          <w:rFonts w:ascii="Arial" w:cs="Arial" w:eastAsia="Arial" w:hAnsi="Arial"/>
          <w:sz w:val="18"/>
          <w:szCs w:val="18"/>
          <w:color w:val="auto"/>
        </w:rPr>
        <w:t>”) or its custodian and registered in the name of Cede &amp; Co., the Depositary’s nominee, duly executed by the Company and authenticated by the Trustee.</w:t>
      </w:r>
    </w:p>
    <w:p>
      <w:pPr>
        <w:spacing w:after="0" w:line="183" w:lineRule="exact"/>
        <w:rPr>
          <w:rFonts w:ascii="Arial" w:cs="Arial" w:eastAsia="Arial" w:hAnsi="Arial"/>
          <w:sz w:val="18"/>
          <w:szCs w:val="18"/>
          <w:color w:val="auto"/>
        </w:rPr>
      </w:pPr>
    </w:p>
    <w:p>
      <w:pPr>
        <w:jc w:val="both"/>
        <w:ind w:firstLine="8"/>
        <w:spacing w:after="0" w:line="286" w:lineRule="auto"/>
        <w:tabs>
          <w:tab w:leader="none" w:pos="211" w:val="left"/>
        </w:tabs>
        <w:numPr>
          <w:ilvl w:val="0"/>
          <w:numId w:val="78"/>
        </w:numPr>
        <w:rPr>
          <w:rFonts w:ascii="Arial" w:cs="Arial" w:eastAsia="Arial" w:hAnsi="Arial"/>
          <w:sz w:val="17"/>
          <w:szCs w:val="17"/>
          <w:color w:val="auto"/>
        </w:rPr>
      </w:pPr>
      <w:r>
        <w:rPr>
          <w:rFonts w:ascii="Arial" w:cs="Arial" w:eastAsia="Arial" w:hAnsi="Arial"/>
          <w:sz w:val="17"/>
          <w:szCs w:val="17"/>
          <w:color w:val="auto"/>
        </w:rPr>
        <w:t>Book-Entry Provisions. This Section 3.01(d) shall apply only to the Global Notes deposited with or on behalf of the Depositary. The Company shall execute and the Trustee shall, in accordance with this Section 3.01(d), authenticate and deliver the Global Notes that shall be registered in the name of the Depositary or the nominee of the Depositary and shall be delivered by the Trustee to the Depositary or its custodian.</w:t>
      </w:r>
    </w:p>
    <w:p>
      <w:pPr>
        <w:spacing w:after="0" w:line="165" w:lineRule="exact"/>
        <w:rPr>
          <w:rFonts w:ascii="Arial" w:cs="Arial" w:eastAsia="Arial" w:hAnsi="Arial"/>
          <w:sz w:val="17"/>
          <w:szCs w:val="17"/>
          <w:color w:val="auto"/>
        </w:rPr>
      </w:pPr>
    </w:p>
    <w:p>
      <w:pPr>
        <w:ind w:right="20" w:firstLine="8"/>
        <w:spacing w:after="0" w:line="342" w:lineRule="auto"/>
        <w:tabs>
          <w:tab w:leader="none" w:pos="188" w:val="left"/>
        </w:tabs>
        <w:numPr>
          <w:ilvl w:val="0"/>
          <w:numId w:val="78"/>
        </w:numPr>
        <w:rPr>
          <w:rFonts w:ascii="Arial" w:cs="Arial" w:eastAsia="Arial" w:hAnsi="Arial"/>
          <w:sz w:val="16"/>
          <w:szCs w:val="16"/>
          <w:color w:val="auto"/>
        </w:rPr>
      </w:pPr>
      <w:r>
        <w:rPr>
          <w:rFonts w:ascii="Arial" w:cs="Arial" w:eastAsia="Arial" w:hAnsi="Arial"/>
          <w:sz w:val="16"/>
          <w:szCs w:val="16"/>
          <w:color w:val="auto"/>
        </w:rPr>
        <w:t>Paying Agent. The Company initially appoints the Trustee as Paying Agent for the payment of the principal of (and premium, if any) and interest on the Notes and the Corporate Trust Office of the Trustee, is hereby designated as the Place of Payment where the Notes may be presented for payment.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Terms of the Notes</w:t>
      </w:r>
      <w:r>
        <w:rPr>
          <w:rFonts w:ascii="Arial" w:cs="Arial" w:eastAsia="Arial" w:hAnsi="Arial"/>
          <w:sz w:val="18"/>
          <w:szCs w:val="18"/>
          <w:color w:val="auto"/>
        </w:rPr>
        <w:t>. The following terms relating to the Notes are hereby established:</w:t>
      </w:r>
    </w:p>
    <w:p>
      <w:pPr>
        <w:spacing w:after="0" w:line="225" w:lineRule="exact"/>
        <w:rPr>
          <w:sz w:val="20"/>
          <w:szCs w:val="20"/>
          <w:color w:val="auto"/>
        </w:rPr>
      </w:pPr>
    </w:p>
    <w:p>
      <w:pPr>
        <w:ind w:left="180" w:hanging="172"/>
        <w:spacing w:after="0"/>
        <w:tabs>
          <w:tab w:leader="none" w:pos="1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Title. The Notes shall constitute a series of Securities having the title “8.625% Senior Notes due 2026”.</w:t>
      </w:r>
    </w:p>
    <w:p>
      <w:pPr>
        <w:spacing w:after="0" w:line="225" w:lineRule="exact"/>
        <w:rPr>
          <w:rFonts w:ascii="Arial" w:cs="Arial" w:eastAsia="Arial" w:hAnsi="Arial"/>
          <w:sz w:val="18"/>
          <w:szCs w:val="18"/>
          <w:color w:val="auto"/>
        </w:rPr>
      </w:pPr>
    </w:p>
    <w:p>
      <w:pPr>
        <w:jc w:val="both"/>
        <w:ind w:firstLine="8"/>
        <w:spacing w:after="0" w:line="271" w:lineRule="auto"/>
        <w:tabs>
          <w:tab w:leader="none" w:pos="223" w:val="left"/>
        </w:tabs>
        <w:numPr>
          <w:ilvl w:val="0"/>
          <w:numId w:val="79"/>
        </w:numPr>
        <w:rPr>
          <w:rFonts w:ascii="Arial" w:cs="Arial" w:eastAsia="Arial" w:hAnsi="Arial"/>
          <w:sz w:val="17"/>
          <w:szCs w:val="17"/>
          <w:color w:val="auto"/>
        </w:rPr>
      </w:pPr>
      <w:r>
        <w:rPr>
          <w:rFonts w:ascii="Arial" w:cs="Arial" w:eastAsia="Arial" w:hAnsi="Arial"/>
          <w:sz w:val="17"/>
          <w:szCs w:val="17"/>
          <w:color w:val="auto"/>
        </w:rPr>
        <w:t>Principal Amount. The aggregate principal amount of the Notes that may be initially authenticated and delivered under the Indenture (the “</w:t>
      </w:r>
      <w:r>
        <w:rPr>
          <w:rFonts w:ascii="Arial" w:cs="Arial" w:eastAsia="Arial" w:hAnsi="Arial"/>
          <w:sz w:val="17"/>
          <w:szCs w:val="17"/>
          <w:u w:val="single" w:color="auto"/>
          <w:color w:val="auto"/>
        </w:rPr>
        <w:t>Initial</w:t>
      </w:r>
      <w:r>
        <w:rPr>
          <w:rFonts w:ascii="Arial" w:cs="Arial" w:eastAsia="Arial" w:hAnsi="Arial"/>
          <w:sz w:val="17"/>
          <w:szCs w:val="17"/>
          <w:color w:val="auto"/>
        </w:rPr>
        <w:t xml:space="preserve"> </w:t>
      </w:r>
      <w:r>
        <w:rPr>
          <w:rFonts w:ascii="Arial" w:cs="Arial" w:eastAsia="Arial" w:hAnsi="Arial"/>
          <w:sz w:val="17"/>
          <w:szCs w:val="17"/>
          <w:u w:val="single" w:color="auto"/>
          <w:color w:val="auto"/>
        </w:rPr>
        <w:t>Notes</w:t>
      </w:r>
      <w:r>
        <w:rPr>
          <w:rFonts w:ascii="Arial" w:cs="Arial" w:eastAsia="Arial" w:hAnsi="Arial"/>
          <w:sz w:val="17"/>
          <w:szCs w:val="17"/>
          <w:color w:val="auto"/>
        </w:rPr>
        <w:t>”) shall be $50,000,000 (except for Notes authenticated and delivered upon registration of, transfer of, or in exchange for, or in lieu of, other Notes pursuant to Sections 3.4, 3.5, 3.6, 9.6 or 11.7 of the Base Indenture). The Company may from time to time, without the consent of the Holders of Notes, issue additional Notes (in any such case “</w:t>
      </w:r>
      <w:r>
        <w:rPr>
          <w:rFonts w:ascii="Arial" w:cs="Arial" w:eastAsia="Arial" w:hAnsi="Arial"/>
          <w:sz w:val="17"/>
          <w:szCs w:val="17"/>
          <w:u w:val="single" w:color="auto"/>
          <w:color w:val="auto"/>
        </w:rPr>
        <w:t>Additional Notes</w:t>
      </w:r>
      <w:r>
        <w:rPr>
          <w:rFonts w:ascii="Arial" w:cs="Arial" w:eastAsia="Arial" w:hAnsi="Arial"/>
          <w:sz w:val="17"/>
          <w:szCs w:val="17"/>
          <w:color w:val="auto"/>
        </w:rPr>
        <w:t>”) having the same terms as to status, redemption or otherwise (except the price to public, the issue date and, if applicable, the initial interest accrual date and the initial interest payment date) that may constitute a single fungible series with the Initial Notes; provided that if any such Additional Notes are not fungible with the Initial Notes for U.S. federal income tax purposes, such Additional Notes will have one or more separate CUSIP numbers. Any Additional Notes and the Initial Notes shall constitute a single series under the Indenture and all references to the Notes shall include the Initial Notes and any Additional Notes unless the context otherwise requires.</w:t>
      </w:r>
    </w:p>
    <w:p>
      <w:pPr>
        <w:spacing w:after="0" w:line="178" w:lineRule="exact"/>
        <w:rPr>
          <w:rFonts w:ascii="Arial" w:cs="Arial" w:eastAsia="Arial" w:hAnsi="Arial"/>
          <w:sz w:val="17"/>
          <w:szCs w:val="17"/>
          <w:color w:val="auto"/>
        </w:rPr>
      </w:pPr>
    </w:p>
    <w:p>
      <w:pPr>
        <w:ind w:left="200" w:hanging="192"/>
        <w:spacing w:after="0"/>
        <w:tabs>
          <w:tab w:leader="none" w:pos="2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Maturity Date. The entire outstanding principal amount of the Notes shall be payable on April 30, 2026 (the “</w:t>
      </w:r>
      <w:r>
        <w:rPr>
          <w:rFonts w:ascii="Arial" w:cs="Arial" w:eastAsia="Arial" w:hAnsi="Arial"/>
          <w:sz w:val="18"/>
          <w:szCs w:val="18"/>
          <w:u w:val="single" w:color="auto"/>
          <w:color w:val="auto"/>
        </w:rPr>
        <w:t>Maturity Date</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99" w:name="page100"/>
    <w:bookmarkEnd w:id="99"/>
    <w:p>
      <w:pPr>
        <w:jc w:val="both"/>
        <w:ind w:left="-8" w:firstLine="8"/>
        <w:spacing w:after="0" w:line="287" w:lineRule="auto"/>
        <w:tabs>
          <w:tab w:leader="none" w:pos="192" w:val="left"/>
        </w:tabs>
        <w:numPr>
          <w:ilvl w:val="0"/>
          <w:numId w:val="80"/>
        </w:numPr>
        <w:rPr>
          <w:rFonts w:ascii="Arial" w:cs="Arial" w:eastAsia="Arial" w:hAnsi="Arial"/>
          <w:sz w:val="16"/>
          <w:szCs w:val="16"/>
          <w:color w:val="auto"/>
        </w:rPr>
      </w:pPr>
      <w:r>
        <w:rPr>
          <w:rFonts w:ascii="Arial" w:cs="Arial" w:eastAsia="Arial" w:hAnsi="Arial"/>
          <w:sz w:val="16"/>
          <w:szCs w:val="16"/>
          <w:color w:val="auto"/>
        </w:rPr>
        <w:t>Interest Rate. The rate at which the Notes shall bear interest shall be 8.625% per annum; the date from which interest shall accrue on the Notes shall be April 20, 2021, or the most recent Interest Payment Date to which interest has been paid or provided for; the Interest Payment Dates for the Notes shall be January 31, April 30, July 31 and October 31 of each year and on the Maturity Date, beginning July 31, 2021; the interest so payable, and punctually paid or duly provided for, on any Interest Payment Date, will be paid, in immediately available funds, to the Persons in whose names the Notes (or predecessor Notes) are registered (which shall initially be the Depositary) at the close of business on the Regular Record Date for such interest, which shall be the January 15, April 15, July 15 or October 15 (whether or not a Business Day), as the case may be, preceding such Interest Payment Date. Interest shall be computed on the basis of a 360-day year comprised of twelve 30-day months. For so long as the Notes are represented in global form by one or more Global Securities, all payments of principal (and premium, if any) and interest shall be made by wire transfer of immediately available funds to the Depositary or its nominee, as the case may be, as the registered owner of the Global Security representing such Notes. In the event that definitive Notes shall have been issued, all payments of principal (and premium, if any) and interest shall be made by wire transfer of immediately available funds to the accounts of the registered Holders thereof; provided, that the Company may elect to make such payments at the office of the Paying Agent in the City of Nashville; and provided further, that the Company may at its option pay interest by check to the registered address of each Holder of a definitive Note.</w:t>
      </w:r>
    </w:p>
    <w:p>
      <w:pPr>
        <w:spacing w:after="0" w:line="167" w:lineRule="exact"/>
        <w:rPr>
          <w:rFonts w:ascii="Arial" w:cs="Arial" w:eastAsia="Arial" w:hAnsi="Arial"/>
          <w:sz w:val="16"/>
          <w:szCs w:val="16"/>
          <w:color w:val="auto"/>
        </w:rPr>
      </w:pPr>
    </w:p>
    <w:p>
      <w:pPr>
        <w:ind w:left="-8" w:firstLine="8"/>
        <w:spacing w:after="0" w:line="277" w:lineRule="auto"/>
        <w:tabs>
          <w:tab w:leader="none" w:pos="188" w:val="left"/>
        </w:tabs>
        <w:numPr>
          <w:ilvl w:val="0"/>
          <w:numId w:val="80"/>
        </w:numPr>
        <w:rPr>
          <w:rFonts w:ascii="Arial" w:cs="Arial" w:eastAsia="Arial" w:hAnsi="Arial"/>
          <w:sz w:val="18"/>
          <w:szCs w:val="18"/>
          <w:color w:val="auto"/>
        </w:rPr>
      </w:pPr>
      <w:r>
        <w:rPr>
          <w:rFonts w:ascii="Arial" w:cs="Arial" w:eastAsia="Arial" w:hAnsi="Arial"/>
          <w:sz w:val="18"/>
          <w:szCs w:val="18"/>
          <w:color w:val="auto"/>
        </w:rPr>
        <w:t>Currency. The currency of denomination of the Notes is United States Dollars. Payment of principal of and interest and premium, if any, on the Notes shall be made in United States Dollars.</w:t>
      </w:r>
    </w:p>
    <w:p>
      <w:pPr>
        <w:spacing w:after="0" w:line="170" w:lineRule="exact"/>
        <w:rPr>
          <w:rFonts w:ascii="Arial" w:cs="Arial" w:eastAsia="Arial" w:hAnsi="Arial"/>
          <w:sz w:val="18"/>
          <w:szCs w:val="18"/>
          <w:color w:val="auto"/>
        </w:rPr>
      </w:pPr>
    </w:p>
    <w:p>
      <w:pPr>
        <w:ind w:left="172" w:hanging="172"/>
        <w:spacing w:after="0"/>
        <w:tabs>
          <w:tab w:leader="none" w:pos="172" w:val="left"/>
        </w:tabs>
        <w:numPr>
          <w:ilvl w:val="0"/>
          <w:numId w:val="80"/>
        </w:numPr>
        <w:rPr>
          <w:rFonts w:ascii="Arial" w:cs="Arial" w:eastAsia="Arial" w:hAnsi="Arial"/>
          <w:sz w:val="18"/>
          <w:szCs w:val="18"/>
          <w:color w:val="auto"/>
        </w:rPr>
      </w:pPr>
      <w:r>
        <w:rPr>
          <w:rFonts w:ascii="Arial" w:cs="Arial" w:eastAsia="Arial" w:hAnsi="Arial"/>
          <w:sz w:val="18"/>
          <w:szCs w:val="18"/>
          <w:color w:val="auto"/>
        </w:rPr>
        <w:t>Sinking Fund. The Notes are not subject to any sinking fund.</w:t>
      </w:r>
    </w:p>
    <w:p>
      <w:pPr>
        <w:spacing w:after="0" w:line="225" w:lineRule="exact"/>
        <w:rPr>
          <w:rFonts w:ascii="Arial" w:cs="Arial" w:eastAsia="Arial" w:hAnsi="Arial"/>
          <w:sz w:val="18"/>
          <w:szCs w:val="18"/>
          <w:color w:val="auto"/>
        </w:rPr>
      </w:pPr>
    </w:p>
    <w:p>
      <w:pPr>
        <w:jc w:val="both"/>
        <w:ind w:left="-8" w:firstLine="8"/>
        <w:spacing w:after="0" w:line="254" w:lineRule="auto"/>
        <w:tabs>
          <w:tab w:leader="none" w:pos="215" w:val="left"/>
        </w:tabs>
        <w:numPr>
          <w:ilvl w:val="0"/>
          <w:numId w:val="80"/>
        </w:numPr>
        <w:rPr>
          <w:rFonts w:ascii="Arial" w:cs="Arial" w:eastAsia="Arial" w:hAnsi="Arial"/>
          <w:sz w:val="18"/>
          <w:szCs w:val="18"/>
          <w:color w:val="auto"/>
        </w:rPr>
      </w:pPr>
      <w:r>
        <w:rPr>
          <w:rFonts w:ascii="Arial" w:cs="Arial" w:eastAsia="Arial" w:hAnsi="Arial"/>
          <w:sz w:val="18"/>
          <w:szCs w:val="18"/>
          <w:color w:val="auto"/>
        </w:rPr>
        <w:t>Additional Interest. At the Company’s election, the sole remedy with respect to an Event of Default due to a failure to comply with reporting requirements under the Trust Indenture Act or under Section 4.02 below, for the first 180 calendar days after the occurrence of such Event of Default, consists exclusively of the right to receive additional interest on the Notes at an annual rate equal to (1) 0.25% for the first 90 calendar days after such default and (2) 0.50% for calendar days 91 through 180 after such default. On the 181st day after such Event of Default, if such violation is not cured or waived, the Trustee or the Holders of not less than 25% of the outstanding principal amount of the Notes may declare the principal, together with accrued and unpaid interest, if any, on the Notes to be due and payable immediately. If the Company chooses to pay such additional interest, the Company must notify the Trustee and the Holders of the Notes by certificate of the Company’s election at any time on or before the close of business on the first Business Day following the Event of Default.</w:t>
      </w:r>
    </w:p>
    <w:p>
      <w:pPr>
        <w:spacing w:after="0" w:line="191" w:lineRule="exact"/>
        <w:rPr>
          <w:rFonts w:ascii="Arial" w:cs="Arial" w:eastAsia="Arial" w:hAnsi="Arial"/>
          <w:sz w:val="18"/>
          <w:szCs w:val="18"/>
          <w:color w:val="auto"/>
        </w:rPr>
      </w:pPr>
    </w:p>
    <w:p>
      <w:pPr>
        <w:ind w:left="-8" w:right="200" w:firstLine="8"/>
        <w:spacing w:after="0" w:line="500" w:lineRule="auto"/>
        <w:tabs>
          <w:tab w:leader="none" w:pos="187"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Defeasance. The Notes shall be defeasible at the Company’s election pursuant to either or both of Section 13.2 and Section 13.3 of the Base Indenture. Section 3.03. </w:t>
      </w:r>
      <w:r>
        <w:rPr>
          <w:rFonts w:ascii="Arial" w:cs="Arial" w:eastAsia="Arial" w:hAnsi="Arial"/>
          <w:sz w:val="18"/>
          <w:szCs w:val="18"/>
          <w:u w:val="single" w:color="auto"/>
          <w:color w:val="auto"/>
        </w:rPr>
        <w:t>Optional Redemption</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172" w:hanging="172"/>
        <w:spacing w:after="0"/>
        <w:tabs>
          <w:tab w:leader="none" w:pos="172"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provisions of Article 11 of the Base Indenture, as supplemented by the provisions of this First Supplemental Indenture, shall apply to the Notes.</w:t>
      </w:r>
    </w:p>
    <w:p>
      <w:pPr>
        <w:spacing w:after="0" w:line="248" w:lineRule="exact"/>
        <w:rPr>
          <w:sz w:val="20"/>
          <w:szCs w:val="20"/>
          <w:color w:val="auto"/>
        </w:rPr>
      </w:pPr>
    </w:p>
    <w:p>
      <w:pPr>
        <w:jc w:val="both"/>
        <w:ind w:left="-8" w:firstLine="8"/>
        <w:spacing w:after="0" w:line="263" w:lineRule="auto"/>
        <w:tabs>
          <w:tab w:leader="none" w:pos="192"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Notes shall be redeemable as a whole or in part, at any time and from time to time at the Company’s option prior to February 1, 2026 (the “</w:t>
      </w:r>
      <w:r>
        <w:rPr>
          <w:rFonts w:ascii="Arial" w:cs="Arial" w:eastAsia="Arial" w:hAnsi="Arial"/>
          <w:sz w:val="18"/>
          <w:szCs w:val="18"/>
          <w:u w:val="single" w:color="auto"/>
          <w:color w:val="auto"/>
        </w:rPr>
        <w:t>Notes</w:t>
      </w:r>
      <w:r>
        <w:rPr>
          <w:rFonts w:ascii="Arial" w:cs="Arial" w:eastAsia="Arial" w:hAnsi="Arial"/>
          <w:sz w:val="18"/>
          <w:szCs w:val="18"/>
          <w:color w:val="auto"/>
        </w:rPr>
        <w:t xml:space="preserve"> </w:t>
      </w:r>
      <w:r>
        <w:rPr>
          <w:rFonts w:ascii="Arial" w:cs="Arial" w:eastAsia="Arial" w:hAnsi="Arial"/>
          <w:sz w:val="18"/>
          <w:szCs w:val="18"/>
          <w:u w:val="single" w:color="auto"/>
          <w:color w:val="auto"/>
        </w:rPr>
        <w:t>Par Call Date</w:t>
      </w:r>
      <w:r>
        <w:rPr>
          <w:rFonts w:ascii="Arial" w:cs="Arial" w:eastAsia="Arial" w:hAnsi="Arial"/>
          <w:sz w:val="18"/>
          <w:szCs w:val="18"/>
          <w:color w:val="auto"/>
        </w:rPr>
        <w:t>”), at a redemption price equal to 100% of the principal amount of the Notes to be redeemed, plus a Make-Whole Amount, if any, plus accrued and unpaid interest to, but excluding, the Redemption Date.</w:t>
      </w:r>
    </w:p>
    <w:p>
      <w:pPr>
        <w:spacing w:after="0" w:line="183" w:lineRule="exact"/>
        <w:rPr>
          <w:rFonts w:ascii="Arial" w:cs="Arial" w:eastAsia="Arial" w:hAnsi="Arial"/>
          <w:sz w:val="18"/>
          <w:szCs w:val="18"/>
          <w:color w:val="auto"/>
        </w:rPr>
      </w:pPr>
    </w:p>
    <w:p>
      <w:pPr>
        <w:ind w:left="-8" w:right="20" w:firstLine="8"/>
        <w:spacing w:after="0" w:line="342" w:lineRule="auto"/>
        <w:tabs>
          <w:tab w:leader="none" w:pos="175"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Notes shall be redeemable as a whole or in part, at any time and from time to time at the Company’s option on or after February 1, 2026 and prior to the Maturity Date, at a price equal to 100% of their principal amount, plus accrued and unpaid interest to, but excluding, the Redemption Date.</w:t>
      </w:r>
    </w:p>
    <w:p>
      <w:pPr>
        <w:spacing w:after="0" w:line="123" w:lineRule="exact"/>
        <w:rPr>
          <w:rFonts w:ascii="Arial" w:cs="Arial" w:eastAsia="Arial" w:hAnsi="Arial"/>
          <w:sz w:val="16"/>
          <w:szCs w:val="16"/>
          <w:color w:val="auto"/>
        </w:rPr>
      </w:pPr>
    </w:p>
    <w:p>
      <w:pPr>
        <w:jc w:val="both"/>
        <w:ind w:left="-8" w:firstLine="8"/>
        <w:spacing w:after="0" w:line="254" w:lineRule="auto"/>
        <w:tabs>
          <w:tab w:leader="none" w:pos="2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 each case, redemption shall be upon notice not fewer than 30 days and not more than 60 days prior to the Redemption Date. If less than all of the Notes are to be redeemed, the particular Notes to be redeemed will be selected not more than 45 days prior to the Redemption Date by the Trustee from the outstanding Notes not previously called for redemption, by lot, or in the Trustee’s discretion, on a pro-rata basis, provided that the unredeemed portion of the principal amount of any Notes will be in an authorized denomination (which will not be less than the minimum authorized denomination) for such Notes. The Trustee will promptly notify us in writing of the Notes selected for redemption and, in the case of any Notes selected for partial redemption, the principal amount thereof to be redeemed. The Trustee shall have no obligation to calculate any redemption price, including any Make-Whole Amount, or any component thereof, and the Trustee shall be entitled to receive and conclusively rely upon an Officer’s Certificate delivered by the Company that specifies any redemption price.</w:t>
      </w:r>
    </w:p>
    <w:p>
      <w:pPr>
        <w:spacing w:after="0" w:line="19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652" w:right="339" w:bottom="1440" w:gutter="0" w:footer="0" w:header="0"/>
        </w:sectPr>
      </w:pPr>
    </w:p>
    <w:bookmarkStart w:id="100" w:name="page101"/>
    <w:bookmarkEnd w:id="100"/>
    <w:p>
      <w:pPr>
        <w:ind w:firstLine="8"/>
        <w:spacing w:after="0" w:line="277" w:lineRule="auto"/>
        <w:tabs>
          <w:tab w:leader="none" w:pos="185" w:val="left"/>
        </w:tabs>
        <w:numPr>
          <w:ilvl w:val="0"/>
          <w:numId w:val="83"/>
        </w:numPr>
        <w:rPr>
          <w:rFonts w:ascii="Arial" w:cs="Arial" w:eastAsia="Arial" w:hAnsi="Arial"/>
          <w:sz w:val="18"/>
          <w:szCs w:val="18"/>
          <w:color w:val="auto"/>
        </w:rPr>
      </w:pPr>
      <w:r>
        <w:rPr>
          <w:rFonts w:ascii="Arial" w:cs="Arial" w:eastAsia="Arial" w:hAnsi="Arial"/>
          <w:sz w:val="18"/>
          <w:szCs w:val="18"/>
          <w:color w:val="auto"/>
        </w:rPr>
        <w:t>Unless the Company defaults on the payment of the redemption price, on and after the Redemption Date, interest will cease to accrue on the Notes called for redemption.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COVENANTS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covenants shall be applicable to the Company for so long as any of the Notes are Outstanding. Nothing in this Article will, however, affect the Company’s rights or obligations under any other provision of the Base Indenture or this First Supplemental Indenture.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Merger, Consolidation or Sale of Assets</w:t>
      </w:r>
      <w:r>
        <w:rPr>
          <w:rFonts w:ascii="Arial" w:cs="Arial" w:eastAsia="Arial" w:hAnsi="Arial"/>
          <w:sz w:val="18"/>
          <w:szCs w:val="18"/>
          <w:color w:val="auto"/>
        </w:rPr>
        <w: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shall not merge or consolidate with or into any other Person (other than a merger of a wholly owned Subsidiary of the Company into the Company) or sell, transfer, lease, convey or otherwise dispose of all or substantially all of its property (provided that, for the avoidance of doubt, a pledge of assets pursuant to any secured debt instrument of the Company or its Subsidiaries shall not be deemed to be any such sale, transfer, lease, conveyance or disposition) in one transaction or series of related transactions unless:</w:t>
      </w:r>
    </w:p>
    <w:p>
      <w:pPr>
        <w:spacing w:after="0" w:line="187" w:lineRule="exact"/>
        <w:rPr>
          <w:sz w:val="20"/>
          <w:szCs w:val="20"/>
          <w:color w:val="auto"/>
        </w:rPr>
      </w:pPr>
    </w:p>
    <w:p>
      <w:pPr>
        <w:jc w:val="both"/>
        <w:ind w:firstLine="8"/>
        <w:spacing w:after="0" w:line="263" w:lineRule="auto"/>
        <w:tabs>
          <w:tab w:leader="none" w:pos="201"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Company shall be the surviving Person (the “</w:t>
      </w:r>
      <w:r>
        <w:rPr>
          <w:rFonts w:ascii="Arial" w:cs="Arial" w:eastAsia="Arial" w:hAnsi="Arial"/>
          <w:sz w:val="18"/>
          <w:szCs w:val="18"/>
          <w:u w:val="single" w:color="auto"/>
          <w:color w:val="auto"/>
        </w:rPr>
        <w:t>Surviving Person</w:t>
      </w:r>
      <w:r>
        <w:rPr>
          <w:rFonts w:ascii="Arial" w:cs="Arial" w:eastAsia="Arial" w:hAnsi="Arial"/>
          <w:sz w:val="18"/>
          <w:szCs w:val="18"/>
          <w:color w:val="auto"/>
        </w:rPr>
        <w:t>”) or the Surviving Person (if other than the Company) formed by such merger or consolidation or to which such sale, transfer, lease, conveyance or disposition is made shall be a corporation or limited liability company organized and existing under the laws of the United States of America, any state thereof or the District of Columbia;</w:t>
      </w:r>
    </w:p>
    <w:p>
      <w:pPr>
        <w:spacing w:after="0" w:line="183" w:lineRule="exact"/>
        <w:rPr>
          <w:rFonts w:ascii="Arial" w:cs="Arial" w:eastAsia="Arial" w:hAnsi="Arial"/>
          <w:sz w:val="18"/>
          <w:szCs w:val="18"/>
          <w:color w:val="auto"/>
        </w:rPr>
      </w:pPr>
    </w:p>
    <w:p>
      <w:pPr>
        <w:jc w:val="both"/>
        <w:ind w:firstLine="8"/>
        <w:spacing w:after="0" w:line="311" w:lineRule="auto"/>
        <w:tabs>
          <w:tab w:leader="none" w:pos="198"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Surviving Person (if other than the Company) expressly assumes, by supplemental indenture in form reasonably satisfactory to the Trustee, executed and delivered to the Trustee by such Surviving Person, the due and punctual payment of the principal of, and premium, if any, and interest on, all the Notes Outstanding, and the due and punctual performance and observance of all the covenants and conditions of this Indenture to be performed by the Company;</w:t>
      </w:r>
    </w:p>
    <w:p>
      <w:pPr>
        <w:spacing w:after="0" w:line="148" w:lineRule="exact"/>
        <w:rPr>
          <w:rFonts w:ascii="Arial" w:cs="Arial" w:eastAsia="Arial" w:hAnsi="Arial"/>
          <w:sz w:val="16"/>
          <w:szCs w:val="16"/>
          <w:color w:val="auto"/>
        </w:rPr>
      </w:pPr>
    </w:p>
    <w:p>
      <w:pPr>
        <w:ind w:right="20" w:firstLine="8"/>
        <w:spacing w:after="0" w:line="277" w:lineRule="auto"/>
        <w:tabs>
          <w:tab w:leader="none" w:pos="198" w:val="left"/>
        </w:tabs>
        <w:numPr>
          <w:ilvl w:val="0"/>
          <w:numId w:val="84"/>
        </w:numPr>
        <w:rPr>
          <w:rFonts w:ascii="Arial" w:cs="Arial" w:eastAsia="Arial" w:hAnsi="Arial"/>
          <w:sz w:val="18"/>
          <w:szCs w:val="18"/>
          <w:color w:val="auto"/>
        </w:rPr>
      </w:pPr>
      <w:r>
        <w:rPr>
          <w:rFonts w:ascii="Arial" w:cs="Arial" w:eastAsia="Arial" w:hAnsi="Arial"/>
          <w:sz w:val="18"/>
          <w:szCs w:val="18"/>
          <w:color w:val="auto"/>
        </w:rPr>
        <w:t>immediately before and immediately after giving effect to such transaction or series of related transactions, no Default or Event of Default shall have occurred and be continuing; and</w:t>
      </w:r>
    </w:p>
    <w:p>
      <w:pPr>
        <w:spacing w:after="0" w:line="170" w:lineRule="exact"/>
        <w:rPr>
          <w:rFonts w:ascii="Arial" w:cs="Arial" w:eastAsia="Arial" w:hAnsi="Arial"/>
          <w:sz w:val="18"/>
          <w:szCs w:val="18"/>
          <w:color w:val="auto"/>
        </w:rPr>
      </w:pPr>
    </w:p>
    <w:p>
      <w:pPr>
        <w:jc w:val="both"/>
        <w:ind w:firstLine="8"/>
        <w:spacing w:after="0" w:line="286" w:lineRule="auto"/>
        <w:tabs>
          <w:tab w:leader="none" w:pos="206" w:val="left"/>
        </w:tabs>
        <w:numPr>
          <w:ilvl w:val="0"/>
          <w:numId w:val="84"/>
        </w:numPr>
        <w:rPr>
          <w:rFonts w:ascii="Arial" w:cs="Arial" w:eastAsia="Arial" w:hAnsi="Arial"/>
          <w:sz w:val="17"/>
          <w:szCs w:val="17"/>
          <w:color w:val="auto"/>
        </w:rPr>
      </w:pPr>
      <w:r>
        <w:rPr>
          <w:rFonts w:ascii="Arial" w:cs="Arial" w:eastAsia="Arial" w:hAnsi="Arial"/>
          <w:sz w:val="17"/>
          <w:szCs w:val="17"/>
          <w:color w:val="auto"/>
        </w:rPr>
        <w:t>in the case of a merger where the Surviving Person is other than the Company, the Company shall deliver, or cause to be delivered, to the Trustee, an Officer’s Certificate and an Opinion of Counsel, each stating that such transaction and the supplemental indenture, if any, in respect thereto comply with this Section 4.01 and that all conditions precedent in this Indenture relating to such transaction have been complied with.</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Reporting</w:t>
      </w:r>
      <w:r>
        <w:rPr>
          <w:rFonts w:ascii="Arial" w:cs="Arial" w:eastAsia="Arial" w:hAnsi="Arial"/>
          <w:sz w:val="18"/>
          <w:szCs w:val="18"/>
          <w:color w:val="auto"/>
        </w:rPr>
        <w: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at any time, the Company is not subject to the reporting requirements of Sections 13 or 15(d) of the Exchange Act to file any periodic reports with the Securities and Exchange Commission, the Company agrees to furnish to Holders and the Trustee, for the period of time during which the Notes are outstanding, its audited annual consolidated financial statements, within 90 days of its fiscal year end, and unaudited interim consolidated financial statements, within 60 days of its fiscal quarter end (other than our fourth fiscal quarter). All such financial statements will be prepared, in all material respects, in accordance with Generally Accepted Accounting Principles, as applicable.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Delivery of such reports, information and documents to the Trustee pursuant to this Section 4.02 is for informational purposes only and the Trustee’s receipt of such shall not constitute actual or constructive knowledge or notice of any information contained therein or determinable from information contained therein, including the Company’s compliance with any of its covenants hereunder (as to which the Trustee is entitled to rely exclusively on an Officer’s Certificate).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u w:val="single" w:color="auto"/>
          <w:color w:val="auto"/>
        </w:rPr>
        <w:t>Payment of Taxes</w:t>
      </w:r>
      <w:r>
        <w:rPr>
          <w:rFonts w:ascii="Arial" w:cs="Arial" w:eastAsia="Arial" w:hAnsi="Arial"/>
          <w:sz w:val="18"/>
          <w:szCs w:val="18"/>
          <w:color w:val="auto"/>
        </w:rPr>
        <w: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will pay or discharge or cause to be paid or discharged, before the same shall become delinquent, all taxes, assessments and governmental charges levied or imposed upon the Company or upon the income, profits or property of the Company, except where the failure to do so would not be reasonably expected to have a material adverse effect on the business, assets, financial condition or results of operations of the Company; provided, however, that the Company shall not be required to pay or discharge or cause to be paid or discharged any such tax, assessment or charge whose amount, applicability or validity is being contested in good faith by appropriate proceedings.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EVENTS OF DEFAULT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Events of Default</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Solely for the benefit of the Holders of the Notes, Section 5.1 of the Base Indenture is hereby deleted in its entirety and replaced with the following:</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Events of Default</w:t>
      </w:r>
      <w:r>
        <w:rPr>
          <w:rFonts w:ascii="Arial" w:cs="Arial" w:eastAsia="Arial" w:hAnsi="Arial"/>
          <w:sz w:val="18"/>
          <w:szCs w:val="18"/>
          <w:color w:val="auto"/>
        </w:rPr>
        <w: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wherever used herein with respect to the Notes means any one of the following events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spacing w:after="0" w:line="184" w:lineRule="exact"/>
        <w:rPr>
          <w:sz w:val="20"/>
          <w:szCs w:val="20"/>
          <w:color w:val="auto"/>
        </w:rPr>
      </w:pPr>
    </w:p>
    <w:p>
      <w:pPr>
        <w:ind w:left="260" w:hanging="252"/>
        <w:spacing w:after="0"/>
        <w:tabs>
          <w:tab w:leader="none" w:pos="2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default in the payment of any interest upon any Note when it becomes due and payable, and continuance of such default for a period of 30 days;</w:t>
      </w:r>
    </w:p>
    <w:p>
      <w:pPr>
        <w:spacing w:after="0" w:line="236" w:lineRule="exact"/>
        <w:rPr>
          <w:rFonts w:ascii="Arial" w:cs="Arial" w:eastAsia="Arial" w:hAnsi="Arial"/>
          <w:sz w:val="17"/>
          <w:szCs w:val="17"/>
          <w:color w:val="auto"/>
        </w:rPr>
      </w:pPr>
    </w:p>
    <w:p>
      <w:pPr>
        <w:ind w:left="260" w:hanging="252"/>
        <w:spacing w:after="0"/>
        <w:tabs>
          <w:tab w:leader="none" w:pos="2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default in the payment of the principal of any Note when due and payable;</w:t>
      </w:r>
    </w:p>
    <w:p>
      <w:pPr>
        <w:spacing w:after="0" w:line="225" w:lineRule="exact"/>
        <w:rPr>
          <w:rFonts w:ascii="Arial" w:cs="Arial" w:eastAsia="Arial" w:hAnsi="Arial"/>
          <w:sz w:val="18"/>
          <w:szCs w:val="18"/>
          <w:color w:val="auto"/>
        </w:rPr>
      </w:pPr>
    </w:p>
    <w:p>
      <w:pPr>
        <w:jc w:val="both"/>
        <w:ind w:firstLine="8"/>
        <w:spacing w:after="0" w:line="259" w:lineRule="auto"/>
        <w:tabs>
          <w:tab w:leader="none" w:pos="264" w:val="left"/>
        </w:tabs>
        <w:numPr>
          <w:ilvl w:val="0"/>
          <w:numId w:val="85"/>
        </w:numPr>
        <w:rPr>
          <w:rFonts w:ascii="Arial" w:cs="Arial" w:eastAsia="Arial" w:hAnsi="Arial"/>
          <w:sz w:val="18"/>
          <w:szCs w:val="18"/>
          <w:color w:val="auto"/>
        </w:rPr>
      </w:pPr>
      <w:r>
        <w:rPr>
          <w:rFonts w:ascii="Arial" w:cs="Arial" w:eastAsia="Arial" w:hAnsi="Arial"/>
          <w:sz w:val="18"/>
          <w:szCs w:val="18"/>
          <w:color w:val="auto"/>
        </w:rPr>
        <w:t>default in the performance, or breach, of any covenant of the Company in this Indenture with respect to the Notes, and continuance of such default or breach for a period of 60 days after there has been sent to the Company by the Trustee or to the Company and the Trustee by the Holders of at least 25% in principal amount of the Notes, a written notice specifying such default or breach and requiring it to be remedied and stating that such notice is a “Notice of Default” hereunder;</w:t>
      </w:r>
    </w:p>
    <w:p>
      <w:pPr>
        <w:spacing w:after="0" w:line="186" w:lineRule="exact"/>
        <w:rPr>
          <w:rFonts w:ascii="Arial" w:cs="Arial" w:eastAsia="Arial" w:hAnsi="Arial"/>
          <w:sz w:val="18"/>
          <w:szCs w:val="18"/>
          <w:color w:val="auto"/>
        </w:rPr>
      </w:pPr>
    </w:p>
    <w:p>
      <w:pPr>
        <w:jc w:val="both"/>
        <w:ind w:firstLine="8"/>
        <w:spacing w:after="0" w:line="273" w:lineRule="auto"/>
        <w:tabs>
          <w:tab w:leader="none" w:pos="255"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entry by a court having jurisdiction in the premises of (A) a decree or order for relief in respect of the Company in an involuntary case or proceeding under any applicable federal or state bankruptcy, insolvency, reorganization or other similar law or (B) a decree or order adjudging the Company a bankrupt or insolvent, or approving as properly filed a petition seeking reorganization, arrangement, adjustment or composition of or in respect of the Company under any applicable federal or state law, or appointing a custodian, receiver, liquidator, assignee, trustee, sequestrator or other similar official of the Company or of any substantial part of its property, or ordering the winding up or liquidation of its affairs, and the continuance of any such decree or order for relief or any such other decree or order unstayed and in effect for a period of 90 consecutive days; or</w:t>
      </w:r>
    </w:p>
    <w:p>
      <w:pPr>
        <w:spacing w:after="0" w:line="177" w:lineRule="exact"/>
        <w:rPr>
          <w:rFonts w:ascii="Arial" w:cs="Arial" w:eastAsia="Arial" w:hAnsi="Arial"/>
          <w:sz w:val="17"/>
          <w:szCs w:val="17"/>
          <w:color w:val="auto"/>
        </w:rPr>
      </w:pPr>
    </w:p>
    <w:p>
      <w:pPr>
        <w:jc w:val="both"/>
        <w:ind w:firstLine="8"/>
        <w:spacing w:after="0" w:line="290" w:lineRule="auto"/>
        <w:tabs>
          <w:tab w:leader="none" w:pos="264"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commencement by the Company of a voluntary case or proceeding under any applicable federal or state bankruptcy, insolvency, reorganization or other similar law or of any other case or proceeding to be adjudicated a bankrupt or insolvent, or the consent by it to the entry of a decree or order for relief in respect of the Company in an involuntary case or proceeding under any applicable federal or state bankruptcy, insolvency, reorganization or other similar law or to the commencement of any bankruptcy or insolvency case or proceeding against it, or the filing by it of a petition or answer or consent seeking reorganization or relief under any applicable federal or state law, or the consent by it to the filing of such petition or to the appointment of or taking possession by a custodian, receiver, liquidator, assignee, trustee, sequestrator or similar official of the Company or of any substantial part of its property, or the making by the Company of an assignment for the benefit of creditors, or the admission by the Company in writing of its inability to pay its debts generally as they become due, or the taking of corporate action by the Company in furtherance of any such action.</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The Trustee shall not be deemed to have notice or be charged with knowledge of an Event of Default hereunder (except for those described in paragraphs</w:t>
      </w:r>
    </w:p>
    <w:p>
      <w:pPr>
        <w:spacing w:after="0" w:line="46" w:lineRule="exact"/>
        <w:rPr>
          <w:sz w:val="20"/>
          <w:szCs w:val="20"/>
          <w:color w:val="auto"/>
        </w:rPr>
      </w:pPr>
    </w:p>
    <w:p>
      <w:pPr>
        <w:ind w:right="20" w:firstLine="8"/>
        <w:spacing w:after="0" w:line="323" w:lineRule="auto"/>
        <w:tabs>
          <w:tab w:leader="none" w:pos="269" w:val="left"/>
        </w:tabs>
        <w:numPr>
          <w:ilvl w:val="0"/>
          <w:numId w:val="86"/>
        </w:numPr>
        <w:rPr>
          <w:rFonts w:ascii="Arial" w:cs="Arial" w:eastAsia="Arial" w:hAnsi="Arial"/>
          <w:sz w:val="16"/>
          <w:szCs w:val="16"/>
          <w:color w:val="auto"/>
        </w:rPr>
      </w:pPr>
      <w:r>
        <w:rPr>
          <w:rFonts w:ascii="Arial" w:cs="Arial" w:eastAsia="Arial" w:hAnsi="Arial"/>
          <w:sz w:val="16"/>
          <w:szCs w:val="16"/>
          <w:color w:val="auto"/>
        </w:rPr>
        <w:t>and (2) above if the Trustee is then the Paying Agent) unless written notice of such default or Event of Default from the Company or any Holder is received by a Responsible Officer of the Trustee at the Corporate Trust Office of the Trustee, and such notice references the Notes and this Indenture.</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Trust Indenture Act Controls</w:t>
      </w:r>
      <w:r>
        <w:rPr>
          <w:rFonts w:ascii="Arial" w:cs="Arial" w:eastAsia="Arial" w:hAnsi="Arial"/>
          <w:sz w:val="18"/>
          <w:szCs w:val="18"/>
          <w:color w:val="auto"/>
        </w:rPr>
        <w: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any provision of this First Supplemental Indenture limits, qualifies or conflicts with another provision which is required to be included in this First Supplemental Indenture by the Trust Indenture Act, the required provision shall control. If any provision of this First Supplemental Indenture modifies or excludes any provision of the Trust Indenture Act which may be so modified or excluded, the latter provision shall be deemed to apply to this First Supplemental Indenture as so modified or to be excluded, as the case may be.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New York Law to Govern</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First Supplemental Indenture and the Notes shall be governed by and construed in accordance with the laws of the State of New York.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Counterparts</w:t>
      </w:r>
      <w:r>
        <w:rPr>
          <w:rFonts w:ascii="Arial" w:cs="Arial" w:eastAsia="Arial" w:hAnsi="Arial"/>
          <w:sz w:val="18"/>
          <w:szCs w:val="18"/>
          <w:color w:val="auto"/>
        </w:rPr>
        <w:t>.</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This First Supplemental Indenture may be executed in any number of counterparts, each of which so executed shall be deemed to be an original, but all such counterparts shall together constitute but one and the same instrument. The exchange of copies of this First Supplemental Indenture and of signature pages that are executed by manual signatures that are scanned, photocopied or faxed or by other electronic signing created on an electronic platform (such as DocuSign) or by digital signing (such as Adobe Sign), in each case that is approved by the Trustee, shall constitute effective execution and delivery of this First Supplemental Indenture for all purposes. Signatures of the parties hereto that are executed by manual signatures that are scanned, photocopied or faxed or by other electronic signing created on an electronic platform (such as DocuSign) or by digital signing (such as Adobe Sign), in each case that is approved by the Trustee, shall be deemed to be their original signatures for all purposes of this First Supplemental Indenture as to the parties hereto and may be used in lieu of the original.</w:t>
      </w:r>
    </w:p>
    <w:p>
      <w:pPr>
        <w:spacing w:after="0" w:line="17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Anything in the Base Indenture, this First Supplemental Indenture or the Notes to the contrary notwithstanding, for the purposes of the transactions contemplated by the Base Indenture, this First Supplemental Indenture, the Notes and any document to be signed in connection with the Base Indenture, this First Supplemental Indenture or the Notes (including the Trustee’s Certificate of Authentication on the Notes, amendments, waivers, consents and other modifications, Officer’s Certificates, Company Requests, Company Orders and Opinions of Counsel and other issuance, authentication and delivery documents) or the transactions contemplated hereby may be signed by manual signatures that are scanned, photocopied or faxed or other electronic signatures created on an electronic platform (such as DocuSign) or by digital signature (such as Adobe Sign), in each case that is approved by the Trustee, and contract formations on electronic platforms approved by the Trustee, and the keeping of records in electronic form, are hereby authorized, and each shall be of the same legal effect, validity or enforceability as a manually executed signature in ink or the use of a paper-based recordkeeping system, as the case may be.</w:t>
      </w:r>
    </w:p>
    <w:p>
      <w:pPr>
        <w:spacing w:after="0" w:line="19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Section 6.04.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this First Supplemental Indenture or the Notes shall be held to be illegal or unenforceable under applicable law, then the remaining provisions hereof shall be construed as though such invalid, illegal or unenforceable provision were not contained therein.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u w:val="single" w:color="auto"/>
          <w:color w:val="auto"/>
        </w:rPr>
        <w:t>Ratification</w:t>
      </w:r>
      <w:r>
        <w:rPr>
          <w:rFonts w:ascii="Arial" w:cs="Arial" w:eastAsia="Arial" w:hAnsi="Arial"/>
          <w:sz w:val="18"/>
          <w:szCs w:val="18"/>
          <w:color w:val="auto"/>
        </w:rPr>
        <w:t>.</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Indenture, as supplemented by this First Supplemental Indenture, is in all respects ratified and confirmed. All provisions included in this First Supplemental Indenture supersede any conflicting provisions included in the Indenture, unless not permitted by law. The Trustee accepts the trusts created by the Indenture, as supplemented by this First Supplemental Indenture, and agrees to perform the same upon the terms and conditions of the Indenture.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u w:val="single" w:color="auto"/>
          <w:color w:val="auto"/>
        </w:rPr>
        <w:t>Effectiveness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provisions of this First Supplemental Indenture shall become effective as of the date hereof.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u w:val="single" w:color="auto"/>
          <w:color w:val="auto"/>
        </w:rPr>
        <w:t>Trustee Makes No Representation</w:t>
      </w:r>
      <w:r>
        <w:rPr>
          <w:rFonts w:ascii="Arial" w:cs="Arial" w:eastAsia="Arial" w:hAnsi="Arial"/>
          <w:sz w:val="18"/>
          <w:szCs w:val="18"/>
          <w:color w:val="auto"/>
        </w:rPr>
        <w:t>.</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recitals and statements contained herein and in the Notes are made solely by the Company and not by the Trustee, and the Trustee assumes no responsibility for the correctness thereof. The Trustee makes no representation as to the validity, adequacy or sufficiency of this First Supplemental Indenture or the Notes. All rights, protections, privileges, indemnities, immunities and benefits granted or afforded to the Trustee under the Base Indenture shall be deemed incorporated herein by this reference and shall be deemed applicable to all actions taken, suffered or omitted to be taken by the Trustee in each of its capacities hereunder, and each agent, custodian and other Person employed to act under this First Supplemental Indenture.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u w:val="single" w:color="auto"/>
          <w:color w:val="auto"/>
        </w:rPr>
        <w:t>Electronic Means</w:t>
      </w:r>
      <w:r>
        <w:rPr>
          <w:rFonts w:ascii="Arial" w:cs="Arial" w:eastAsia="Arial" w:hAnsi="Arial"/>
          <w:sz w:val="18"/>
          <w:szCs w:val="18"/>
          <w:color w:val="auto"/>
        </w:rPr>
        <w:t>.</w:t>
      </w:r>
    </w:p>
    <w:p>
      <w:pPr>
        <w:spacing w:after="0" w:line="22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Trustee shall have the right to accept and act upon instructions, including funds transfer instructions (“</w:t>
      </w:r>
      <w:r>
        <w:rPr>
          <w:rFonts w:ascii="Arial" w:cs="Arial" w:eastAsia="Arial" w:hAnsi="Arial"/>
          <w:sz w:val="17"/>
          <w:szCs w:val="17"/>
          <w:u w:val="single" w:color="auto"/>
          <w:color w:val="auto"/>
        </w:rPr>
        <w:t>Instructions</w:t>
      </w:r>
      <w:r>
        <w:rPr>
          <w:rFonts w:ascii="Arial" w:cs="Arial" w:eastAsia="Arial" w:hAnsi="Arial"/>
          <w:sz w:val="17"/>
          <w:szCs w:val="17"/>
          <w:color w:val="auto"/>
        </w:rPr>
        <w:t>”) given pursuant to this Indenture and delivered using Electronic Means; provided, however, that the Company shall provide to the Trustee an incumbency certificate listing officers with the authority to provide such Instructions (“</w:t>
      </w:r>
      <w:r>
        <w:rPr>
          <w:rFonts w:ascii="Arial" w:cs="Arial" w:eastAsia="Arial" w:hAnsi="Arial"/>
          <w:sz w:val="17"/>
          <w:szCs w:val="17"/>
          <w:u w:val="single" w:color="auto"/>
          <w:color w:val="auto"/>
        </w:rPr>
        <w:t>Authorized Officers</w:t>
      </w:r>
      <w:r>
        <w:rPr>
          <w:rFonts w:ascii="Arial" w:cs="Arial" w:eastAsia="Arial" w:hAnsi="Arial"/>
          <w:sz w:val="17"/>
          <w:szCs w:val="17"/>
          <w:color w:val="auto"/>
        </w:rPr>
        <w:t>”) and containing specimen signatures of such Authorized Officers, which incumbency certificate shall be amended by the Company whenever a person is to be added or deleted from the listing. If the Company elects to give the Trustee Instructions using Electronic Means and the Trustee in its discretion elects to act upon such Instructions, the Trustee’s understanding of such Instructions shall be deemed controlling. The Company understands and agrees that the Trustee cannot determine the identity of the actual sender of such Instructions and that the Trustee shall conclusively presume that directions that purport to have been sent by an Authorized Officer listed on the incumbency certificate provided to the Trustee have been sent by such Authorized Officer. The Company shall be responsible for ensuring that only Authorized Officers transmit such Instructions to the Trustee and that the Company and all Authorized Officers are solely responsible to safeguard the use and confidentiality of applicable user and authorization codes, passwords and/or authentication keys upon receipt by the Company. The Trustee shall not be liable for any losses, costs or expenses arising directly or indirectly from the Trustee’s reliance upon and compliance with such Instructions notwithstanding such directions conflict or are inconsistent with a subsequent written instruction. The Company agrees: (i) to assume all risks arising out of the use of Electronic Means to submit Instructions to the Trustee, including without limitation the risk of the Trustee acting on unauthorized Instructions, and the risk of interception and misuse by third parties; (ii) that it is fully informed of the protections and risks associated with the various methods of transmitting Instructions to the Trustee and that there may be more secure methods of transmitting Instructions than the method(s) selected by the Company; (iii) that the security procedures (if any) to be followed in connection with its transmission of Instructions provide to it a commercially reasonable degree of protection in light of its particular needs and circumstances; and (iv) to notify the Trustee immediately upon learning of any compromise or unauthorized use of the security procedures.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6.09. </w:t>
      </w:r>
      <w:r>
        <w:rPr>
          <w:rFonts w:ascii="Arial" w:cs="Arial" w:eastAsia="Arial" w:hAnsi="Arial"/>
          <w:sz w:val="18"/>
          <w:szCs w:val="18"/>
          <w:u w:val="single" w:color="auto"/>
          <w:color w:val="auto"/>
        </w:rPr>
        <w:t>OFAC Certification and Covenants</w:t>
      </w:r>
      <w:r>
        <w:rPr>
          <w:rFonts w:ascii="Arial" w:cs="Arial" w:eastAsia="Arial" w:hAnsi="Arial"/>
          <w:sz w:val="18"/>
          <w:szCs w:val="18"/>
          <w:color w:val="auto"/>
        </w:rPr>
        <w:t>.</w:t>
      </w:r>
    </w:p>
    <w:p>
      <w:pPr>
        <w:spacing w:after="0" w:line="225" w:lineRule="exact"/>
        <w:rPr>
          <w:sz w:val="20"/>
          <w:szCs w:val="20"/>
          <w:color w:val="auto"/>
        </w:rPr>
      </w:pPr>
    </w:p>
    <w:p>
      <w:pPr>
        <w:jc w:val="both"/>
        <w:ind w:firstLine="8"/>
        <w:spacing w:after="0" w:line="286" w:lineRule="auto"/>
        <w:tabs>
          <w:tab w:leader="none" w:pos="201"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Company covenants and represents that neither they nor any of their affiliates, subsidiaries, directors or officers are the target or subject of any sanctions enforced by the US Government, (including, the Office of Foreign Assets Control of the US Department of the Treasury (“</w:t>
      </w:r>
      <w:r>
        <w:rPr>
          <w:rFonts w:ascii="Arial" w:cs="Arial" w:eastAsia="Arial" w:hAnsi="Arial"/>
          <w:sz w:val="17"/>
          <w:szCs w:val="17"/>
          <w:u w:val="single" w:color="auto"/>
          <w:color w:val="auto"/>
        </w:rPr>
        <w:t>OFAC</w:t>
      </w:r>
      <w:r>
        <w:rPr>
          <w:rFonts w:ascii="Arial" w:cs="Arial" w:eastAsia="Arial" w:hAnsi="Arial"/>
          <w:sz w:val="17"/>
          <w:szCs w:val="17"/>
          <w:color w:val="auto"/>
        </w:rPr>
        <w:t>”)), the United Nations Security Council, the European Union, HM Treasury, or other relevant sanctions authority (collectively “</w:t>
      </w:r>
      <w:r>
        <w:rPr>
          <w:rFonts w:ascii="Arial" w:cs="Arial" w:eastAsia="Arial" w:hAnsi="Arial"/>
          <w:sz w:val="17"/>
          <w:szCs w:val="17"/>
          <w:u w:val="single" w:color="auto"/>
          <w:color w:val="auto"/>
        </w:rPr>
        <w:t>Sanctions</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jc w:val="both"/>
        <w:ind w:firstLine="8"/>
        <w:spacing w:after="0" w:line="259" w:lineRule="auto"/>
        <w:tabs>
          <w:tab w:leader="none" w:pos="219"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Company covenants and represents that neither they nor any of their affiliates, subsidiaries, directors or officers will use any payments made pursuant to this Indenture, (i) to fund or facilitate any activities of or business with any person who, at the time of such funding or facilitation, is the subject or target of Sanctions, (ii) to fund or facilitate any activities of or business with any country or territory that is the target or subject of Sanctions, or (iii) in any other manner that will result in a violation of Sanctions by any person.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04" w:name="page105"/>
    <w:bookmarkEnd w:id="104"/>
    <w:p>
      <w:pPr>
        <w:spacing w:after="0"/>
        <w:rPr>
          <w:sz w:val="20"/>
          <w:szCs w:val="20"/>
          <w:color w:val="auto"/>
        </w:rPr>
      </w:pPr>
      <w:r>
        <w:rPr>
          <w:rFonts w:ascii="Arial" w:cs="Arial" w:eastAsia="Arial" w:hAnsi="Arial"/>
          <w:sz w:val="16"/>
          <w:szCs w:val="16"/>
          <w:color w:val="auto"/>
        </w:rPr>
        <w:t>IN WITNESS WHEREOF, the parties hereto have caused this First Supplemental Indenture to be duly executed as of the date first above written.</w:t>
      </w:r>
    </w:p>
    <w:p>
      <w:pPr>
        <w:spacing w:after="0" w:line="24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HARROW HEALTH, INC.</w:t>
      </w:r>
    </w:p>
    <w:p>
      <w:pPr>
        <w:spacing w:after="0" w:line="225" w:lineRule="exact"/>
        <w:rPr>
          <w:sz w:val="20"/>
          <w:szCs w:val="20"/>
          <w:color w:val="auto"/>
        </w:rPr>
      </w:pPr>
    </w:p>
    <w:p>
      <w:pPr>
        <w:ind w:left="564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23495</wp:posOffset>
            </wp:positionV>
            <wp:extent cx="320611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Mark L. Baum</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First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80"/>
          </w:cols>
          <w:pgMar w:left="320" w:top="665" w:right="1099" w:bottom="1440" w:gutter="0" w:footer="0" w:header="0"/>
        </w:sectPr>
      </w:pPr>
    </w:p>
    <w:bookmarkStart w:id="105" w:name="page106"/>
    <w:bookmarkEnd w:id="105"/>
    <w:p>
      <w:pPr>
        <w:jc w:val="right"/>
        <w:ind w:right="639"/>
        <w:spacing w:after="0"/>
        <w:rPr>
          <w:sz w:val="20"/>
          <w:szCs w:val="20"/>
          <w:color w:val="auto"/>
        </w:rPr>
      </w:pPr>
      <w:r>
        <w:rPr>
          <w:rFonts w:ascii="Arial" w:cs="Arial" w:eastAsia="Arial" w:hAnsi="Arial"/>
          <w:sz w:val="18"/>
          <w:szCs w:val="18"/>
          <w:color w:val="auto"/>
        </w:rPr>
        <w:t>U.S. BANK NATIONAL ASSOCIATION, as Trustee</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5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Wally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23495</wp:posOffset>
            </wp:positionV>
            <wp:extent cx="320611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Wally Jones</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First Supplemental Indenture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303530</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449" w:right="1440"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NOTE IS A GLOBAL SECURITY WITHIN THE MEANING OF THE INDENTURE HEREINAFTER REFERRED TO AND IS REGISTERED IN THE NAME OF A DEPOSITARY (AS DEFINED IN THE INDENTURE) OR A NOMINEE THEREOF. THIS GLOBAL SECURITY IS EXCHANGEABLE FOR SECURITIES REGISTERED IN THE NAME OF ANY PERSON OTHER THAN SUCH DEPOSITARY OR ITS NOMINEE ONLY IN LIMITED CIRCUMSTANCES DESCRIBED IN THE INDENTURE AND, UNLESS AND UNTIL IT IS EXCHANGED IN WHOLE OR IN PART FOR SECURITIES IN DEFINITIVE FORM, THIS GLOBAL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UNLESS THIS CERTIFICATE IS PRESENTED BY AN AUTHORIZED REPRESENTATIVE OF THE DEPOSITORY TRUST COMPANY, A NEW YORK CORPORATION (“</w:t>
      </w:r>
      <w:r>
        <w:rPr>
          <w:rFonts w:ascii="Arial" w:cs="Arial" w:eastAsia="Arial" w:hAnsi="Arial"/>
          <w:sz w:val="18"/>
          <w:szCs w:val="18"/>
          <w:u w:val="single" w:color="auto"/>
          <w:color w:val="auto"/>
        </w:rPr>
        <w:t>DTC</w:t>
      </w:r>
      <w:r>
        <w:rPr>
          <w:rFonts w:ascii="Arial" w:cs="Arial" w:eastAsia="Arial" w:hAnsi="Arial"/>
          <w:sz w:val="18"/>
          <w:szCs w:val="18"/>
          <w:color w:val="auto"/>
        </w:rPr>
        <w:t>”), TO THE COMPANY (AS DEFINED BELOW) OR ITS AGENT FOR REGISTRATION OF TRANSFER, EXCHANGE OR PAYMENT, AND ANY SECURITY ISSUED IS REGISTERED IN THE NAME OF CEDE &amp; CO. OR IN SUCH OTHER NAME AS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95"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HARROW HEALTH,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8.625% Senior Note due 2026</w:t>
      </w:r>
    </w:p>
    <w:p>
      <w:pPr>
        <w:sectPr>
          <w:pgSz w:w="11900" w:h="16838" w:orient="portrait"/>
          <w:cols w:equalWidth="0" w:num="1">
            <w:col w:w="11240"/>
          </w:cols>
          <w:pgMar w:left="320" w:top="648" w:right="3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CUSIP No. 415858 208</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ISIN No. US4158582084</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Principal Amount</w:t>
      </w:r>
    </w:p>
    <w:p>
      <w:pPr>
        <w:spacing w:after="0" w:line="46"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$[______]</w:t>
      </w:r>
    </w:p>
    <w:p>
      <w:pPr>
        <w:spacing w:after="0" w:line="393" w:lineRule="exact"/>
        <w:rPr>
          <w:sz w:val="20"/>
          <w:szCs w:val="20"/>
          <w:color w:val="auto"/>
        </w:rPr>
      </w:pPr>
    </w:p>
    <w:p>
      <w:pPr>
        <w:sectPr>
          <w:pgSz w:w="11900" w:h="16838" w:orient="portrait"/>
          <w:cols w:equalWidth="0" w:num="2">
            <w:col w:w="9240" w:space="720"/>
            <w:col w:w="1280"/>
          </w:cols>
          <w:pgMar w:left="320" w:top="648" w:right="339" w:bottom="1440" w:gutter="0" w:footer="0" w:header="0"/>
          <w:type w:val="continuous"/>
        </w:sectPr>
      </w:pPr>
    </w:p>
    <w:p>
      <w:pPr>
        <w:spacing w:after="0" w:line="3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Harrow Health, Inc., a Delaware corporation (hereinafter called the “</w:t>
      </w:r>
      <w:r>
        <w:rPr>
          <w:rFonts w:ascii="Arial" w:cs="Arial" w:eastAsia="Arial" w:hAnsi="Arial"/>
          <w:sz w:val="16"/>
          <w:szCs w:val="16"/>
          <w:u w:val="single" w:color="auto"/>
          <w:color w:val="auto"/>
        </w:rPr>
        <w:t>Company</w:t>
      </w:r>
      <w:r>
        <w:rPr>
          <w:rFonts w:ascii="Arial" w:cs="Arial" w:eastAsia="Arial" w:hAnsi="Arial"/>
          <w:sz w:val="16"/>
          <w:szCs w:val="16"/>
          <w:color w:val="auto"/>
        </w:rPr>
        <w:t>”, which term includes any successor Person under the Indenture referred to below), for value received, hereby promises to pay to Cede &amp; Co., or registered assigns, the principal sum of [________] Dollars (U.S. $[________]) on</w:t>
      </w:r>
    </w:p>
    <w:p>
      <w:pPr>
        <w:jc w:val="both"/>
        <w:spacing w:after="0" w:line="267" w:lineRule="auto"/>
        <w:rPr>
          <w:sz w:val="20"/>
          <w:szCs w:val="20"/>
          <w:color w:val="auto"/>
        </w:rPr>
      </w:pPr>
      <w:r>
        <w:rPr>
          <w:rFonts w:ascii="Arial" w:cs="Arial" w:eastAsia="Arial" w:hAnsi="Arial"/>
          <w:sz w:val="17"/>
          <w:szCs w:val="17"/>
          <w:color w:val="auto"/>
        </w:rPr>
        <w:t>April 30, 2026 (the “</w:t>
      </w:r>
      <w:r>
        <w:rPr>
          <w:rFonts w:ascii="Arial" w:cs="Arial" w:eastAsia="Arial" w:hAnsi="Arial"/>
          <w:sz w:val="17"/>
          <w:szCs w:val="17"/>
          <w:u w:val="single" w:color="auto"/>
          <w:color w:val="auto"/>
        </w:rPr>
        <w:t>Maturity Date</w:t>
      </w:r>
      <w:r>
        <w:rPr>
          <w:rFonts w:ascii="Arial" w:cs="Arial" w:eastAsia="Arial" w:hAnsi="Arial"/>
          <w:sz w:val="17"/>
          <w:szCs w:val="17"/>
          <w:color w:val="auto"/>
        </w:rPr>
        <w:t>”) and to pay interest thereon from April 20, 2021 or from the most recent Interest Payment Date to which interest has been paid or duly provided for, quarterly on January 31, April 30, July 31 and October 31 in each year and on the Maturity Date (each an “</w:t>
      </w:r>
      <w:r>
        <w:rPr>
          <w:rFonts w:ascii="Arial" w:cs="Arial" w:eastAsia="Arial" w:hAnsi="Arial"/>
          <w:sz w:val="17"/>
          <w:szCs w:val="17"/>
          <w:u w:val="single" w:color="auto"/>
          <w:color w:val="auto"/>
        </w:rPr>
        <w:t>Interest Payment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Date</w:t>
      </w:r>
      <w:r>
        <w:rPr>
          <w:rFonts w:ascii="Arial" w:cs="Arial" w:eastAsia="Arial" w:hAnsi="Arial"/>
          <w:sz w:val="17"/>
          <w:szCs w:val="17"/>
          <w:color w:val="auto"/>
        </w:rPr>
        <w:t>”), beginning July 31, 2021 at the rate of 8.625% per annum, until the principal hereof is paid or duly made available for payment. The interest so payable and punctually paid or duly provided for on any Interest Payment Date shall, as provided in such Indenture, be paid to the Person in whose name this Note (or one or more Predecessor Securities) is registered at the close of business on the Regular Record Date for such interest, which shall be the January 15, April 15, July 15 or October 15 (whether or not a Business Day), as the case may be, preceding such Interest Payment Date. Any such interest which is payable, but is not punctually paid or duly provided for, on any Interest Payment Date shall forthwith cease to be payable to the Holder hereof on the relevant Regular Record Date by virtue of having been such Holder, and may be paid to the Person in whose name this Note (or one or more Predecessor Securities) is registered at the close of business on a Special Record Date for the payment of such Defaulted Interest to be fixed by the Trustee, notice whereof shall be given to Holders of the Notes not less than 10 days prior to such Special Record Date, or may be paid at any time in any other lawful manner not inconsistent with the requirements of any securities exchange on which the Notes may be listed, and upon such notice as may be required by such exchange, all as more fully provided in said Indenture.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amount of interest payable for any interest period, including interest payable for any partial interest period, will be computed on the basis of a 360-day year comprised of twelve 30-day months. If an interest payment date falls on a non-Business Day, the applicable interest payment will be made on the next Business Day and no additional interest will accrue as a result of such delayed payment.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type w:val="continuous"/>
        </w:sectPr>
      </w:pPr>
    </w:p>
    <w:bookmarkStart w:id="107" w:name="page108"/>
    <w:bookmarkEnd w:id="107"/>
    <w:p>
      <w:pPr>
        <w:jc w:val="both"/>
        <w:spacing w:after="0" w:line="254" w:lineRule="auto"/>
        <w:rPr>
          <w:sz w:val="20"/>
          <w:szCs w:val="20"/>
          <w:color w:val="auto"/>
        </w:rPr>
      </w:pPr>
      <w:r>
        <w:rPr>
          <w:rFonts w:ascii="Arial" w:cs="Arial" w:eastAsia="Arial" w:hAnsi="Arial"/>
          <w:sz w:val="18"/>
          <w:szCs w:val="18"/>
          <w:color w:val="auto"/>
        </w:rPr>
        <w:t>Payment of the principal of (and premium, if any) and the interest on this Note shall be made at the designated office of the Trustee (as defined below) at U.S. Bank National Association, 333 Commerce Street, Suite 800, Nashville, TN 37201, in such currency of the United States of America as at the time of payment is legal tender for payment of public and private debts; provided, however, for so long as the Notes are represented in global form by one or more Global Securities, all payments of principal (and premium, if any) and interest shall be made by wire transfer of immediately available funds to the Depositary or its nominee, as the case may be, as the registered owner of the Global Security representing such Notes. In the event that definitive Notes shall have been issued, all payments of principal (and premium, if any) and interest shall be made by wire transfer of immediately available funds to the accounts of the registered Holders thereof; provided, that the Company may at its option pay interest by check to the registered address of each Holder of a definitive Note.</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Note is one of the duly authorized series of Securities of the Company, designated as the Company’s “8.625% Senior Notes due 2026”, initially limited to an aggregate principal amount of $50,000,000 all issued or to be issued under and pursuant to an Indenture (the “</w:t>
      </w:r>
      <w:r>
        <w:rPr>
          <w:rFonts w:ascii="Arial" w:cs="Arial" w:eastAsia="Arial" w:hAnsi="Arial"/>
          <w:sz w:val="18"/>
          <w:szCs w:val="18"/>
          <w:u w:val="single" w:color="auto"/>
          <w:color w:val="auto"/>
        </w:rPr>
        <w:t>Base Indenture</w:t>
      </w:r>
      <w:r>
        <w:rPr>
          <w:rFonts w:ascii="Arial" w:cs="Arial" w:eastAsia="Arial" w:hAnsi="Arial"/>
          <w:sz w:val="18"/>
          <w:szCs w:val="18"/>
          <w:color w:val="auto"/>
        </w:rPr>
        <w:t>”), dated as of April 20, 2021, between the Company and U.S. Bank National Association, as trustee (hereinafter referred to as the “</w:t>
      </w:r>
      <w:r>
        <w:rPr>
          <w:rFonts w:ascii="Arial" w:cs="Arial" w:eastAsia="Arial" w:hAnsi="Arial"/>
          <w:sz w:val="18"/>
          <w:szCs w:val="18"/>
          <w:u w:val="single" w:color="auto"/>
          <w:color w:val="auto"/>
        </w:rPr>
        <w:t>Trustee</w:t>
      </w:r>
      <w:r>
        <w:rPr>
          <w:rFonts w:ascii="Arial" w:cs="Arial" w:eastAsia="Arial" w:hAnsi="Arial"/>
          <w:sz w:val="18"/>
          <w:szCs w:val="18"/>
          <w:color w:val="auto"/>
        </w:rPr>
        <w:t>”), as supplemented by the First Supplemental Indenture thereto, dated as of April 20, 2021 (the “</w:t>
      </w:r>
      <w:r>
        <w:rPr>
          <w:rFonts w:ascii="Arial" w:cs="Arial" w:eastAsia="Arial" w:hAnsi="Arial"/>
          <w:sz w:val="18"/>
          <w:szCs w:val="18"/>
          <w:u w:val="single" w:color="auto"/>
          <w:color w:val="auto"/>
        </w:rPr>
        <w:t>First Supplemental Indenture</w:t>
      </w:r>
      <w:r>
        <w:rPr>
          <w:rFonts w:ascii="Arial" w:cs="Arial" w:eastAsia="Arial" w:hAnsi="Arial"/>
          <w:sz w:val="18"/>
          <w:szCs w:val="18"/>
          <w:color w:val="auto"/>
        </w:rPr>
        <w:t>”, and, together with the Base Indenture, the “</w:t>
      </w:r>
      <w:r>
        <w:rPr>
          <w:rFonts w:ascii="Arial" w:cs="Arial" w:eastAsia="Arial" w:hAnsi="Arial"/>
          <w:sz w:val="18"/>
          <w:szCs w:val="18"/>
          <w:u w:val="single" w:color="auto"/>
          <w:color w:val="auto"/>
        </w:rPr>
        <w:t>Indenture</w:t>
      </w:r>
      <w:r>
        <w:rPr>
          <w:rFonts w:ascii="Arial" w:cs="Arial" w:eastAsia="Arial" w:hAnsi="Arial"/>
          <w:sz w:val="18"/>
          <w:szCs w:val="18"/>
          <w:color w:val="auto"/>
        </w:rPr>
        <w:t>”). Reference is hereby made to the Indenture for a description of the respective rights, limitation of rights, obligations, duties and immunities thereunder of the Trustee, the Company and the Holders of the Notes.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may redeem the Notes as a whole or in part, at any time and from time to time at the Company’s option prior to February 1, 2026, at a redemption price equal to 100% of the principal amount of the Notes to be redeemed, plus a Make-Whole Amount, if any, plus accrued and unpaid interest to, but excluding, the Redemption Date.</w:t>
      </w:r>
    </w:p>
    <w:p>
      <w:pPr>
        <w:spacing w:after="0" w:line="18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Company may redeem the Notes as a whole or in part, at any time and from time to time at the Company’s option on or after February 1, 2026 and prior to the Maturity Date, at a price equal to 100% of their principal amount, plus accrued and unpaid interest to, but excluding, the Redemption Date.</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each case, redemption shall be upon notice not fewer than 30 days and not more than 60 days prior to the Redemption Date. If less than all of the Notes are to be redeemed, the Notes to be redeemed shall be selected not more than 45 days prior to the Redemption Date by the Trustee from the outstanding Notes not previously called for redemption, by lot, or in the Trustee’s discretion, on a pro-rata basis, provided that the unredeemed portion of the principal amount of any Notes will be in an authorized denomination (which will not be less than the minimum authorized denomination) for such Notes. The Trustee will promptly notify the Company in writing of the Notes selected for redemption and, in the case of any Notes selected for partial redemption, the principal amount thereof to be redeemed.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Notes are not subject to any sinking fund.</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Trustee shall have no obligation to calculate any redemption price, including any Make-Whole Amount, or any component thereof, and the Trustee shall be entitled to receive and conclusively rely upon an Officer’s Certificate delivered by the Company that specifies any redemption price.</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an Event of Default with respect to the Notes shall occur and be continuing, the principal of the Notes may be declared due and payable in the manner and with the effect provided in the Indenture.</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not less than a majority in aggregate principal amount of the Securities at the time Outstanding of each series affected thereby. The Indenture also contains provisions permitting the Holders of specified percentages in aggregate principal amount of the Securities of any series at the time Outstanding, on behalf of the Holders of all Securities of such series, to waive certain past defaults under the Indenture and their consequences. Any such consent or waiver by the Holder of this Note shall be conclusive and binding upon such Holder and upon all future Holders of this Note and of any Note issued upon the registration of transfer hereof or in exchange herefor or in lieu hereof, whether or not notation of such consent or waiver is made upon this Note.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08" w:name="page109"/>
    <w:bookmarkEnd w:id="108"/>
    <w:p>
      <w:pPr>
        <w:jc w:val="both"/>
        <w:spacing w:after="0" w:line="286" w:lineRule="auto"/>
        <w:rPr>
          <w:sz w:val="20"/>
          <w:szCs w:val="20"/>
          <w:color w:val="auto"/>
        </w:rPr>
      </w:pPr>
      <w:r>
        <w:rPr>
          <w:rFonts w:ascii="Arial" w:cs="Arial" w:eastAsia="Arial" w:hAnsi="Arial"/>
          <w:sz w:val="17"/>
          <w:szCs w:val="17"/>
          <w:color w:val="auto"/>
        </w:rPr>
        <w:t>No reference herein to the Indenture and no provision of this Note or of the Indenture shall alter or impair the right of the Holder of this Note, which is absolute and unconditional, to receive payment of the principal of and interest on this Note at the times herein and in the Indenture prescribed and to institute suit for the enforcement of any such payment unless the Holder of this Note shall have consented to the impairment of such right.</w:t>
      </w:r>
    </w:p>
    <w:p>
      <w:pPr>
        <w:spacing w:after="0" w:line="16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provided in the Indenture and subject to certain limitations set forth therein, the transfer of this Note may be registered in the Security Register, upon surrender of this Note for registration of transfer at the office or agency of the Company in any place where the principal of (and premium, if any) and interest on this Note are payable, duly endorsed by, or accompanied by a written instrument of transfer in form satisfactory to the Company and the Security Registrar duly executed by, the Holder hereof or by his attorney duly authorized in writing, and thereupon one or more new Notes of this series and of any authorized denominations and of a like aggregate principal amount and tenor, shall be issued to the designated transferee or transferees.</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Notes are issuable only in registered form without coupons in minimum denominations of $25 and integral multiples of $25 in excess thereof. Subject to certain limitations therein set forth in the Indenture and in this Note, the Notes are exchangeable for a like aggregate principal amount of Notes of this series in different authorized denominations, as requested by the Holders surrendering the same.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 service charge shall be made for any such registration of transfer or for exchange of this Note, but the Company or the Trustee may require payment of a sum sufficient to cover any tax or other governmental charge that may be imposed in connection with any registration of transfer or exchange of a Note, other than in certain cases provided in the Indenture.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Prior to due presentment of this Note for registration of transfer, the Company, the Trustee and any agent of the Company or the Trustee may treat the Person in whose name this Note is registered as the owner hereof for all purposes, whether or not this Note be overdue, and neither the Company, the Trustee nor any such agent shall be affected by notice to the contrary.</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Indenture contains provisions whereby (i) the Company may be discharged from its obligations with respect to the Notes (subject to certain exceptions) or (ii) the Company may be released from its obligations under specified covenants and agreements in the Indenture, in each case if the Company irrevocably deposits with the Trustee money or U.S. Government Obligations sufficient to pay and discharge the entire indebtedness on all Notes of this series, and satisfies certain other conditions, all as more fully provided in the Indenture.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This Note shall be governed by and construed in accordance with the laws of the State of New York.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terms used in this Note which are defined in the Indenture shall have the meanings assigned to them in the Indenture.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9" w:name="page110"/>
    <w:bookmarkEnd w:id="109"/>
    <w:p>
      <w:pPr>
        <w:jc w:val="both"/>
        <w:spacing w:after="0" w:line="263" w:lineRule="auto"/>
        <w:rPr>
          <w:sz w:val="20"/>
          <w:szCs w:val="20"/>
          <w:color w:val="auto"/>
        </w:rPr>
      </w:pPr>
      <w:r>
        <w:rPr>
          <w:rFonts w:ascii="Arial" w:cs="Arial" w:eastAsia="Arial" w:hAnsi="Arial"/>
          <w:sz w:val="18"/>
          <w:szCs w:val="18"/>
          <w:color w:val="auto"/>
        </w:rPr>
        <w:t>Unless the certificate of authentication hereon has been executed by or on behalf of the Trustee under the Indenture by the manual signature (which may be scanned, photocopied or faxed or otherwise signed electronically (including by DocuSign or Adobe Sign)) of one of its authorized signatories, this Note shall not be entitled to any benefits under the Indenture or be valid or obligatory for any purpose.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Company has caused this instrument to be duly executed.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HARROW HEALTH, INC.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Mark L. Baum</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Harrow Health. Global Note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0" w:name="page111"/>
    <w:bookmarkEnd w:id="110"/>
    <w:p>
      <w:pPr>
        <w:ind w:left="3620"/>
        <w:spacing w:after="0"/>
        <w:rPr>
          <w:sz w:val="20"/>
          <w:szCs w:val="20"/>
          <w:color w:val="auto"/>
        </w:rPr>
      </w:pPr>
      <w:r>
        <w:rPr>
          <w:rFonts w:ascii="Arial" w:cs="Arial" w:eastAsia="Arial" w:hAnsi="Arial"/>
          <w:sz w:val="18"/>
          <w:szCs w:val="18"/>
          <w:color w:val="auto"/>
        </w:rPr>
        <w:t>TRUSTEE’S CERTIFICATE OF AUTHENTICATION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U.S. BANK NATIONAL ASSOCIATION, as Trustee</w:t>
      </w:r>
    </w:p>
    <w:p>
      <w:pPr>
        <w:spacing w:after="0" w:line="23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Wally Jones</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Wally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0"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Authentication Certificate to Harrow Health Global Note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52" w:right="1440"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color w:val="auto"/>
        </w:rPr>
        <w:t>ABBREVIATIONS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abbreviations, when used in the inscription on the face of this instrument, shall be construed as though they were written out in full according to applicable laws or regulations.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TEN COM - as tenants</w:t>
            </w:r>
          </w:p>
        </w:tc>
        <w:tc>
          <w:tcPr>
            <w:tcW w:w="5620" w:type="dxa"/>
            <w:vAlign w:val="bottom"/>
          </w:tcPr>
          <w:p>
            <w:pPr>
              <w:spacing w:after="0"/>
              <w:rPr>
                <w:sz w:val="20"/>
                <w:szCs w:val="20"/>
                <w:color w:val="auto"/>
              </w:rPr>
            </w:pPr>
            <w:r>
              <w:rPr>
                <w:rFonts w:ascii="Arial" w:cs="Arial" w:eastAsia="Arial" w:hAnsi="Arial"/>
                <w:sz w:val="18"/>
                <w:szCs w:val="18"/>
                <w:color w:val="auto"/>
              </w:rPr>
              <w:t>UNIF GIFT MIN ACT - . . .Custodian</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in common</w:t>
            </w:r>
          </w:p>
        </w:tc>
        <w:tc>
          <w:tcPr>
            <w:tcW w:w="5620" w:type="dxa"/>
            <w:vAlign w:val="bottom"/>
          </w:tcPr>
          <w:p>
            <w:pPr>
              <w:spacing w:after="0"/>
              <w:rPr>
                <w:sz w:val="20"/>
                <w:szCs w:val="20"/>
                <w:color w:val="auto"/>
              </w:rPr>
            </w:pPr>
            <w:r>
              <w:rPr>
                <w:rFonts w:ascii="Arial" w:cs="Arial" w:eastAsia="Arial" w:hAnsi="Arial"/>
                <w:sz w:val="18"/>
                <w:szCs w:val="18"/>
                <w:color w:val="auto"/>
              </w:rPr>
              <w:t>(Cust) (Minor)</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TEN ENT - as tenants by</w:t>
            </w:r>
          </w:p>
        </w:tc>
        <w:tc>
          <w:tcPr>
            <w:tcW w:w="5620" w:type="dxa"/>
            <w:vAlign w:val="bottom"/>
          </w:tcPr>
          <w:p>
            <w:pPr>
              <w:spacing w:after="0"/>
              <w:rPr>
                <w:sz w:val="20"/>
                <w:szCs w:val="20"/>
                <w:color w:val="auto"/>
              </w:rPr>
            </w:pPr>
            <w:r>
              <w:rPr>
                <w:rFonts w:ascii="Arial" w:cs="Arial" w:eastAsia="Arial" w:hAnsi="Arial"/>
                <w:sz w:val="18"/>
                <w:szCs w:val="18"/>
                <w:color w:val="auto"/>
              </w:rPr>
              <w:t>Under Uniform Gifts to</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the entireties</w:t>
            </w:r>
          </w:p>
        </w:tc>
        <w:tc>
          <w:tcPr>
            <w:tcW w:w="5620" w:type="dxa"/>
            <w:vAlign w:val="bottom"/>
          </w:tcPr>
          <w:p>
            <w:pPr>
              <w:spacing w:after="0"/>
              <w:rPr>
                <w:sz w:val="20"/>
                <w:szCs w:val="20"/>
                <w:color w:val="auto"/>
              </w:rPr>
            </w:pPr>
            <w:r>
              <w:rPr>
                <w:rFonts w:ascii="Arial" w:cs="Arial" w:eastAsia="Arial" w:hAnsi="Arial"/>
                <w:sz w:val="18"/>
                <w:szCs w:val="18"/>
                <w:color w:val="auto"/>
              </w:rPr>
              <w:t>Minor Act</w:t>
            </w:r>
          </w:p>
        </w:tc>
      </w:tr>
      <w:tr>
        <w:trPr>
          <w:trHeight w:val="251"/>
        </w:trPr>
        <w:tc>
          <w:tcPr>
            <w:tcW w:w="5620" w:type="dxa"/>
            <w:vAlign w:val="bottom"/>
          </w:tcPr>
          <w:p>
            <w:pPr>
              <w:spacing w:after="0"/>
              <w:rPr>
                <w:sz w:val="20"/>
                <w:szCs w:val="20"/>
                <w:color w:val="auto"/>
              </w:rPr>
            </w:pPr>
            <w:r>
              <w:rPr>
                <w:rFonts w:ascii="Arial" w:cs="Arial" w:eastAsia="Arial" w:hAnsi="Arial"/>
                <w:sz w:val="18"/>
                <w:szCs w:val="18"/>
                <w:color w:val="auto"/>
              </w:rPr>
              <w:t>JT TEN - as joint tenants</w:t>
            </w:r>
          </w:p>
        </w:tc>
        <w:tc>
          <w:tcPr>
            <w:tcW w:w="5620" w:type="dxa"/>
            <w:vAlign w:val="bottom"/>
            <w:tcBorders>
              <w:bottom w:val="single" w:sz="8" w:color="auto"/>
            </w:tcBorders>
          </w:tcPr>
          <w:p>
            <w:pPr>
              <w:spacing w:after="0"/>
              <w:rPr>
                <w:sz w:val="21"/>
                <w:szCs w:val="21"/>
                <w:color w:val="auto"/>
              </w:rPr>
            </w:pPr>
          </w:p>
        </w:tc>
      </w:tr>
      <w:tr>
        <w:trPr>
          <w:trHeight w:val="202"/>
        </w:trPr>
        <w:tc>
          <w:tcPr>
            <w:tcW w:w="5620" w:type="dxa"/>
            <w:vAlign w:val="bottom"/>
          </w:tcPr>
          <w:p>
            <w:pPr>
              <w:spacing w:after="0" w:line="201" w:lineRule="exact"/>
              <w:rPr>
                <w:sz w:val="20"/>
                <w:szCs w:val="20"/>
                <w:color w:val="auto"/>
              </w:rPr>
            </w:pPr>
            <w:r>
              <w:rPr>
                <w:rFonts w:ascii="Arial" w:cs="Arial" w:eastAsia="Arial" w:hAnsi="Arial"/>
                <w:sz w:val="18"/>
                <w:szCs w:val="18"/>
                <w:color w:val="auto"/>
              </w:rPr>
              <w:t>with right of</w:t>
            </w:r>
          </w:p>
        </w:tc>
        <w:tc>
          <w:tcPr>
            <w:tcW w:w="5620" w:type="dxa"/>
            <w:vAlign w:val="bottom"/>
          </w:tcPr>
          <w:p>
            <w:pPr>
              <w:spacing w:after="0"/>
              <w:rPr>
                <w:sz w:val="17"/>
                <w:szCs w:val="17"/>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survivorship and</w:t>
            </w:r>
          </w:p>
        </w:tc>
        <w:tc>
          <w:tcPr>
            <w:tcW w:w="5620" w:type="dxa"/>
            <w:vAlign w:val="bottom"/>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not as tenants in</w:t>
            </w:r>
          </w:p>
        </w:tc>
        <w:tc>
          <w:tcPr>
            <w:tcW w:w="5620" w:type="dxa"/>
            <w:vAlign w:val="bottom"/>
          </w:tcPr>
          <w:p>
            <w:pPr>
              <w:spacing w:after="0"/>
              <w:rPr>
                <w:sz w:val="18"/>
                <w:szCs w:val="18"/>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common</w:t>
            </w:r>
          </w:p>
        </w:tc>
        <w:tc>
          <w:tcPr>
            <w:tcW w:w="5620" w:type="dxa"/>
            <w:vAlign w:val="bottom"/>
          </w:tcPr>
          <w:p>
            <w:pPr>
              <w:ind w:left="40"/>
              <w:spacing w:after="0"/>
              <w:rPr>
                <w:sz w:val="20"/>
                <w:szCs w:val="20"/>
                <w:color w:val="auto"/>
              </w:rPr>
            </w:pPr>
            <w:r>
              <w:rPr>
                <w:rFonts w:ascii="Arial" w:cs="Arial" w:eastAsia="Arial" w:hAnsi="Arial"/>
                <w:sz w:val="18"/>
                <w:szCs w:val="18"/>
                <w:color w:val="auto"/>
              </w:rPr>
              <w:t>(State)</w:t>
            </w:r>
          </w:p>
        </w:tc>
      </w:tr>
      <w:tr>
        <w:trPr>
          <w:trHeight w:val="432"/>
        </w:trPr>
        <w:tc>
          <w:tcPr>
            <w:tcW w:w="5620" w:type="dxa"/>
            <w:vAlign w:val="bottom"/>
          </w:tcPr>
          <w:p>
            <w:pPr>
              <w:spacing w:after="0"/>
              <w:rPr>
                <w:sz w:val="20"/>
                <w:szCs w:val="20"/>
                <w:color w:val="auto"/>
              </w:rPr>
            </w:pPr>
            <w:r>
              <w:rPr>
                <w:rFonts w:ascii="Arial" w:cs="Arial" w:eastAsia="Arial" w:hAnsi="Arial"/>
                <w:sz w:val="18"/>
                <w:szCs w:val="18"/>
                <w:color w:val="auto"/>
                <w:w w:val="99"/>
              </w:rPr>
              <w:t>Additional abbreviations may also be used though not in the above list.</w:t>
            </w:r>
          </w:p>
        </w:tc>
        <w:tc>
          <w:tcPr>
            <w:tcW w:w="56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VALUE RECEIVED, the undersigned hereby sell(s), assign(s) and transfer(s) unto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(Please insert Assignee’s legal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(Please insert Social Security or other identifying number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(Please print or typewrite name and address including postal zip code of Assignee)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within Note of Harrow Health, Inc. and does hereby irrevocably constitute and appoint attorney to transfer the said Note on the books of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with full power of substitution in the premises.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Your</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 exactly as your name appears on the</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face of this Note)</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[NOTICE: The signature to this assignment must correspond with the name as written upon the face of the within instrument in every particular, without alteration or enlargement or any change whatever.]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1323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1504950</wp:posOffset>
            </wp:positionH>
            <wp:positionV relativeFrom="paragraph">
              <wp:posOffset>154305</wp:posOffset>
            </wp:positionV>
            <wp:extent cx="5606415" cy="4800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60641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20,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Harrow Health,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102 Woodmont Blvd., Suite 610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Nashville, Tennessee 37205</w:t>
      </w:r>
    </w:p>
    <w:p>
      <w:pPr>
        <w:spacing w:after="0" w:line="211"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Harrow Health,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our capacity as special securities counsel to Harrow Health, Inc., a Delaware corporation (the “Company”), in connection with the issuance of $50,000,000 aggregate principal amount of the Company’s 8.625% Senior Notes due 2026 (the “Notes”), we have examined (i) the Registration Statement on Form S-3 (Registration No. 333-239669) filed by the Company under the Securities Act of 1933, as amended, (ii) the related Prospectus, dated July 13, 2020 (the “Prospectus”), as supplemented by the Prospectus Supplement, dated April 15, 2021 (the “Prospectus Supplement”), and (iii) the base Indenture, dated as of April 20, 2021, between the Company and U.S. Bank National Association (the “Trustee”), as supplemented by the First Supplemental Indenture dated as of April 20, 2021 (collectively, the “Indenture”). In this regard, we have examined and relied upon such records, documents and other instruments as in our judgment are necessary or appropriate in order to express the opinions hereinafter set forth and have assumed the genuineness of all signatures, the authenticity of all documents submitted to us as originals, and the conformity to original documents of all documents submitted to us as certified or photostatic copies.</w:t>
      </w:r>
    </w:p>
    <w:p>
      <w:pPr>
        <w:spacing w:after="0" w:line="18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assume for purposes of this opinion that the Trustee is duly organized, validly existing and in good standing under the laws of its jurisdiction of organization; that the Trustee is duly qualified to engage in activities contemplated by the Indenture; that the Indenture has been duly authorized, executed and delivered by the Trustee and constitutes the legally valid and binding obligation of the Trustee enforceable against the Trustee in accordance with its terms; that the Trustee is in compliance, with respect to acting as a trustee under the Indenture, with all applicable laws and regulations; and that the Trustee has the requisite organizational and legal power and authority to perform its obligations under the Indenture.</w:t>
      </w:r>
    </w:p>
    <w:p>
      <w:pPr>
        <w:spacing w:after="0" w:line="17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Based upon the foregoing, we are of the opinion that the Notes have been duly authorized by all necessary corporate action on the part of the Company and, when authenticated and delivered by the Trustee and issued by the Company in accordance with the terms of the Indenture and the Underwriting Agreement, dated April 15, 2021 (the “Underwriting Agreement”), by and between the Company and B. Riley Securities, Inc., as representative of the several underwriters named in the Underwriting Agreement, and in the manner and on the terms described in the Prospectus and the Prospectus Supplement, the Notes will be valid and binding obligations of the Company enforceable in accordance with their terms, except as enforceability may be limited by bankruptcy, insolvency, reorganization or other similar laws relating to creditors’ rights or by general principles of equity.</w:t>
      </w:r>
    </w:p>
    <w:p>
      <w:pPr>
        <w:spacing w:after="0" w:line="16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foregoing opinion is limited to matters arising under the laws of the State of New York and the General Corporation Law of the State of Delaware as in effect on the date hereof. We hereby consent to the filing of this opinion as an exhibit to the Company’s current report on Form 8-K and further consent to the reference to us under the caption “Legal Matters” in the Prospectus and the Prospectus Supplement. This consent is not to be construed as an admission that we are a party whose consent is required to be filed with the Prospectus or the Prospectus Supplement under the provisions of the Securities Act of 1933, as amended, or the rules and regulations of the Securities and Exchange Commission promulgated thereunder.</w:t>
      </w:r>
    </w:p>
    <w:p>
      <w:pPr>
        <w:spacing w:after="0" w:line="16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/s/ Waller Lansden Dortch &amp; Davis,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2482215</wp:posOffset>
            </wp:positionH>
            <wp:positionV relativeFrom="paragraph">
              <wp:posOffset>154305</wp:posOffset>
            </wp:positionV>
            <wp:extent cx="2143125" cy="8147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143125"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Harrow Health Announces Pricing of $50 Million Offering of Senior Notes Due 2026</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NASHVILLE, Tenn., April 15, 2021 – Harrow Health, Inc. (NASDAQ: HROW) (“Harrow Health” or the “Company”), an ophthalmic-focused healthcare company, today announced the pricing of its underwritten registered public offering of $50 million aggregate principal amount of 8.625% senior notes due 2026 (the “Notes”). The Company has granted the underwriters a 30-day option to purchase an additional $5.0 million aggregate principal amount of senior notes in connection with the offering. The offering is expected to close on April 20, 2021, subject to customary closing conditions.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Harrow Health and this issuance of notes both received a rating of “BB” from Egan-Jones Ratings Company, an independent, unaffiliated rating agency. The Company has applied to list the notes on Nasdaq under the symbol “HROWL” and expects the notes to begin trading within 30 business days of the closing date of the offering, if approved.</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expects to use the net proceeds of the offering to repay outstanding borrowings of approximately $15.5 million under the Company’s term loan and security agreement with SWK Funding LLC, a subsidiary of SWK Holdings Corporation, and its partners, with the remaining net proceeds available for general corporate purposes, including funding future strategic product acquisitions and related investments, making capital expenditures and funding working capital.</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 Riley Securities, National Securities Corporation, Ladenburg Thalmann and William Blair are acting as book-running managers for this offering. Aegis Capital Corp., Boenning &amp; Scattergood and Maxim Group LLC are acting as co-managers.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notes will be offered under the Company's shelf registration statement on Form S-3, which was declared effective by the Securities and Exchange Commission ("SEC") on July 13, 2020. The offering of these notes will be made only by means of a preliminary prospectus supplement filed with the SEC on April 14, 2021 and accompanying base prospectus, and a final prospectus supplement which will be filed with the SEC.</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Copies of the prospectus supplement and the accompanying base prospectus may be obtained on the SEC’s website at </w:t>
      </w:r>
      <w:r>
        <w:rPr>
          <w:rFonts w:ascii="Arial" w:cs="Arial" w:eastAsia="Arial" w:hAnsi="Arial"/>
          <w:sz w:val="16"/>
          <w:szCs w:val="16"/>
          <w:u w:val="single" w:color="auto"/>
          <w:color w:val="auto"/>
        </w:rPr>
        <w:t>www.sec.gov</w:t>
      </w:r>
      <w:r>
        <w:rPr>
          <w:rFonts w:ascii="Arial" w:cs="Arial" w:eastAsia="Arial" w:hAnsi="Arial"/>
          <w:sz w:val="16"/>
          <w:szCs w:val="16"/>
          <w:color w:val="auto"/>
        </w:rPr>
        <w:t>, or by contacting B.</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Riley Securities by phone at (703) 312-9580, or by emailing </w:t>
      </w:r>
      <w:r>
        <w:rPr>
          <w:rFonts w:ascii="Arial" w:cs="Arial" w:eastAsia="Arial" w:hAnsi="Arial"/>
          <w:sz w:val="18"/>
          <w:szCs w:val="18"/>
          <w:u w:val="single" w:color="auto"/>
          <w:color w:val="auto"/>
        </w:rPr>
        <w:t>prospectuses@brileyfin.com</w:t>
      </w:r>
      <w:r>
        <w:rPr>
          <w:rFonts w:ascii="Arial" w:cs="Arial" w:eastAsia="Arial" w:hAnsi="Arial"/>
          <w:sz w:val="18"/>
          <w:szCs w:val="18"/>
          <w:color w:val="auto"/>
        </w:rPr>
        <w:t>.</w:t>
      </w:r>
    </w:p>
    <w:p>
      <w:pPr>
        <w:spacing w:after="0" w:line="21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This press release shall not constitute an offer to sell or the solicitation of an offer to buy, nor shall there be any sale of the notes in any state or jurisdiction in which such offer, sale or solicitation would be unlawful prior to registration or qualification under the securities laws of any such state or jurisdiction.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Harrow Health</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Harrow Health, Inc. (NASDAQ: HROW) is an ophthalmic-focused healthcare company. The Company owns ImprimisRx, the nation’s leading ophthalmology outsourcing and pharmaceutical compounding business, and Visionology, a direct-to-consumer eye care subsidiary focused on chronic eye disease. Harrow Health also holds large equity positions in Eton Pharmaceuticals, Surface Ophthalmics and Melt Pharmaceuticals, all of which started as Harrow Health subsidiaries. Harrow Health also owns royalty rights in four clinical stage drug candidates being developed by Surface Ophthalmics and Melt Pharmaceuticals. For more information about Harrow Health, please visit the Investors section of the corporate website, </w:t>
      </w:r>
      <w:r>
        <w:rPr>
          <w:rFonts w:ascii="Arial" w:cs="Arial" w:eastAsia="Arial" w:hAnsi="Arial"/>
          <w:sz w:val="16"/>
          <w:szCs w:val="16"/>
          <w:u w:val="single" w:color="auto"/>
          <w:color w:val="auto"/>
        </w:rPr>
        <w:t>harrowinc.com.</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color w:val="auto"/>
        </w:rPr>
        <w:t>HROW Announces Pricing of $50 Million Offering of Senior Notes Due 2026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15,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This press release contains “forward-looking statements” within the meaning of the U.S. Private Securities Litigation Reform Act of 1995. Any statements in this release that are not historical facts may be considered such “forward-looking statements.” Such forward looking statements include, but are not limited to, statements regarding the terms and conditions and timing of the senior notes offering and the intended use of proceeds. Because these forward-looking statements involve known and unknown risks and uncertainties, there are important factors that could cause actual results, events or developments to differ materially from those expressed or implied by these forward-looking statements. Factors that could cause actual results to differ include (without limitation) the possibility that the notes offering will not be consummated at the expected time, on the expected terms, or at all. Additional risks and uncertainties are more fully described in Harrow Health’s filings with the Securities and Exchange Commission, including its Annual Report on Form 10-K for the year ended December 31, 2020. Such documents may be read free of charge on the SEC's web site at </w:t>
      </w:r>
      <w:r>
        <w:rPr>
          <w:rFonts w:ascii="Arial" w:cs="Arial" w:eastAsia="Arial" w:hAnsi="Arial"/>
          <w:sz w:val="17"/>
          <w:szCs w:val="17"/>
          <w:u w:val="single" w:color="auto"/>
          <w:color w:val="auto"/>
        </w:rPr>
        <w:t>www.sec.gov</w:t>
      </w:r>
      <w:r>
        <w:rPr>
          <w:rFonts w:ascii="Arial" w:cs="Arial" w:eastAsia="Arial" w:hAnsi="Arial"/>
          <w:sz w:val="17"/>
          <w:szCs w:val="17"/>
          <w:color w:val="auto"/>
        </w:rPr>
        <w:t>. Undue reliance should not be placed on forward-looking statements, which speak only as of the date they are made. Except as required by law, Harrow Health undertakes no obligation to update any forward-looking statements to reflect new information, events or circumstances after the date they are made, or to reflect the occurrence of unanticipated events.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Jamie Webb, Director of Communications and 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jwebb@harrowinc.com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615-733-4737</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154305</wp:posOffset>
            </wp:positionV>
            <wp:extent cx="2143125" cy="7797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143125"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Harrow Health Announces Closing of $50 Million Offering of Senior Notes Due 2026</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NASHVILLE, Tenn., April 20, 2021 – Harrow Health, Inc. (NASDAQ: HROW) (“Harrow Health” or the “Company”), an ophthalmic-focused healthcare company, today announced the closing of its underwritten registered public offering of $50 million aggregate principal amount of 8.625% senior notes due 2026 (the “Notes”). The Company has granted the underwriters a 30-day option to purchase an additional $5.0 million aggregate principal amount of Notes in connection with the offering.</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Harrow Health and this issuance of notes both received a rating of “BB” from Egan-Jones Ratings Company, an independent, unaffiliated rating agency.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Notes are expected to begin trading on Nasdaq under the symbol “HROWL” following the closing date of this offering.</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offering resulted in net proceeds of approximately $48.0 million after deducting underwriting discounts and commission, but before expenses. The Company expects to use the net proceeds of the offering to repay outstanding borrowings of approximately $15.5 million under the Company’s term loan and security agreement with SWK Funding LLC, a subsidiary of SWK Holdings Corporation, and its partners, with the remaining net proceeds available for general corporate purposes, including funding future strategic product acquisitions and related investments, making capital expenditures and funding working capital.</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 Riley Securities, National Securities Corporation, Ladenburg Thalmann and William Blair are acting as book-running managers for this offering. Aegis Capital Corp., Boenning &amp; Scattergood and Maxim Group LLC are acting as co-managers.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Waller Lansden Dortch &amp; Davis, LLP acted as legal counsel to the Company. Duane Morris LLP acted as legal counsel to the underwriters.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Notes were offered under the Company’s shelf registration statement on Form S-3, which was declared effective by the Securities and Exchange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Commission (“SEC”) on July 13, 2020. The offering of the Notes was made only by means of a prospectus supplement and accompanying base prospectus,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each of which was previously filed with the SEC.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Copies of the prospectus supplement and the accompanying base prospectus may be obtained on the SEC’s website at </w:t>
      </w:r>
      <w:r>
        <w:rPr>
          <w:rFonts w:ascii="Arial" w:cs="Arial" w:eastAsia="Arial" w:hAnsi="Arial"/>
          <w:sz w:val="16"/>
          <w:szCs w:val="16"/>
          <w:u w:val="single" w:color="auto"/>
          <w:color w:val="auto"/>
        </w:rPr>
        <w:t>www.sec.gov</w:t>
      </w:r>
      <w:r>
        <w:rPr>
          <w:rFonts w:ascii="Arial" w:cs="Arial" w:eastAsia="Arial" w:hAnsi="Arial"/>
          <w:sz w:val="16"/>
          <w:szCs w:val="16"/>
          <w:color w:val="auto"/>
        </w:rPr>
        <w:t>, or by contacting B.</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Riley Securities by phone at (703) 312-9580, or by emailing </w:t>
      </w:r>
      <w:r>
        <w:rPr>
          <w:rFonts w:ascii="Arial" w:cs="Arial" w:eastAsia="Arial" w:hAnsi="Arial"/>
          <w:sz w:val="18"/>
          <w:szCs w:val="18"/>
          <w:u w:val="single" w:color="auto"/>
          <w:color w:val="auto"/>
        </w:rPr>
        <w:t>prospectuses@brileyfin.com.</w:t>
      </w:r>
    </w:p>
    <w:p>
      <w:pPr>
        <w:spacing w:after="0" w:line="21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This press release shall not constitute an offer to sell or the solicitation of an offer to buy, nor shall there be any sale of the Notes in any state or jurisdiction in which such offer, sale or solicitation would be unlawful prior to registration or qualification under the securities laws of any such state or jurisdiction.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color w:val="auto"/>
        </w:rPr>
        <w:t>HROW Announces Closing of $50 Million Senior Notes Due 2026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20,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Harrow Health</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Harrow Health, Inc. (NASDAQ: HROW) is an ophthalmic-focused healthcare company. The Company owns ImprimisRx, the nation’s leading ophthalmology outsourcing and pharmaceutical compounding business, and Visionology, a direct-to-consumer eye care subsidiary focused on chronic eye disease. Harrow Health also holds large equity positions in Eton Pharmaceuticals, Surface Ophthalmics and Melt Pharmaceuticals, all of which started as Harrow Health subsidiaries. Harrow Health also owns royalty rights in four clinical stage drug candidates being developed by Surface Ophthalmics and Melt Pharmaceuticals. For more information about Harrow Health, please visit the Investors section of the corporate website, </w:t>
      </w:r>
      <w:r>
        <w:rPr>
          <w:rFonts w:ascii="Arial" w:cs="Arial" w:eastAsia="Arial" w:hAnsi="Arial"/>
          <w:sz w:val="16"/>
          <w:szCs w:val="16"/>
          <w:u w:val="single" w:color="auto"/>
          <w:color w:val="auto"/>
        </w:rPr>
        <w:t>harrowinc.com.</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This press release contains “forward-looking statements” within the meaning of the U.S. Private Securities Litigation Reform Act of 1995. Any statements in this release that are not historical facts may be considered such “forward-looking statements.” Such forward looking statements include, but are not limited to, statements regarding the terms and conditions and timing of the senior notes offering and the intended use of proceeds. Because these forward-looking statements involve known and unknown risks and uncertainties, there are important factors that could cause actual results, events or developments to differ materially from those expressed or implied by these forward-looking statements. Additional risks and uncertainties are more fully described in Harrow Health’s filings with the Securities and Exchange Commission, including its Annual Report on Form 10-K for the year ended December 31, 2020. Such documents may be read free of charge on the SEC's web site at </w:t>
      </w:r>
      <w:r>
        <w:rPr>
          <w:rFonts w:ascii="Arial" w:cs="Arial" w:eastAsia="Arial" w:hAnsi="Arial"/>
          <w:sz w:val="16"/>
          <w:szCs w:val="16"/>
          <w:u w:val="single" w:color="auto"/>
          <w:color w:val="auto"/>
        </w:rPr>
        <w:t>www.sec.gov</w:t>
      </w:r>
      <w:r>
        <w:rPr>
          <w:rFonts w:ascii="Arial" w:cs="Arial" w:eastAsia="Arial" w:hAnsi="Arial"/>
          <w:sz w:val="16"/>
          <w:szCs w:val="16"/>
          <w:color w:val="auto"/>
        </w:rPr>
        <w:t>. Undue reliance should not be placed on forward-looking statements, which speak only as of the date they are made. Except as required by law, Harrow Health undertakes no obligation to update any forward-looking statements to reflect new information, events or circumstances after the date they are made, or to reflect the occurrence of unanticipated events.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Jamie Webb, Director of Communications and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jwebb@harrowinc.com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615-733-4737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5A06FB"/>
    <w:multiLevelType w:val="hybridMultilevel"/>
    <w:lvl w:ilvl="0">
      <w:lvlJc w:val="left"/>
      <w:lvlText w:val="☐"/>
      <w:numFmt w:val="bullet"/>
      <w:start w:val="1"/>
    </w:lvl>
  </w:abstractNum>
  <w:abstractNum w:abstractNumId="1">
    <w:nsid w:val="2CD89A32"/>
    <w:multiLevelType w:val="hybridMultilevel"/>
    <w:lvl w:ilvl="0">
      <w:lvlJc w:val="left"/>
      <w:lvlText w:val="(%1)"/>
      <w:numFmt w:val="lowerLetter"/>
      <w:start w:val="4"/>
    </w:lvl>
  </w:abstractNum>
  <w:abstractNum w:abstractNumId="2">
    <w:nsid w:val="57E4CCAF"/>
    <w:multiLevelType w:val="hybridMultilevel"/>
    <w:lvl w:ilvl="0">
      <w:lvlJc w:val="left"/>
      <w:lvlText w:val="%1."/>
      <w:numFmt w:val="decimal"/>
      <w:start w:val="1"/>
    </w:lvl>
  </w:abstractNum>
  <w:abstractNum w:abstractNumId="3">
    <w:nsid w:val="7A6D8D3C"/>
    <w:multiLevelType w:val="hybridMultilevel"/>
    <w:lvl w:ilvl="0">
      <w:lvlJc w:val="left"/>
      <w:lvlText w:val="%1."/>
      <w:numFmt w:val="decimal"/>
      <w:start w:val="2"/>
    </w:lvl>
    <w:lvl w:ilvl="1">
      <w:lvlJc w:val="left"/>
      <w:lvlText w:val="(%2)"/>
      <w:numFmt w:val="lowerLetter"/>
      <w:start w:val="1"/>
    </w:lvl>
  </w:abstractNum>
  <w:abstractNum w:abstractNumId="4">
    <w:nsid w:val="4B588F54"/>
    <w:multiLevelType w:val="hybridMultilevel"/>
    <w:lvl w:ilvl="0">
      <w:lvlJc w:val="left"/>
      <w:lvlText w:val="(%1)"/>
      <w:numFmt w:val="lowerLetter"/>
      <w:start w:val="2"/>
    </w:lvl>
  </w:abstractNum>
  <w:abstractNum w:abstractNumId="5">
    <w:nsid w:val="542289EC"/>
    <w:multiLevelType w:val="hybridMultilevel"/>
    <w:lvl w:ilvl="0">
      <w:lvlJc w:val="left"/>
      <w:lvlText w:val="(%1)"/>
      <w:numFmt w:val="lowerLetter"/>
      <w:start w:val="3"/>
    </w:lvl>
  </w:abstractNum>
  <w:abstractNum w:abstractNumId="6">
    <w:nsid w:val="6DE91B18"/>
    <w:multiLevelType w:val="hybridMultilevel"/>
    <w:lvl w:ilvl="0">
      <w:lvlJc w:val="left"/>
      <w:lvlText w:val="(%1)"/>
      <w:numFmt w:val="lowerLetter"/>
      <w:start w:val="7"/>
    </w:lvl>
  </w:abstractNum>
  <w:abstractNum w:abstractNumId="7">
    <w:nsid w:val="38437FDB"/>
    <w:multiLevelType w:val="hybridMultilevel"/>
    <w:lvl w:ilvl="0">
      <w:lvlJc w:val="left"/>
      <w:lvlText w:val="(%1)"/>
      <w:numFmt w:val="lowerLetter"/>
      <w:start w:val="12"/>
    </w:lvl>
  </w:abstractNum>
  <w:abstractNum w:abstractNumId="8">
    <w:nsid w:val="7644A45C"/>
    <w:multiLevelType w:val="hybridMultilevel"/>
    <w:lvl w:ilvl="0">
      <w:lvlJc w:val="left"/>
      <w:lvlText w:val="(%1)"/>
      <w:numFmt w:val="lowerLetter"/>
      <w:start w:val="18"/>
    </w:lvl>
  </w:abstractNum>
  <w:abstractNum w:abstractNumId="9">
    <w:nsid w:val="32FFF902"/>
    <w:multiLevelType w:val="hybridMultilevel"/>
    <w:lvl w:ilvl="0">
      <w:lvlJc w:val="left"/>
      <w:lvlText w:val="(%1)"/>
      <w:numFmt w:val="lowerLetter"/>
      <w:start w:val="23"/>
    </w:lvl>
  </w:abstractNum>
  <w:abstractNum w:abstractNumId="10">
    <w:nsid w:val="684A481A"/>
    <w:multiLevelType w:val="hybridMultilevel"/>
    <w:lvl w:ilvl="0">
      <w:lvlJc w:val="left"/>
      <w:lvlText w:val="(%1)"/>
      <w:numFmt w:val="lowerLetter"/>
      <w:start w:val="27"/>
    </w:lvl>
  </w:abstractNum>
  <w:abstractNum w:abstractNumId="11">
    <w:nsid w:val="579478FE"/>
    <w:multiLevelType w:val="hybridMultilevel"/>
    <w:lvl w:ilvl="0">
      <w:lvlJc w:val="left"/>
      <w:lvlText w:val="(%1)"/>
      <w:numFmt w:val="lowerLetter"/>
      <w:start w:val="29"/>
    </w:lvl>
  </w:abstractNum>
  <w:abstractNum w:abstractNumId="12">
    <w:nsid w:val="749ABB43"/>
    <w:multiLevelType w:val="hybridMultilevel"/>
    <w:lvl w:ilvl="0">
      <w:lvlJc w:val="left"/>
      <w:lvlText w:val="(%1)"/>
      <w:numFmt w:val="lowerLetter"/>
      <w:start w:val="35"/>
    </w:lvl>
  </w:abstractNum>
  <w:abstractNum w:abstractNumId="13">
    <w:nsid w:val="3DC240FB"/>
    <w:multiLevelType w:val="hybridMultilevel"/>
    <w:lvl w:ilvl="0">
      <w:lvlJc w:val="left"/>
      <w:lvlText w:val="%1"/>
      <w:numFmt w:val="decimal"/>
      <w:start w:val="1"/>
    </w:lvl>
    <w:lvl w:ilvl="1">
      <w:lvlJc w:val="left"/>
      <w:lvlText w:val="(%2)"/>
      <w:numFmt w:val="lowerLetter"/>
      <w:start w:val="39"/>
    </w:lvl>
  </w:abstractNum>
  <w:abstractNum w:abstractNumId="14">
    <w:nsid w:val="1BA026FA"/>
    <w:multiLevelType w:val="hybridMultilevel"/>
    <w:lvl w:ilvl="0">
      <w:lvlJc w:val="left"/>
      <w:lvlText w:val="(%1)"/>
      <w:numFmt w:val="decimal"/>
      <w:start w:val="3"/>
    </w:lvl>
    <w:lvl w:ilvl="1">
      <w:lvlJc w:val="left"/>
      <w:lvlText w:val="(%2)"/>
      <w:numFmt w:val="lowerLetter"/>
      <w:start w:val="40"/>
    </w:lvl>
  </w:abstractNum>
  <w:abstractNum w:abstractNumId="15">
    <w:nsid w:val="79A1DEAA"/>
    <w:multiLevelType w:val="hybridMultilevel"/>
    <w:lvl w:ilvl="0">
      <w:lvlJc w:val="left"/>
      <w:lvlText w:val="(%1)"/>
      <w:numFmt w:val="lowerLetter"/>
      <w:start w:val="43"/>
    </w:lvl>
  </w:abstractNum>
  <w:abstractNum w:abstractNumId="16">
    <w:nsid w:val="75C6C33A"/>
    <w:multiLevelType w:val="hybridMultilevel"/>
    <w:lvl w:ilvl="0">
      <w:lvlJc w:val="left"/>
      <w:lvlText w:val="%1"/>
      <w:numFmt w:val="decimal"/>
      <w:start w:val="1"/>
    </w:lvl>
    <w:lvl w:ilvl="1">
      <w:lvlJc w:val="left"/>
      <w:lvlText w:val="(%2)"/>
      <w:numFmt w:val="lowerLetter"/>
      <w:start w:val="49"/>
    </w:lvl>
  </w:abstractNum>
  <w:abstractNum w:abstractNumId="17">
    <w:nsid w:val="12E685FB"/>
    <w:multiLevelType w:val="hybridMultilevel"/>
    <w:lvl w:ilvl="0">
      <w:lvlJc w:val="left"/>
      <w:lvlText w:val="%1."/>
      <w:numFmt w:val="decimal"/>
      <w:start w:val="3"/>
    </w:lvl>
    <w:lvl w:ilvl="1">
      <w:lvlJc w:val="left"/>
      <w:lvlText w:val="(%2)"/>
      <w:numFmt w:val="lowerLetter"/>
      <w:start w:val="1"/>
    </w:lvl>
  </w:abstractNum>
  <w:abstractNum w:abstractNumId="18">
    <w:nsid w:val="70C6A529"/>
    <w:multiLevelType w:val="hybridMultilevel"/>
    <w:lvl w:ilvl="0">
      <w:lvlJc w:val="left"/>
      <w:lvlText w:val="%1."/>
      <w:numFmt w:val="decimal"/>
      <w:start w:val="4"/>
    </w:lvl>
  </w:abstractNum>
  <w:abstractNum w:abstractNumId="19">
    <w:nsid w:val="520EEDD1"/>
    <w:multiLevelType w:val="hybridMultilevel"/>
    <w:lvl w:ilvl="0">
      <w:lvlJc w:val="left"/>
      <w:lvlText w:val="(%1)"/>
      <w:numFmt w:val="lowerLetter"/>
      <w:start w:val="1"/>
    </w:lvl>
  </w:abstractNum>
  <w:abstractNum w:abstractNumId="20">
    <w:nsid w:val="374A3FE6"/>
    <w:multiLevelType w:val="hybridMultilevel"/>
    <w:lvl w:ilvl="0">
      <w:lvlJc w:val="left"/>
      <w:lvlText w:val="(%1)"/>
      <w:numFmt w:val="lowerLetter"/>
      <w:start w:val="4"/>
    </w:lvl>
  </w:abstractNum>
  <w:abstractNum w:abstractNumId="21">
    <w:nsid w:val="4F4EF005"/>
    <w:multiLevelType w:val="hybridMultilevel"/>
    <w:lvl w:ilvl="0">
      <w:lvlJc w:val="left"/>
      <w:lvlText w:val="%1"/>
      <w:numFmt w:val="decimal"/>
      <w:start w:val="1"/>
    </w:lvl>
    <w:lvl w:ilvl="1">
      <w:lvlJc w:val="left"/>
      <w:lvlText w:val="(%2)"/>
      <w:numFmt w:val="lowerLetter"/>
      <w:start w:val="11"/>
    </w:lvl>
  </w:abstractNum>
  <w:abstractNum w:abstractNumId="22">
    <w:nsid w:val="23F9C13C"/>
    <w:multiLevelType w:val="hybridMultilevel"/>
    <w:lvl w:ilvl="0">
      <w:lvlJc w:val="left"/>
      <w:lvlText w:val="%1."/>
      <w:numFmt w:val="decimal"/>
      <w:start w:val="5"/>
    </w:lvl>
    <w:lvl w:ilvl="1">
      <w:lvlJc w:val="left"/>
      <w:lvlText w:val="%2"/>
      <w:numFmt w:val="lowerLetter"/>
      <w:start w:val="1"/>
    </w:lvl>
  </w:abstractNum>
  <w:abstractNum w:abstractNumId="23">
    <w:nsid w:val="649BB77C"/>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abstractNum>
  <w:abstractNum w:abstractNumId="24">
    <w:nsid w:val="275AC794"/>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25">
    <w:nsid w:val="39386575"/>
    <w:multiLevelType w:val="hybridMultilevel"/>
    <w:lvl w:ilvl="0">
      <w:lvlJc w:val="left"/>
      <w:lvlText w:val="(%1)"/>
      <w:numFmt w:val="lowerLetter"/>
      <w:start w:val="4"/>
    </w:lvl>
  </w:abstractNum>
  <w:abstractNum w:abstractNumId="26">
    <w:nsid w:val="1CF10FD8"/>
    <w:multiLevelType w:val="hybridMultilevel"/>
    <w:lvl w:ilvl="0">
      <w:lvlJc w:val="left"/>
      <w:lvlText w:val="(%1)"/>
      <w:numFmt w:val="lowerLetter"/>
      <w:start w:val="7"/>
    </w:lvl>
  </w:abstractNum>
  <w:abstractNum w:abstractNumId="27">
    <w:nsid w:val="180115BE"/>
    <w:multiLevelType w:val="hybridMultilevel"/>
    <w:lvl w:ilvl="0">
      <w:lvlJc w:val="left"/>
      <w:lvlText w:val="%1."/>
      <w:numFmt w:val="decimal"/>
      <w:start w:val="7"/>
    </w:lvl>
  </w:abstractNum>
  <w:abstractNum w:abstractNumId="28">
    <w:nsid w:val="235BA861"/>
    <w:multiLevelType w:val="hybridMultilevel"/>
    <w:lvl w:ilvl="0">
      <w:lvlJc w:val="left"/>
      <w:lvlText w:val="%1"/>
      <w:numFmt w:val="upperLetter"/>
      <w:start w:val="1"/>
    </w:lvl>
    <w:lvl w:ilvl="1">
      <w:lvlJc w:val="left"/>
      <w:lvlText w:val="%2."/>
      <w:numFmt w:val="decimal"/>
      <w:start w:val="8"/>
    </w:lvl>
    <w:lvl w:ilvl="2">
      <w:lvlJc w:val="left"/>
      <w:lvlText w:val="(%3)"/>
      <w:numFmt w:val="lowerLetter"/>
      <w:start w:val="1"/>
    </w:lvl>
  </w:abstractNum>
  <w:abstractNum w:abstractNumId="29">
    <w:nsid w:val="47398C89"/>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2"/>
    </w:lvl>
  </w:abstractNum>
  <w:abstractNum w:abstractNumId="30">
    <w:nsid w:val="354FE9F9"/>
    <w:multiLevelType w:val="hybridMultilevel"/>
    <w:lvl w:ilvl="0">
      <w:lvlJc w:val="left"/>
      <w:lvlText w:val="(%1)"/>
      <w:numFmt w:val="lowerLetter"/>
      <w:start w:val="3"/>
    </w:lvl>
  </w:abstractNum>
  <w:abstractNum w:abstractNumId="31">
    <w:nsid w:val="15B5AF5C"/>
    <w:multiLevelType w:val="hybridMultilevel"/>
    <w:lvl w:ilvl="0">
      <w:lvlJc w:val="left"/>
      <w:lvlText w:val="(%1)"/>
      <w:numFmt w:val="lowerLetter"/>
      <w:start w:val="4"/>
    </w:lvl>
  </w:abstractNum>
  <w:abstractNum w:abstractNumId="32">
    <w:nsid w:val="741226BB"/>
    <w:multiLevelType w:val="hybridMultilevel"/>
    <w:lvl w:ilvl="0">
      <w:lvlJc w:val="left"/>
      <w:lvlText w:val="%1."/>
      <w:numFmt w:val="decimal"/>
      <w:start w:val="9"/>
    </w:lvl>
    <w:lvl w:ilvl="1">
      <w:lvlJc w:val="left"/>
      <w:lvlText w:val="(%2)"/>
      <w:numFmt w:val="lowerLetter"/>
      <w:start w:val="1"/>
    </w:lvl>
  </w:abstractNum>
  <w:abstractNum w:abstractNumId="33">
    <w:nsid w:val="D34B6A8"/>
    <w:multiLevelType w:val="hybridMultilevel"/>
    <w:lvl w:ilvl="0">
      <w:lvlJc w:val="left"/>
      <w:lvlText w:val="%1"/>
      <w:numFmt w:val="decimal"/>
      <w:start w:val="1"/>
    </w:lvl>
    <w:lvl w:ilvl="1">
      <w:lvlJc w:val="left"/>
      <w:lvlText w:val="(%2)"/>
      <w:numFmt w:val="lowerLetter"/>
      <w:start w:val="6"/>
    </w:lvl>
  </w:abstractNum>
  <w:abstractNum w:abstractNumId="34">
    <w:nsid w:val="10233C99"/>
    <w:multiLevelType w:val="hybridMultilevel"/>
    <w:lvl w:ilvl="0">
      <w:lvlJc w:val="left"/>
      <w:lvlText w:val="%1."/>
      <w:numFmt w:val="decimal"/>
      <w:start w:val="10"/>
    </w:lvl>
    <w:lvl w:ilvl="1">
      <w:lvlJc w:val="left"/>
      <w:lvlText w:val="(%2)"/>
      <w:numFmt w:val="lowerLetter"/>
      <w:start w:val="1"/>
    </w:lvl>
  </w:abstractNum>
  <w:abstractNum w:abstractNumId="35">
    <w:nsid w:val="3F6AB60F"/>
    <w:multiLevelType w:val="hybridMultilevel"/>
    <w:lvl w:ilvl="0">
      <w:lvlJc w:val="left"/>
      <w:lvlText w:val="%1."/>
      <w:numFmt w:val="decimal"/>
      <w:start w:val="13"/>
    </w:lvl>
  </w:abstractNum>
  <w:abstractNum w:abstractNumId="36">
    <w:nsid w:val="61574095"/>
    <w:multiLevelType w:val="hybridMultilevel"/>
    <w:lvl w:ilvl="0">
      <w:lvlJc w:val="left"/>
      <w:lvlText w:val="%1."/>
      <w:numFmt w:val="decimal"/>
      <w:start w:val="14"/>
    </w:lvl>
  </w:abstractNum>
  <w:abstractNum w:abstractNumId="37">
    <w:nsid w:val="7E0C57B1"/>
    <w:multiLevelType w:val="hybridMultilevel"/>
    <w:lvl w:ilvl="0">
      <w:lvlJc w:val="left"/>
      <w:lvlText w:val="(%1)"/>
      <w:numFmt w:val="decimal"/>
      <w:start w:val="1"/>
    </w:lvl>
  </w:abstractNum>
  <w:abstractNum w:abstractNumId="38">
    <w:nsid w:val="77AE35EB"/>
    <w:multiLevelType w:val="hybridMultilevel"/>
    <w:lvl w:ilvl="0">
      <w:lvlJc w:val="left"/>
      <w:lvlText w:val="(%1)"/>
      <w:numFmt w:val="decimal"/>
      <w:start w:val="1"/>
    </w:lvl>
  </w:abstractNum>
  <w:abstractNum w:abstractNumId="39">
    <w:nsid w:val="579BE4F1"/>
    <w:multiLevelType w:val="hybridMultilevel"/>
    <w:lvl w:ilvl="0">
      <w:lvlJc w:val="left"/>
      <w:lvlText w:val="(%1)"/>
      <w:numFmt w:val="decimal"/>
      <w:start w:val="4"/>
    </w:lvl>
  </w:abstractNum>
  <w:abstractNum w:abstractNumId="40">
    <w:nsid w:val="310C50B3"/>
    <w:multiLevelType w:val="hybridMultilevel"/>
    <w:lvl w:ilvl="0">
      <w:lvlJc w:val="left"/>
      <w:lvlText w:val="(%1)"/>
      <w:numFmt w:val="decimal"/>
      <w:start w:val="1"/>
    </w:lvl>
  </w:abstractNum>
  <w:abstractNum w:abstractNumId="41">
    <w:nsid w:val="5FF87E05"/>
    <w:multiLevelType w:val="hybridMultilevel"/>
    <w:lvl w:ilvl="0">
      <w:lvlJc w:val="left"/>
      <w:lvlText w:val="(%1)"/>
      <w:numFmt w:val="decimal"/>
      <w:start w:val="1"/>
    </w:lvl>
  </w:abstractNum>
  <w:abstractNum w:abstractNumId="42">
    <w:nsid w:val="2F305DEF"/>
    <w:multiLevelType w:val="hybridMultilevel"/>
    <w:lvl w:ilvl="0">
      <w:lvlJc w:val="left"/>
      <w:lvlText w:val="(%1)"/>
      <w:numFmt w:val="decimal"/>
      <w:start w:val="1"/>
    </w:lvl>
  </w:abstractNum>
  <w:abstractNum w:abstractNumId="43">
    <w:nsid w:val="25A70BF7"/>
    <w:multiLevelType w:val="hybridMultilevel"/>
    <w:lvl w:ilvl="0">
      <w:lvlJc w:val="left"/>
      <w:lvlText w:val="(%1)"/>
      <w:numFmt w:val="decimal"/>
      <w:start w:val="2"/>
    </w:lvl>
  </w:abstractNum>
  <w:abstractNum w:abstractNumId="44">
    <w:nsid w:val="1DBABF00"/>
    <w:multiLevelType w:val="hybridMultilevel"/>
    <w:lvl w:ilvl="0">
      <w:lvlJc w:val="left"/>
      <w:lvlText w:val="%1"/>
      <w:numFmt w:val="decimal"/>
      <w:start w:val="1"/>
    </w:lvl>
    <w:lvl w:ilvl="1">
      <w:lvlJc w:val="left"/>
      <w:lvlText w:val="(%2)"/>
      <w:numFmt w:val="decimal"/>
      <w:start w:val="15"/>
    </w:lvl>
  </w:abstractNum>
  <w:abstractNum w:abstractNumId="45">
    <w:nsid w:val="4AD084E9"/>
    <w:multiLevelType w:val="hybridMultilevel"/>
    <w:lvl w:ilvl="0">
      <w:lvlJc w:val="left"/>
      <w:lvlText w:val="(%1)"/>
      <w:numFmt w:val="decimal"/>
      <w:start w:val="2"/>
    </w:lvl>
    <w:lvl w:ilvl="1">
      <w:lvlJc w:val="left"/>
      <w:lvlText w:val="(%2)"/>
      <w:numFmt w:val="decimal"/>
      <w:start w:val="18"/>
    </w:lvl>
  </w:abstractNum>
  <w:abstractNum w:abstractNumId="46">
    <w:nsid w:val="1F48EAA1"/>
    <w:multiLevelType w:val="hybridMultilevel"/>
    <w:lvl w:ilvl="0">
      <w:lvlJc w:val="left"/>
      <w:lvlText w:val="(%1)"/>
      <w:numFmt w:val="decimal"/>
      <w:start w:val="1"/>
    </w:lvl>
  </w:abstractNum>
  <w:abstractNum w:abstractNumId="47">
    <w:nsid w:val="1381823A"/>
    <w:multiLevelType w:val="hybridMultilevel"/>
    <w:lvl w:ilvl="0">
      <w:lvlJc w:val="left"/>
      <w:lvlText w:val="(%1)"/>
      <w:numFmt w:val="decimal"/>
      <w:start w:val="1"/>
    </w:lvl>
  </w:abstractNum>
  <w:abstractNum w:abstractNumId="48">
    <w:nsid w:val="5DB70AE5"/>
    <w:multiLevelType w:val="hybridMultilevel"/>
    <w:lvl w:ilvl="0">
      <w:lvlJc w:val="left"/>
      <w:lvlText w:val="(%1)"/>
      <w:numFmt w:val="decimal"/>
      <w:start w:val="1"/>
    </w:lvl>
  </w:abstractNum>
  <w:abstractNum w:abstractNumId="49">
    <w:nsid w:val="100F8FCA"/>
    <w:multiLevelType w:val="hybridMultilevel"/>
    <w:lvl w:ilvl="0">
      <w:lvlJc w:val="left"/>
      <w:lvlText w:val="(%1)"/>
      <w:numFmt w:val="decimal"/>
      <w:start w:val="2"/>
    </w:lvl>
  </w:abstractNum>
  <w:abstractNum w:abstractNumId="50">
    <w:nsid w:val="6590700B"/>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51">
    <w:nsid w:val="15014ACB"/>
    <w:multiLevelType w:val="hybridMultilevel"/>
    <w:lvl w:ilvl="0">
      <w:lvlJc w:val="left"/>
      <w:lvlText w:val="(%1)"/>
      <w:numFmt w:val="decimal"/>
      <w:start w:val="2"/>
    </w:lvl>
  </w:abstractNum>
  <w:abstractNum w:abstractNumId="52">
    <w:nsid w:val="5F5E7FD0"/>
    <w:multiLevelType w:val="hybridMultilevel"/>
    <w:lvl w:ilvl="0">
      <w:lvlJc w:val="left"/>
      <w:lvlText w:val="(%1)"/>
      <w:numFmt w:val="decimal"/>
      <w:start w:val="1"/>
    </w:lvl>
  </w:abstractNum>
  <w:abstractNum w:abstractNumId="53">
    <w:nsid w:val="98A3148"/>
    <w:multiLevelType w:val="hybridMultilevel"/>
    <w:lvl w:ilvl="0">
      <w:lvlJc w:val="left"/>
      <w:lvlText w:val="(%1)"/>
      <w:numFmt w:val="decimal"/>
      <w:start w:val="2"/>
    </w:lvl>
  </w:abstractNum>
  <w:abstractNum w:abstractNumId="54">
    <w:nsid w:val="799D0247"/>
    <w:multiLevelType w:val="hybridMultilevel"/>
    <w:lvl w:ilvl="0">
      <w:lvlJc w:val="left"/>
      <w:lvlText w:val="(%1)"/>
      <w:numFmt w:val="lowerLetter"/>
      <w:start w:val="1"/>
    </w:lvl>
  </w:abstractNum>
  <w:abstractNum w:abstractNumId="55">
    <w:nsid w:val="6B94764"/>
    <w:multiLevelType w:val="hybridMultilevel"/>
    <w:lvl w:ilvl="0">
      <w:lvlJc w:val="left"/>
      <w:lvlText w:val="(%1)"/>
      <w:numFmt w:val="lowerLetter"/>
      <w:start w:val="3"/>
    </w:lvl>
    <w:lvl w:ilvl="1">
      <w:lvlJc w:val="left"/>
      <w:lvlText w:val="(%2)"/>
      <w:numFmt w:val="decimal"/>
      <w:start w:val="1"/>
    </w:lvl>
    <w:lvl w:ilvl="2">
      <w:lvlJc w:val="left"/>
      <w:lvlText w:val="(%3)"/>
      <w:numFmt w:val="upperLetter"/>
      <w:start w:val="1"/>
    </w:lvl>
  </w:abstractNum>
  <w:abstractNum w:abstractNumId="56">
    <w:nsid w:val="42C296BD"/>
    <w:multiLevelType w:val="hybridMultilevel"/>
    <w:lvl w:ilvl="0">
      <w:lvlJc w:val="left"/>
      <w:lvlText w:val="(%1)"/>
      <w:numFmt w:val="decimal"/>
      <w:start w:val="2"/>
    </w:lvl>
  </w:abstractNum>
  <w:abstractNum w:abstractNumId="57">
    <w:nsid w:val="168E121F"/>
    <w:multiLevelType w:val="hybridMultilevel"/>
    <w:lvl w:ilvl="0">
      <w:lvlJc w:val="left"/>
      <w:lvlText w:val="(%1)"/>
      <w:numFmt w:val="decimal"/>
      <w:start w:val="1"/>
    </w:lvl>
  </w:abstractNum>
  <w:abstractNum w:abstractNumId="58">
    <w:nsid w:val="1EBA5D23"/>
    <w:multiLevelType w:val="hybridMultilevel"/>
    <w:lvl w:ilvl="0">
      <w:lvlJc w:val="left"/>
      <w:lvlText w:val="(%1)"/>
      <w:numFmt w:val="decimal"/>
      <w:start w:val="1"/>
    </w:lvl>
  </w:abstractNum>
  <w:abstractNum w:abstractNumId="59">
    <w:nsid w:val="661E3F1E"/>
    <w:multiLevelType w:val="hybridMultilevel"/>
    <w:lvl w:ilvl="0">
      <w:lvlJc w:val="left"/>
      <w:lvlText w:val="(%1)"/>
      <w:numFmt w:val="decimal"/>
      <w:start w:val="1"/>
    </w:lvl>
  </w:abstractNum>
  <w:abstractNum w:abstractNumId="60">
    <w:nsid w:val="5DC79EA8"/>
    <w:multiLevelType w:val="hybridMultilevel"/>
    <w:lvl w:ilvl="0">
      <w:lvlJc w:val="left"/>
      <w:lvlText w:val="(%1)"/>
      <w:numFmt w:val="decimal"/>
      <w:start w:val="1"/>
    </w:lvl>
  </w:abstractNum>
  <w:abstractNum w:abstractNumId="61">
    <w:nsid w:val="540A471C"/>
    <w:multiLevelType w:val="hybridMultilevel"/>
    <w:lvl w:ilvl="0">
      <w:lvlJc w:val="left"/>
      <w:lvlText w:val="(%1)"/>
      <w:numFmt w:val="decimal"/>
      <w:start w:val="3"/>
    </w:lvl>
  </w:abstractNum>
  <w:abstractNum w:abstractNumId="62">
    <w:nsid w:val="7BD3EE7B"/>
    <w:multiLevelType w:val="hybridMultilevel"/>
    <w:lvl w:ilvl="0">
      <w:lvlJc w:val="left"/>
      <w:lvlText w:val="(%1)"/>
      <w:numFmt w:val="decimal"/>
      <w:start w:val="1"/>
    </w:lvl>
  </w:abstractNum>
  <w:abstractNum w:abstractNumId="63">
    <w:nsid w:val="51D9C564"/>
    <w:multiLevelType w:val="hybridMultilevel"/>
    <w:lvl w:ilvl="0">
      <w:lvlJc w:val="left"/>
      <w:lvlText w:val="(%1)"/>
      <w:numFmt w:val="decimal"/>
      <w:start w:val="1"/>
    </w:lvl>
  </w:abstractNum>
  <w:abstractNum w:abstractNumId="64">
    <w:nsid w:val="613EFDC5"/>
    <w:multiLevelType w:val="hybridMultilevel"/>
    <w:lvl w:ilvl="0">
      <w:lvlJc w:val="left"/>
      <w:lvlText w:val="(%1)"/>
      <w:numFmt w:val="decimal"/>
      <w:start w:val="1"/>
    </w:lvl>
  </w:abstractNum>
  <w:abstractNum w:abstractNumId="65">
    <w:nsid w:val="BF72B14"/>
    <w:multiLevelType w:val="hybridMultilevel"/>
    <w:lvl w:ilvl="0">
      <w:lvlJc w:val="left"/>
      <w:lvlText w:val="(%1)"/>
      <w:numFmt w:val="decimal"/>
      <w:start w:val="1"/>
    </w:lvl>
  </w:abstractNum>
  <w:abstractNum w:abstractNumId="66">
    <w:nsid w:val="11447B73"/>
    <w:multiLevelType w:val="hybridMultilevel"/>
    <w:lvl w:ilvl="0">
      <w:lvlJc w:val="left"/>
      <w:lvlText w:val="(%1)"/>
      <w:numFmt w:val="decimal"/>
      <w:start w:val="1"/>
    </w:lvl>
  </w:abstractNum>
  <w:abstractNum w:abstractNumId="67">
    <w:nsid w:val="42963E5A"/>
    <w:multiLevelType w:val="hybridMultilevel"/>
    <w:lvl w:ilvl="0">
      <w:lvlJc w:val="left"/>
      <w:lvlText w:val="(%1)"/>
      <w:numFmt w:val="decimal"/>
      <w:start w:val="1"/>
    </w:lvl>
  </w:abstractNum>
  <w:abstractNum w:abstractNumId="68">
    <w:nsid w:val="A0382C5"/>
    <w:multiLevelType w:val="hybridMultilevel"/>
    <w:lvl w:ilvl="0">
      <w:lvlJc w:val="left"/>
      <w:lvlText w:val="(%1)"/>
      <w:numFmt w:val="decimal"/>
      <w:start w:val="8"/>
    </w:lvl>
  </w:abstractNum>
  <w:abstractNum w:abstractNumId="69">
    <w:nsid w:val="8F2B15E"/>
    <w:multiLevelType w:val="hybridMultilevel"/>
    <w:lvl w:ilvl="0">
      <w:lvlJc w:val="left"/>
      <w:lvlText w:val="(%1)"/>
      <w:numFmt w:val="decimal"/>
      <w:start w:val="1"/>
    </w:lvl>
  </w:abstractNum>
  <w:abstractNum w:abstractNumId="70">
    <w:nsid w:val="1A32234B"/>
    <w:multiLevelType w:val="hybridMultilevel"/>
    <w:lvl w:ilvl="0">
      <w:lvlJc w:val="left"/>
      <w:lvlText w:val="(%1)"/>
      <w:numFmt w:val="decimal"/>
      <w:start w:val="1"/>
    </w:lvl>
  </w:abstractNum>
  <w:abstractNum w:abstractNumId="71">
    <w:nsid w:val="3B0FD379"/>
    <w:multiLevelType w:val="hybridMultilevel"/>
    <w:lvl w:ilvl="0">
      <w:lvlJc w:val="left"/>
      <w:lvlText w:val="(%1)"/>
      <w:numFmt w:val="decimal"/>
      <w:start w:val="7"/>
    </w:lvl>
  </w:abstractNum>
  <w:abstractNum w:abstractNumId="72">
    <w:nsid w:val="68EB2F63"/>
    <w:multiLevelType w:val="hybridMultilevel"/>
    <w:lvl w:ilvl="0">
      <w:lvlJc w:val="left"/>
      <w:lvlText w:val="(%1)"/>
      <w:numFmt w:val="decimal"/>
      <w:start w:val="1"/>
    </w:lvl>
  </w:abstractNum>
  <w:abstractNum w:abstractNumId="73">
    <w:nsid w:val="4962813B"/>
    <w:multiLevelType w:val="hybridMultilevel"/>
    <w:lvl w:ilvl="0">
      <w:lvlJc w:val="left"/>
      <w:lvlText w:val="(%1)"/>
      <w:numFmt w:val="decimal"/>
      <w:start w:val="1"/>
    </w:lvl>
  </w:abstractNum>
  <w:abstractNum w:abstractNumId="74">
    <w:nsid w:val="60B6DF70"/>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75">
    <w:nsid w:val="6A5EE64"/>
    <w:multiLevelType w:val="hybridMultilevel"/>
    <w:lvl w:ilvl="0">
      <w:lvlJc w:val="left"/>
      <w:lvlText w:val="(%1)"/>
      <w:numFmt w:val="decimal"/>
      <w:start w:val="5"/>
    </w:lvl>
  </w:abstractNum>
  <w:abstractNum w:abstractNumId="76">
    <w:nsid w:val="14330624"/>
    <w:multiLevelType w:val="hybridMultilevel"/>
    <w:lvl w:ilvl="0">
      <w:lvlJc w:val="left"/>
      <w:lvlText w:val="(%1)"/>
      <w:numFmt w:val="decimal"/>
      <w:start w:val="1"/>
    </w:lvl>
  </w:abstractNum>
  <w:abstractNum w:abstractNumId="77">
    <w:nsid w:val="7FFFCA11"/>
    <w:multiLevelType w:val="hybridMultilevel"/>
    <w:lvl w:ilvl="0">
      <w:lvlJc w:val="left"/>
      <w:lvlText w:val="%1)"/>
      <w:numFmt w:val="lowerLetter"/>
      <w:start w:val="1"/>
    </w:lvl>
  </w:abstractNum>
  <w:abstractNum w:abstractNumId="78">
    <w:nsid w:val="1A27709E"/>
    <w:multiLevelType w:val="hybridMultilevel"/>
    <w:lvl w:ilvl="0">
      <w:lvlJc w:val="left"/>
      <w:lvlText w:val="%1)"/>
      <w:numFmt w:val="lowerLetter"/>
      <w:start w:val="1"/>
    </w:lvl>
  </w:abstractNum>
  <w:abstractNum w:abstractNumId="79">
    <w:nsid w:val="71EA1109"/>
    <w:multiLevelType w:val="hybridMultilevel"/>
    <w:lvl w:ilvl="0">
      <w:lvlJc w:val="left"/>
      <w:lvlText w:val="%1)"/>
      <w:numFmt w:val="lowerLetter"/>
      <w:start w:val="4"/>
    </w:lvl>
  </w:abstractNum>
  <w:abstractNum w:abstractNumId="80">
    <w:nsid w:val="100F59DC"/>
    <w:multiLevelType w:val="hybridMultilevel"/>
    <w:lvl w:ilvl="0">
      <w:lvlJc w:val="left"/>
      <w:lvlText w:val="%1)"/>
      <w:numFmt w:val="lowerLetter"/>
      <w:start w:val="1"/>
    </w:lvl>
  </w:abstractNum>
  <w:abstractNum w:abstractNumId="81">
    <w:nsid w:val="7FB7E0AA"/>
    <w:multiLevelType w:val="hybridMultilevel"/>
    <w:lvl w:ilvl="0">
      <w:lvlJc w:val="left"/>
      <w:lvlText w:val="%1)"/>
      <w:numFmt w:val="lowerLetter"/>
      <w:start w:val="2"/>
    </w:lvl>
  </w:abstractNum>
  <w:abstractNum w:abstractNumId="82">
    <w:nsid w:val="6EB5BD4"/>
    <w:multiLevelType w:val="hybridMultilevel"/>
    <w:lvl w:ilvl="0">
      <w:lvlJc w:val="left"/>
      <w:lvlText w:val="%1)"/>
      <w:numFmt w:val="lowerLetter"/>
      <w:start w:val="5"/>
    </w:lvl>
  </w:abstractNum>
  <w:abstractNum w:abstractNumId="83">
    <w:nsid w:val="6F6DD9AC"/>
    <w:multiLevelType w:val="hybridMultilevel"/>
    <w:lvl w:ilvl="0">
      <w:lvlJc w:val="left"/>
      <w:lvlText w:val="%1)"/>
      <w:numFmt w:val="lowerLetter"/>
      <w:start w:val="1"/>
    </w:lvl>
  </w:abstractNum>
  <w:abstractNum w:abstractNumId="84">
    <w:nsid w:val="94211F2"/>
    <w:multiLevelType w:val="hybridMultilevel"/>
    <w:lvl w:ilvl="0">
      <w:lvlJc w:val="left"/>
      <w:lvlText w:val="(%1)"/>
      <w:numFmt w:val="decimal"/>
      <w:start w:val="1"/>
    </w:lvl>
  </w:abstractNum>
  <w:abstractNum w:abstractNumId="85">
    <w:nsid w:val="885E1B"/>
    <w:multiLevelType w:val="hybridMultilevel"/>
    <w:lvl w:ilvl="0">
      <w:lvlJc w:val="left"/>
      <w:lvlText w:val="(%1)"/>
      <w:numFmt w:val="decimal"/>
      <w:start w:val="1"/>
    </w:lvl>
  </w:abstractNum>
  <w:abstractNum w:abstractNumId="86">
    <w:nsid w:val="76272110"/>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2021-04-20T15:08:54Z</dcterms:created>
  <dcterms:modified xsi:type="dcterms:W3CDTF">2021-04-20T15:08:54Z</dcterms:modified>
</cp:coreProperties>
</file>