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360" w:type="dxa"/>
            <w:vAlign w:val="bottom"/>
          </w:tcPr>
          <w:p>
            <w:pPr>
              <w:jc w:val="center"/>
              <w:ind w:right="3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35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3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3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60" w:type="dxa"/>
            <w:vAlign w:val="bottom"/>
            <w:vMerge w:val="restart"/>
          </w:tcPr>
          <w:p>
            <w:pPr>
              <w:jc w:val="center"/>
              <w:ind w:right="37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5375910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4030345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12700</wp:posOffset>
            </wp:positionV>
            <wp:extent cx="7327265" cy="426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7265" cy="426974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00" w:space="640"/>
            <w:col w:w="868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BAUM MARK L</w:t>
        </w:r>
      </w:hyperlink>
    </w:p>
    <w:p>
      <w:pPr>
        <w:spacing w:after="0" w:line="302"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IMPRIMIS PHARMACEUTICALS, INC.</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12264 EL CAMINO REAL, SUITE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Imprimis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IMMY</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04/25/2016</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7" w:right="820" w:firstLine="7"/>
        <w:spacing w:after="0" w:line="233"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3"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1"/>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873"/>
        <w:spacing w:after="0"/>
        <w:rPr>
          <w:sz w:val="20"/>
          <w:szCs w:val="20"/>
          <w:color w:val="auto"/>
        </w:rPr>
      </w:pPr>
      <w:r>
        <w:rPr>
          <w:rFonts w:ascii="Arial" w:cs="Arial" w:eastAsia="Arial" w:hAnsi="Arial"/>
          <w:sz w:val="16"/>
          <w:szCs w:val="16"/>
          <w:color w:val="0000FF"/>
        </w:rPr>
        <w:t>Chief Executive Officer</w:t>
      </w:r>
    </w:p>
    <w:p>
      <w:pPr>
        <w:spacing w:after="0" w:line="515" w:lineRule="exact"/>
        <w:rPr>
          <w:sz w:val="24"/>
          <w:szCs w:val="24"/>
          <w:color w:val="auto"/>
        </w:rPr>
      </w:pPr>
    </w:p>
    <w:p>
      <w:pPr>
        <w:sectPr>
          <w:pgSz w:w="11900" w:h="16838" w:orient="portrait"/>
          <w:cols w:equalWidth="0" w:num="3">
            <w:col w:w="3340" w:space="720"/>
            <w:col w:w="3280" w:space="707"/>
            <w:col w:w="3473"/>
          </w:cols>
          <w:pgMar w:left="240" w:top="219" w:right="139" w:bottom="1440" w:gutter="0" w:footer="0" w:header="0"/>
          <w:type w:val="continuous"/>
        </w:sectPr>
      </w:pP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78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color w:val="0000FF"/>
              </w:rPr>
              <w:t>SAN DIEGO</w:t>
            </w:r>
          </w:p>
        </w:tc>
        <w:tc>
          <w:tcPr>
            <w:tcW w:w="1120" w:type="dxa"/>
            <w:vAlign w:val="bottom"/>
          </w:tcPr>
          <w:p>
            <w:pPr>
              <w:spacing w:after="0"/>
              <w:rPr>
                <w:sz w:val="20"/>
                <w:szCs w:val="20"/>
                <w:color w:val="auto"/>
              </w:rPr>
            </w:pPr>
            <w:r>
              <w:rPr>
                <w:rFonts w:ascii="Arial" w:cs="Arial" w:eastAsia="Arial" w:hAnsi="Arial"/>
                <w:sz w:val="16"/>
                <w:szCs w:val="16"/>
                <w:color w:val="0000FF"/>
              </w:rPr>
              <w:t>CA</w:t>
            </w:r>
          </w:p>
        </w:tc>
        <w:tc>
          <w:tcPr>
            <w:tcW w:w="1000" w:type="dxa"/>
            <w:vAlign w:val="bottom"/>
          </w:tcPr>
          <w:p>
            <w:pPr>
              <w:ind w:left="160"/>
              <w:spacing w:after="0"/>
              <w:rPr>
                <w:sz w:val="20"/>
                <w:szCs w:val="20"/>
                <w:color w:val="auto"/>
              </w:rPr>
            </w:pPr>
            <w:r>
              <w:rPr>
                <w:rFonts w:ascii="Arial" w:cs="Arial" w:eastAsia="Arial" w:hAnsi="Arial"/>
                <w:sz w:val="16"/>
                <w:szCs w:val="16"/>
                <w:color w:val="0000FF"/>
              </w:rPr>
              <w:t>92130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960" w:type="dxa"/>
            <w:vAlign w:val="bottom"/>
            <w:gridSpan w:val="6"/>
          </w:tcPr>
          <w:p>
            <w:pPr>
              <w:ind w:left="5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40" w:type="dxa"/>
            <w:vAlign w:val="bottom"/>
            <w:gridSpan w:val="8"/>
          </w:tcPr>
          <w:p>
            <w:pPr>
              <w:ind w:left="120"/>
              <w:spacing w:after="0" w:line="147"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(State)</w:t>
            </w:r>
          </w:p>
        </w:tc>
        <w:tc>
          <w:tcPr>
            <w:tcW w:w="1000" w:type="dxa"/>
            <w:vAlign w:val="bottom"/>
          </w:tcPr>
          <w:p>
            <w:pPr>
              <w:ind w:left="1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56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120" w:type="dxa"/>
            <w:vAlign w:val="bottom"/>
            <w:tcBorders>
              <w:top w:val="single" w:sz="8" w:color="2C2C2C"/>
            </w:tcBorders>
          </w:tcPr>
          <w:p>
            <w:pPr>
              <w:spacing w:after="0"/>
              <w:rPr>
                <w:sz w:val="20"/>
                <w:szCs w:val="20"/>
                <w:color w:val="auto"/>
              </w:rPr>
            </w:pPr>
          </w:p>
        </w:tc>
        <w:tc>
          <w:tcPr>
            <w:tcW w:w="672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480" w:type="dxa"/>
            <w:vAlign w:val="bottom"/>
            <w:tcBorders>
              <w:bottom w:val="single" w:sz="8" w:color="2C2C2C"/>
            </w:tcBorders>
            <w:gridSpan w:val="4"/>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2. Transaction</w:t>
            </w:r>
          </w:p>
        </w:tc>
        <w:tc>
          <w:tcPr>
            <w:tcW w:w="2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46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 Owned</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 Reported</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7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4900" w:type="dxa"/>
            <w:vAlign w:val="bottom"/>
            <w:tcBorders>
              <w:bottom w:val="single" w:sz="8" w:color="2C2C2C"/>
            </w:tcBorders>
            <w:gridSpan w:val="9"/>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1120" w:type="dxa"/>
            <w:vAlign w:val="bottom"/>
            <w:tcBorders>
              <w:top w:val="single" w:sz="8" w:color="2C2C2C"/>
            </w:tcBorders>
          </w:tcPr>
          <w:p>
            <w:pPr>
              <w:spacing w:after="0"/>
              <w:rPr>
                <w:sz w:val="18"/>
                <w:szCs w:val="18"/>
                <w:color w:val="auto"/>
              </w:rPr>
            </w:pPr>
          </w:p>
        </w:tc>
        <w:tc>
          <w:tcPr>
            <w:tcW w:w="6720" w:type="dxa"/>
            <w:vAlign w:val="bottom"/>
            <w:tcBorders>
              <w:top w:val="single" w:sz="8" w:color="2C2C2C"/>
            </w:tcBorders>
            <w:gridSpan w:val="12"/>
          </w:tcPr>
          <w:p>
            <w:pPr>
              <w:jc w:val="center"/>
              <w:ind w:right="12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40" w:type="dxa"/>
            <w:vAlign w:val="bottom"/>
            <w:gridSpan w:val="9"/>
          </w:tcPr>
          <w:p>
            <w:pPr>
              <w:jc w:val="center"/>
              <w:ind w:right="353"/>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2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2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46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9"/>
              </w:rPr>
              <w:t>Conversion</w:t>
            </w:r>
          </w:p>
        </w:tc>
        <w:tc>
          <w:tcPr>
            <w:tcW w:w="112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120" w:type="dxa"/>
            <w:vAlign w:val="bottom"/>
          </w:tcPr>
          <w:p>
            <w:pPr>
              <w:ind w:left="14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 or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120" w:type="dxa"/>
            <w:vAlign w:val="bottom"/>
          </w:tcPr>
          <w:p>
            <w:pPr>
              <w:spacing w:after="0"/>
              <w:rPr>
                <w:sz w:val="10"/>
                <w:szCs w:val="10"/>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w w:val="99"/>
              </w:rPr>
              <w:t>(Month/Day/Year)</w:t>
            </w:r>
          </w:p>
        </w:tc>
        <w:tc>
          <w:tcPr>
            <w:tcW w:w="42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460" w:type="dxa"/>
            <w:vAlign w:val="bottom"/>
          </w:tcPr>
          <w:p>
            <w:pPr>
              <w:spacing w:after="0"/>
              <w:rPr>
                <w:sz w:val="10"/>
                <w:szCs w:val="10"/>
                <w:color w:val="auto"/>
              </w:rPr>
            </w:pP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40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Security</w:t>
            </w:r>
          </w:p>
        </w:tc>
        <w:tc>
          <w:tcPr>
            <w:tcW w:w="1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1020" w:type="dxa"/>
            <w:vAlign w:val="bottom"/>
          </w:tcPr>
          <w:p>
            <w:pPr>
              <w:ind w:left="4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Executive</w:t>
            </w:r>
          </w:p>
        </w:tc>
        <w:tc>
          <w:tcPr>
            <w:tcW w:w="70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120" w:type="dxa"/>
            <w:vAlign w:val="bottom"/>
            <w:vMerge w:val="restart"/>
          </w:tcPr>
          <w:p>
            <w:pPr>
              <w:jc w:val="right"/>
              <w:ind w:right="177"/>
              <w:spacing w:after="0"/>
              <w:rPr>
                <w:sz w:val="20"/>
                <w:szCs w:val="20"/>
                <w:color w:val="auto"/>
              </w:rPr>
            </w:pPr>
            <w:r>
              <w:rPr>
                <w:rFonts w:ascii="Arial" w:cs="Arial" w:eastAsia="Arial" w:hAnsi="Arial"/>
                <w:sz w:val="13"/>
                <w:szCs w:val="13"/>
                <w:color w:val="0000FF"/>
              </w:rPr>
              <w:t>04/25/2016</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A</w:t>
            </w: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0000FF"/>
              </w:rPr>
              <w:t>1,050,000</w:t>
            </w:r>
          </w:p>
        </w:tc>
        <w:tc>
          <w:tcPr>
            <w:tcW w:w="760" w:type="dxa"/>
            <w:vAlign w:val="bottom"/>
            <w:vMerge w:val="restart"/>
          </w:tcPr>
          <w:p>
            <w:pPr>
              <w:ind w:left="100"/>
              <w:spacing w:after="0"/>
              <w:rPr>
                <w:sz w:val="20"/>
                <w:szCs w:val="20"/>
                <w:color w:val="auto"/>
              </w:rPr>
            </w:pPr>
            <w:r>
              <w:rPr>
                <w:rFonts w:ascii="Arial" w:cs="Arial" w:eastAsia="Arial" w:hAnsi="Arial"/>
                <w:sz w:val="13"/>
                <w:szCs w:val="13"/>
                <w:color w:val="0000FF"/>
                <w:w w:val="98"/>
              </w:rPr>
              <w:t>04/25/2016</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w w:val="95"/>
              </w:rPr>
              <w:t>04/25/2021</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740" w:type="dxa"/>
            <w:vAlign w:val="bottom"/>
            <w:vMerge w:val="restart"/>
          </w:tcPr>
          <w:p>
            <w:pPr>
              <w:ind w:left="60"/>
              <w:spacing w:after="0"/>
              <w:rPr>
                <w:sz w:val="20"/>
                <w:szCs w:val="20"/>
                <w:color w:val="auto"/>
              </w:rPr>
            </w:pPr>
            <w:r>
              <w:rPr>
                <w:rFonts w:ascii="Arial" w:cs="Arial" w:eastAsia="Arial" w:hAnsi="Arial"/>
                <w:sz w:val="16"/>
                <w:szCs w:val="16"/>
                <w:color w:val="0000FF"/>
                <w:w w:val="92"/>
              </w:rPr>
              <w:t>1,050,000</w:t>
            </w:r>
          </w:p>
        </w:tc>
        <w:tc>
          <w:tcPr>
            <w:tcW w:w="780" w:type="dxa"/>
            <w:vAlign w:val="bottom"/>
            <w:gridSpan w:val="2"/>
            <w:vMerge w:val="restart"/>
          </w:tcPr>
          <w:p>
            <w:pPr>
              <w:jc w:val="right"/>
              <w:ind w:right="2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jc w:val="right"/>
              <w:ind w:right="143"/>
              <w:spacing w:after="0"/>
              <w:rPr>
                <w:sz w:val="20"/>
                <w:szCs w:val="20"/>
                <w:color w:val="auto"/>
              </w:rPr>
            </w:pPr>
            <w:r>
              <w:rPr>
                <w:rFonts w:ascii="Arial" w:cs="Arial" w:eastAsia="Arial" w:hAnsi="Arial"/>
                <w:sz w:val="13"/>
                <w:szCs w:val="13"/>
                <w:color w:val="0000FF"/>
              </w:rPr>
              <w:t>1,050,000</w:t>
            </w:r>
          </w:p>
        </w:tc>
        <w:tc>
          <w:tcPr>
            <w:tcW w:w="5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tcPr>
          <w:p>
            <w:pPr>
              <w:ind w:left="60"/>
              <w:spacing w:after="0" w:line="64" w:lineRule="exact"/>
              <w:rPr>
                <w:sz w:val="20"/>
                <w:szCs w:val="20"/>
                <w:color w:val="auto"/>
              </w:rPr>
            </w:pPr>
            <w:r>
              <w:rPr>
                <w:rFonts w:ascii="Arial" w:cs="Arial" w:eastAsia="Arial" w:hAnsi="Arial"/>
                <w:sz w:val="6"/>
                <w:szCs w:val="6"/>
                <w:color w:val="0000FF"/>
              </w:rPr>
              <w:t>RSU</w:t>
            </w:r>
            <w:r>
              <w:rPr>
                <w:rFonts w:ascii="Arial" w:cs="Arial" w:eastAsia="Arial" w:hAnsi="Arial"/>
                <w:sz w:val="7"/>
                <w:szCs w:val="7"/>
                <w:color w:val="008000"/>
                <w:vertAlign w:val="superscript"/>
              </w:rPr>
              <w:t>(1)</w:t>
            </w:r>
          </w:p>
        </w:tc>
        <w:tc>
          <w:tcPr>
            <w:tcW w:w="7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tcPr>
          <w:p>
            <w:pPr>
              <w:ind w:left="160"/>
              <w:spacing w:after="0" w:line="64" w:lineRule="exact"/>
              <w:rPr>
                <w:sz w:val="20"/>
                <w:szCs w:val="20"/>
                <w:color w:val="auto"/>
              </w:rPr>
            </w:pPr>
            <w:r>
              <w:rPr>
                <w:rFonts w:ascii="Arial" w:cs="Arial" w:eastAsia="Arial" w:hAnsi="Arial"/>
                <w:sz w:val="7"/>
                <w:szCs w:val="7"/>
                <w:color w:val="0000FF"/>
              </w:rPr>
              <w:t>Stock</w:t>
            </w:r>
          </w:p>
        </w:tc>
        <w:tc>
          <w:tcPr>
            <w:tcW w:w="7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Executive</w:t>
            </w:r>
          </w:p>
        </w:tc>
        <w:tc>
          <w:tcPr>
            <w:tcW w:w="70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120" w:type="dxa"/>
            <w:vAlign w:val="bottom"/>
            <w:vMerge w:val="restart"/>
          </w:tcPr>
          <w:p>
            <w:pPr>
              <w:jc w:val="right"/>
              <w:ind w:right="177"/>
              <w:spacing w:after="0"/>
              <w:rPr>
                <w:sz w:val="20"/>
                <w:szCs w:val="20"/>
                <w:color w:val="auto"/>
              </w:rPr>
            </w:pPr>
            <w:r>
              <w:rPr>
                <w:rFonts w:ascii="Arial" w:cs="Arial" w:eastAsia="Arial" w:hAnsi="Arial"/>
                <w:sz w:val="13"/>
                <w:szCs w:val="13"/>
                <w:color w:val="0000FF"/>
              </w:rPr>
              <w:t>04/25/2016</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D</w:t>
            </w:r>
          </w:p>
        </w:tc>
        <w:tc>
          <w:tcPr>
            <w:tcW w:w="220" w:type="dxa"/>
            <w:vAlign w:val="bottom"/>
          </w:tcPr>
          <w:p>
            <w:pPr>
              <w:spacing w:after="0"/>
              <w:rPr>
                <w:sz w:val="15"/>
                <w:szCs w:val="15"/>
                <w:color w:val="auto"/>
              </w:rPr>
            </w:pPr>
          </w:p>
        </w:tc>
        <w:tc>
          <w:tcPr>
            <w:tcW w:w="1020" w:type="dxa"/>
            <w:vAlign w:val="bottom"/>
            <w:vMerge w:val="restart"/>
          </w:tcPr>
          <w:p>
            <w:pPr>
              <w:ind w:left="460"/>
              <w:spacing w:after="0"/>
              <w:rPr>
                <w:sz w:val="20"/>
                <w:szCs w:val="20"/>
                <w:color w:val="auto"/>
              </w:rPr>
            </w:pPr>
            <w:r>
              <w:rPr>
                <w:rFonts w:ascii="Arial" w:cs="Arial" w:eastAsia="Arial" w:hAnsi="Arial"/>
                <w:sz w:val="13"/>
                <w:szCs w:val="13"/>
                <w:color w:val="0000FF"/>
                <w:w w:val="93"/>
              </w:rPr>
              <w:t>1,050,000</w:t>
            </w:r>
          </w:p>
        </w:tc>
        <w:tc>
          <w:tcPr>
            <w:tcW w:w="760" w:type="dxa"/>
            <w:vAlign w:val="bottom"/>
            <w:vMerge w:val="restart"/>
          </w:tcPr>
          <w:p>
            <w:pPr>
              <w:ind w:left="100"/>
              <w:spacing w:after="0"/>
              <w:rPr>
                <w:sz w:val="20"/>
                <w:szCs w:val="20"/>
                <w:color w:val="auto"/>
              </w:rPr>
            </w:pPr>
            <w:r>
              <w:rPr>
                <w:rFonts w:ascii="Arial" w:cs="Arial" w:eastAsia="Arial" w:hAnsi="Arial"/>
                <w:sz w:val="13"/>
                <w:szCs w:val="13"/>
                <w:color w:val="0000FF"/>
                <w:w w:val="98"/>
              </w:rPr>
              <w:t>05/02/2013</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w w:val="95"/>
              </w:rPr>
              <w:t>04/25/2016</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740" w:type="dxa"/>
            <w:vAlign w:val="bottom"/>
            <w:vMerge w:val="restart"/>
          </w:tcPr>
          <w:p>
            <w:pPr>
              <w:ind w:left="60"/>
              <w:spacing w:after="0"/>
              <w:rPr>
                <w:sz w:val="20"/>
                <w:szCs w:val="20"/>
                <w:color w:val="auto"/>
              </w:rPr>
            </w:pPr>
            <w:r>
              <w:rPr>
                <w:rFonts w:ascii="Arial" w:cs="Arial" w:eastAsia="Arial" w:hAnsi="Arial"/>
                <w:sz w:val="16"/>
                <w:szCs w:val="16"/>
                <w:color w:val="0000FF"/>
                <w:w w:val="92"/>
              </w:rPr>
              <w:t>1,050,000</w:t>
            </w:r>
          </w:p>
        </w:tc>
        <w:tc>
          <w:tcPr>
            <w:tcW w:w="780" w:type="dxa"/>
            <w:vAlign w:val="bottom"/>
            <w:gridSpan w:val="2"/>
            <w:vMerge w:val="restart"/>
          </w:tcPr>
          <w:p>
            <w:pPr>
              <w:jc w:val="right"/>
              <w:ind w:right="2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0000FF"/>
              </w:rPr>
              <w:t>0</w:t>
            </w:r>
          </w:p>
        </w:tc>
        <w:tc>
          <w:tcPr>
            <w:tcW w:w="400" w:type="dxa"/>
            <w:vAlign w:val="bottom"/>
          </w:tcPr>
          <w:p>
            <w:pPr>
              <w:spacing w:after="0"/>
              <w:rPr>
                <w:sz w:val="15"/>
                <w:szCs w:val="15"/>
                <w:color w:val="auto"/>
              </w:rPr>
            </w:pPr>
          </w:p>
        </w:tc>
        <w:tc>
          <w:tcPr>
            <w:tcW w:w="5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tcPr>
          <w:p>
            <w:pPr>
              <w:ind w:left="60"/>
              <w:spacing w:after="0" w:line="64" w:lineRule="exact"/>
              <w:rPr>
                <w:sz w:val="20"/>
                <w:szCs w:val="20"/>
                <w:color w:val="auto"/>
              </w:rPr>
            </w:pPr>
            <w:r>
              <w:rPr>
                <w:rFonts w:ascii="Arial" w:cs="Arial" w:eastAsia="Arial" w:hAnsi="Arial"/>
                <w:sz w:val="6"/>
                <w:szCs w:val="6"/>
                <w:color w:val="0000FF"/>
              </w:rPr>
              <w:t>RSU</w:t>
            </w:r>
            <w:r>
              <w:rPr>
                <w:rFonts w:ascii="Arial" w:cs="Arial" w:eastAsia="Arial" w:hAnsi="Arial"/>
                <w:sz w:val="7"/>
                <w:szCs w:val="7"/>
                <w:color w:val="008000"/>
                <w:vertAlign w:val="superscript"/>
              </w:rPr>
              <w:t>(2)</w:t>
            </w:r>
          </w:p>
        </w:tc>
        <w:tc>
          <w:tcPr>
            <w:tcW w:w="7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tcPr>
          <w:p>
            <w:pPr>
              <w:ind w:left="160"/>
              <w:spacing w:after="0" w:line="64" w:lineRule="exact"/>
              <w:rPr>
                <w:sz w:val="20"/>
                <w:szCs w:val="20"/>
                <w:color w:val="auto"/>
              </w:rPr>
            </w:pPr>
            <w:r>
              <w:rPr>
                <w:rFonts w:ascii="Arial" w:cs="Arial" w:eastAsia="Arial" w:hAnsi="Arial"/>
                <w:sz w:val="7"/>
                <w:szCs w:val="7"/>
                <w:color w:val="0000FF"/>
              </w:rPr>
              <w:t>Stock</w:t>
            </w:r>
          </w:p>
        </w:tc>
        <w:tc>
          <w:tcPr>
            <w:tcW w:w="7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36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performance-based restricted stock units (the "RSUs") granted under the Issuer's 2007 Stock Incentive and Awards Plan (the "Plan"). The RSUs settle in one share of common stock for each RSU on the fifth anniversary of the grant date and provide for accelerated vesting based on pre-determined stock-price based performance targets during the term of the RSUs.</w:t>
      </w:r>
    </w:p>
    <w:p>
      <w:pPr>
        <w:spacing w:after="0" w:line="28" w:lineRule="exact"/>
        <w:rPr>
          <w:rFonts w:ascii="Arial" w:cs="Arial" w:eastAsia="Arial" w:hAnsi="Arial"/>
          <w:sz w:val="13"/>
          <w:szCs w:val="13"/>
          <w:color w:val="008000"/>
        </w:rPr>
      </w:pPr>
    </w:p>
    <w:p>
      <w:pPr>
        <w:ind w:left="40" w:right="56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RSUs granted under the Plan to Mr. Baum on May 2, 2013, which were forfeited by Mr. Baum on April 25, 2016, with the approval of the board of directors of the Issuer, upon issuance of the new RSUs indicated in footnote 1.</w:t>
      </w:r>
    </w:p>
    <w:p>
      <w:pPr>
        <w:spacing w:after="0" w:line="43" w:lineRule="exact"/>
        <w:rPr>
          <w:sz w:val="24"/>
          <w:szCs w:val="24"/>
          <w:color w:val="auto"/>
        </w:rPr>
      </w:pPr>
    </w:p>
    <w:tbl>
      <w:tblPr>
        <w:tblLayout w:type="fixed"/>
        <w:tblInd w:w="6860" w:type="dxa"/>
        <w:tblCellMar>
          <w:top w:w="0" w:type="dxa"/>
          <w:left w:w="0" w:type="dxa"/>
          <w:bottom w:w="0" w:type="dxa"/>
          <w:right w:w="0" w:type="dxa"/>
        </w:tblCellMar>
      </w:tblPr>
      <w:tr>
        <w:trPr>
          <w:trHeight w:val="184"/>
        </w:trPr>
        <w:tc>
          <w:tcPr>
            <w:tcW w:w="2300" w:type="dxa"/>
            <w:vAlign w:val="bottom"/>
            <w:gridSpan w:val="2"/>
          </w:tcPr>
          <w:p>
            <w:pPr>
              <w:spacing w:after="0"/>
              <w:rPr>
                <w:sz w:val="20"/>
                <w:szCs w:val="20"/>
                <w:color w:val="auto"/>
              </w:rPr>
            </w:pPr>
            <w:r>
              <w:rPr>
                <w:rFonts w:ascii="Arial" w:cs="Arial" w:eastAsia="Arial" w:hAnsi="Arial"/>
                <w:sz w:val="16"/>
                <w:szCs w:val="16"/>
                <w:color w:val="0000FF"/>
              </w:rPr>
              <w:t>/s/ Mark L. Baum</w:t>
            </w:r>
          </w:p>
        </w:tc>
        <w:tc>
          <w:tcPr>
            <w:tcW w:w="740" w:type="dxa"/>
            <w:vAlign w:val="bottom"/>
          </w:tcPr>
          <w:p>
            <w:pPr>
              <w:spacing w:after="0"/>
              <w:rPr>
                <w:sz w:val="20"/>
                <w:szCs w:val="20"/>
                <w:color w:val="auto"/>
              </w:rPr>
            </w:pPr>
            <w:r>
              <w:rPr>
                <w:rFonts w:ascii="Arial" w:cs="Arial" w:eastAsia="Arial" w:hAnsi="Arial"/>
                <w:sz w:val="16"/>
                <w:szCs w:val="16"/>
                <w:color w:val="0000FF"/>
                <w:w w:val="89"/>
              </w:rPr>
              <w:t>04/26/2016</w:t>
            </w:r>
          </w:p>
        </w:tc>
      </w:tr>
      <w:tr>
        <w:trPr>
          <w:trHeight w:val="20"/>
        </w:trPr>
        <w:tc>
          <w:tcPr>
            <w:tcW w:w="1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420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4282"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2020-01-19T06:59:13Z</dcterms:created>
  <dcterms:modified xsi:type="dcterms:W3CDTF">2020-01-19T06:59:13Z</dcterms:modified>
</cp:coreProperties>
</file>