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6,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6, 2025, John Saharek ceased serving as President and Chief Executive Officer of ImprimisRx, LLC and certain affiliated entities, each of which is a wholly owned subsidiary of Harrow, Inc. (the “Company”), effective that date. Mr. Saharek has transitioned to a non-officer leadership role at the Company and will no longer be involved in the operations of ImprimisRx. No new compensatory arrangements were entered into with Mr. Saharek in connection with this transition.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October 6, 2025, the Company issued a press release announcing leadership changes at ImprimisRx. A copy of the press release is furnished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99.1</w:t>
      </w:r>
      <w:r>
        <w:rPr>
          <w:rFonts w:ascii="Times New Roman" w:cs="Times New Roman" w:eastAsia="Times New Roman" w:hAnsi="Times New Roman"/>
          <w:sz w:val="18"/>
          <w:szCs w:val="18"/>
          <w:color w:val="auto"/>
        </w:rPr>
        <w:t xml:space="preserve"> to this Current Report on Form 8-K and is incorporated herein by reference. The information in this Item 7.01 (including Exhibit 99.1) is being furnished and shall not be deemed “filed” for purposes of Section 18 of the Securities Exchange Act of 1934, as amended (the “Exchange Act”), nor shall it be deemed incorporated by reference in any filing under the Securities Act of 1933, as amended, or the Exchange Act, except as expressly set forth by specific reference in such a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6, 2025 (furnished herewith)</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6, 2025</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164465</wp:posOffset>
            </wp:positionV>
            <wp:extent cx="1714500" cy="908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ImprimisRx Announces Leadership Changes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Frank Mullery Appointed Chief Executive Officer of ImprimisRx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Bridseida Cruz Appointed Head of Quality of ImprimisRx</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NASHVILLE, Tenn., October 6, 2025 </w:t>
      </w:r>
      <w:r>
        <w:rPr>
          <w:rFonts w:ascii="Times New Roman" w:cs="Times New Roman" w:eastAsia="Times New Roman" w:hAnsi="Times New Roman"/>
          <w:sz w:val="18"/>
          <w:szCs w:val="18"/>
          <w:color w:val="auto"/>
        </w:rPr>
        <w:t>– Harrow (Nasdaq: HROW), a leading provider of ophthalmic disease management solutions in North America,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leadership changes at its wholly-owned subsidiary, ImprimisRx. Frank Mullery has been appointed as Chief Executive Officer and Bridseida Cruz has been appointed as Head of Quality of ImprimisRx.</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Mullery is a senior executive with over 20 years of leadership experience in the healthcare and pharmaceutical industries. Throughout his career, he has built and scaled businesses, launched market-shaping products, and driven transformative growth. Most recently, he served as President of Sintetica US, where he spearheaded the creation of the company’s U.S. subsidiary – taking it from concept to full commercialization, while successfully launching its first five sterile injectable products. Previously, he served as President and Chief Commercial Officer of STI Pharma, where he oversaw all company operations, revitalized its strategy with a five-year growth plan, and launched several sterile injectable products. Prior to STI, he spent more than seven years at Mylan, culminating in his role as President of Mylan Institutional, where he established Mylan Institutional as a key player in the U.S. sterile injectable market. Under his leadership, revenues grew to more than $1 billion in 2018, launched its first U.S. biosimilar (Fulphila), introduced over 20 sterile injectable products in a single year, and established strong relationships with key customers. Mr. Mullery also held senior finance leadership roles at Mylan, including CFO of North America and CFO of Mylan Pharmaceuticals Inc., where he helped guide the company’s flagship generics division. He holds an Executive MBA from Villanova University and a bachelor’s degree in Accounting from King’s College.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Ms. Cruz is an executive with over 25 years of experience leading quality and operations in 503B outsourcing, pharmaceutical, and medical device organizations. Trusted by CEOs and pharmacy boards across the United States, she is known for driving FDA remediation, ensuring compliance sustainability, and building high-performing teams. Her notable achievements include leading FDA Warning Letter and regulatory observation remediation plans, which reduced regulatory risks and drove significant operational cost efficiencies. She has also successfully commissioned and launched a new FDA-registered compounding facility, improving operational throughput by 20% through process improvements and championing a quality culture transformation that resulted in zero critical FDA observations when inspected. Cruz holds an MBA in Business Management and a B.S. in Industrial Engineering. She is also a Lean Six Sigma Green Belt and a Certified Quality Lead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Harrow Appoints Frank Mullery (Chief Executive Officer) and Bridseida Cruz (Head of Quality) of ImprimisRx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6, 2025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am honored to have Frank and Bridseida join ImprimisRx in these senior leadership roles,” said Mark L. Baum, Harrow’s Chairman and Chief Executive Officer. “At our recent Investor &amp; Analyst Day, I described my vision for Harrow to be the next great U.S. ophthalmic company. Fulfilling the unmet needs of U.S. eyecare professionals is a critical part of this vision, and ImprimisRx, a trusted national leader in ophthalmic compounding, has become the gold standard innovator – making an array of critical, affordable medicines that have benefitted millions of Americans over the past ten years. I am excited to see Frank and Bridseida carry the torch and lead our incredible ImprimisRx team into its next exciting operational phase.”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Harrow, Inc. (Nasdaq: HROW) is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retina diseases. Harrow was founded with a commitment to deliver safe, effective, accessible, and affordable medications that enhance patient compliance and improve clinical outcomes. For more information about Harrow, please visit </w:t>
      </w:r>
      <w:r>
        <w:rPr>
          <w:rFonts w:ascii="Times New Roman" w:cs="Times New Roman" w:eastAsia="Times New Roman" w:hAnsi="Times New Roman"/>
          <w:sz w:val="18"/>
          <w:szCs w:val="18"/>
          <w:u w:val="single" w:color="auto"/>
          <w:color w:val="auto"/>
        </w:rPr>
        <w:t>harrow.com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including litigation matters, and other uncertainties related to our pharmacy operations and the pharmacy and pharmaceutical business in general;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2024, subsequent Quarterly Reports on Form 10-Q, and other filings with the SEC. Such documents may be read free of charge on the SEC’s web site at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Biega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Investor Relations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mbiega@harrowinc.com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617-913-8890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2025-10-06T06:26:54Z</dcterms:created>
  <dcterms:modified xsi:type="dcterms:W3CDTF">2025-10-06T06:26:54Z</dcterms:modified>
</cp:coreProperties>
</file>