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6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3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BOLL ANDREW 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HARROW,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HROW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02/20/2024</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25"/>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02/20/2024</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586,569</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02/20/2024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18,480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568,089</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02/20/2024</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45,000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listed acquired 45,000 shares of Harrow, Inc. ("Harrow")_common stock represent restricted stock units (RSUs") granted to Mr. Boll on February 19, 2021 under the Issuer's 2017 Stock Incentive and Awards Plan, as amended. The RSUs vested after a three-year period following the award date. 18,480 shares of Harrow common stock listed as disposed were withheld from issuance by Harrow to satisfy Mr. Boll's payroll tax liability incident related to the vesting of the RSUs. Such withholding did not involve any market sales or other market transactions.</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R. Boll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02/21/2024</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2024-02-21T18:39:59Z</dcterms:created>
  <dcterms:modified xsi:type="dcterms:W3CDTF">2024-02-21T18:39:59Z</dcterms:modified>
</cp:coreProperties>
</file>