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25,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HROWL</w:t>
            </w: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25, 2021, Harrow Health, Inc. (the “Company”) entered into a License and Supply Agreement (the “Agreement”) with Sintetica S.A. (“Sintetica”), pursuant to which Sintetica granted the Company the exclusive license and marketing rights to its patented ophthalmic drug candidate (“AMP-100”) in the United States of America (“U.S.”) and Canada.</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the Agreement, the Company will pay Sintetica a per unit transfer price to supply AMP-100, along with a per unit royalty for units sold. The Company is required to pay Sintetica up to eighteen million dollars ($18,000,000) in one-time milestone payments including a five million dollar ($5,000,000) payment due within 30 days of signing the Agreement and the balance of payments due upon achievement of certain regulatory and commercial milestones. Under the terms of the Agreement, Sintetica will be responsible for regulatory filings for AMP-100 in the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certain limitations, the term of the Agreement is ten years, and allows for a ten-year extension if certain sales thresholds are met.</w:t>
      </w:r>
    </w:p>
    <w:p>
      <w:pPr>
        <w:spacing w:after="0" w:line="23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foregoing is a summary description of certain terms of the Agreement, is not complete and is qualified in its entirety by reference to the text of the Agreement, which the Company expects to file as an exhibit to the Company’s Quarterly Report on Form 10-Q for the quarter ending June 30,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27, 2021, the Company issued a press release announcing its exclusive North American licensing arrangement to AMP-100. A copy of the press release is attached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Harrow Health and Sintetica Press Release dated July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520" w:val="left"/>
          <w:tab w:leader="none" w:pos="6000" w:val="left"/>
        </w:tabs>
        <w:rPr>
          <w:sz w:val="20"/>
          <w:szCs w:val="20"/>
          <w:color w:val="auto"/>
        </w:rPr>
      </w:pPr>
      <w:r>
        <w:rPr>
          <w:rFonts w:ascii="Arial" w:cs="Arial" w:eastAsia="Arial" w:hAnsi="Arial"/>
          <w:sz w:val="18"/>
          <w:szCs w:val="18"/>
          <w:color w:val="auto"/>
        </w:rPr>
        <w:t>Dated: July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-130175</wp:posOffset>
            </wp:positionV>
            <wp:extent cx="33089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43050"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60833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154305</wp:posOffset>
            </wp:positionV>
            <wp:extent cx="145732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Acquires Patented Ophthalmic Surgical Drug Candidate from Sintetica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Drug Application Expected to Be Filed in Late 2021</w:t>
      </w:r>
    </w:p>
    <w:p>
      <w:pPr>
        <w:spacing w:after="0" w:line="22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NASHVILLE, Tenn. and MENDRISIO, Switzerland, July 27, 2021 – Harrow Health, Inc. (NASDAQ: HROW), an ophthalmic-focused healthcare company, today announced that it has entered into an agreement with Sintetica, S.A., a growing pharmaceutical company focused on analgesics, local anesthetics and sterile injectable solutions, to acquire the marketing and supply rights in the U.S. and Canada for AMP-100, a patented ophthalmic surgical drug candidate. When approved, AMP-100 will provide ocular surface anesthesia during ophthalmic interventions such as cataract surgery and intravitreal injections, which are estimated to total over 10 million procedures annually in the U.S.</w:t>
      </w:r>
      <w:r>
        <w:rPr>
          <w:rFonts w:ascii="Arial" w:cs="Arial" w:eastAsia="Arial" w:hAnsi="Arial"/>
          <w:sz w:val="28"/>
          <w:szCs w:val="28"/>
          <w:color w:val="auto"/>
          <w:vertAlign w:val="superscript"/>
        </w:rPr>
        <w:t>(1)</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AMP-100 is a patented, innovative ocular surface anesthetic drug candidate, with safety and efficacy supported by a robust pre-clinical and clinical program, including a recently completed Phase 3 study that successfully compared the efficacy and tolerability of AMP-100 to current standards of care. Sintetica intends to submit a New Drug Application (NDA) to the U.S. Food and Drug Administration (FDA) in late 2021. When approved, the active ingredient used in AMP-100 will be the first approved use of this active ingredient in the U.S. ophthalmic market.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Commenting on the acquisition, Mark L. Baum, CEO of Harrow Health, said, “This transaction reflects Harrow Health’s commitment to continued growth by adding new high-value products to our portfolio. The acquisition of rights to market and sell AMP-100 in the U.S. and Canada will further fortify our greatest commercial strength – providing thousands of U.S. eyecare professionals and their patients with </w:t>
      </w:r>
      <w:r>
        <w:rPr>
          <w:rFonts w:ascii="Arial" w:cs="Arial" w:eastAsia="Arial" w:hAnsi="Arial"/>
          <w:sz w:val="16"/>
          <w:szCs w:val="16"/>
          <w:i w:val="1"/>
          <w:iCs w:val="1"/>
          <w:color w:val="auto"/>
        </w:rPr>
        <w:t>novel ophthalmic surgical products</w:t>
      </w:r>
      <w:r>
        <w:rPr>
          <w:rFonts w:ascii="Arial" w:cs="Arial" w:eastAsia="Arial" w:hAnsi="Arial"/>
          <w:sz w:val="16"/>
          <w:szCs w:val="16"/>
          <w:color w:val="auto"/>
        </w:rPr>
        <w:t>. When approved, we expect to fully leverage our wholly owned, efficient, scalable, and tech-enabled ImprimisRx ophthalmic-focused commercial and distribution platform to market AMP-100 to our ‘front-of-the-eye-focused’ customer base, such as cataract and refractive surgeons. In addition, we intend to invest in expanding our commercial footprint to include retina-focused surgeons to fully leverage the market potential of AMP-100.”</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sound business strategy for commercializing our promising and innovative products in countries around the world,” added Miro Venturi, Corporate CEO for Sintetica, S.A. “We are convinced that Harrow Health, with its knowledge and expertise in ophthalmology and commitment to providing high-quality medications, is the optimal choice for Sintetica to partner with to bring AMP-100 to the U.S.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agreement, Sintetica will be responsible for regulatory filings for the product in the U.S. The agreement provides for upfront and milestone payments to Sintetica as well as per unit royalties on sales of AMP-100, when successfully commercialized</w:t>
      </w:r>
      <w:r>
        <w:rPr>
          <w:rFonts w:ascii="Arial" w:cs="Arial" w:eastAsia="Arial" w:hAnsi="Arial"/>
          <w:sz w:val="18"/>
          <w:szCs w:val="18"/>
          <w:b w:val="1"/>
          <w:bCs w:val="1"/>
          <w:color w:val="auto"/>
        </w:rPr>
        <w:t>.</w:t>
      </w:r>
      <w:r>
        <w:rPr>
          <w:rFonts w:ascii="Arial" w:cs="Arial" w:eastAsia="Arial" w:hAnsi="Arial"/>
          <w:sz w:val="18"/>
          <w:szCs w:val="18"/>
          <w:color w:val="auto"/>
        </w:rPr>
        <w:t xml:space="preserve"> Harrow Health will have marketing rights for the U.S. and Canada, while Sintetica will retain the marketing rights in other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acted as financial advisors to Harrow Health for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Sintetica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Based in Mendrisio, Switzerland, Sintetica is a growing privately held international pharmaceutical company focused on analgesics, local anesthetics and sterile injectable solutions in ampoules, vials and IV bags for hospitals. Sintetica develops medicines in concentrated and premixed formulations, which enables healthcare practitioners to administer these products without manipulation and dilution, increasing patient safety and improving convenience for patients and HCPs. Sintetica runs sales subsidiaries in selected European markets and partners with leading distributors around the world. In 2020, Sintetica employed 277 employees and produced 52.9 million products, with revenues of close to CHF 90 million. For more information about Sintetica, please visit the corporate website, </w:t>
      </w:r>
      <w:r>
        <w:rPr>
          <w:rFonts w:ascii="Arial" w:cs="Arial" w:eastAsia="Arial" w:hAnsi="Arial"/>
          <w:sz w:val="18"/>
          <w:szCs w:val="18"/>
          <w:u w:val="single" w:color="auto"/>
          <w:color w:val="auto"/>
        </w:rPr>
        <w:t>sintetica.com</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HROW Acquires Patented Ophthalmic Surgical Drug Candidate</w:t>
      </w:r>
    </w:p>
    <w:p>
      <w:pPr>
        <w:spacing w:after="0" w:line="211" w:lineRule="auto"/>
        <w:rPr>
          <w:sz w:val="20"/>
          <w:szCs w:val="20"/>
          <w:color w:val="auto"/>
        </w:rPr>
      </w:pPr>
      <w:r>
        <w:rPr>
          <w:rFonts w:ascii="Arial" w:cs="Arial" w:eastAsia="Arial" w:hAnsi="Arial"/>
          <w:sz w:val="20"/>
          <w:szCs w:val="20"/>
          <w:color w:val="auto"/>
        </w:rPr>
        <w:t>Page 2</w:t>
      </w:r>
    </w:p>
    <w:p>
      <w:pPr>
        <w:spacing w:after="0"/>
        <w:rPr>
          <w:sz w:val="20"/>
          <w:szCs w:val="20"/>
          <w:color w:val="auto"/>
        </w:rPr>
      </w:pPr>
      <w:r>
        <w:rPr>
          <w:rFonts w:ascii="Arial" w:cs="Arial" w:eastAsia="Arial" w:hAnsi="Arial"/>
          <w:sz w:val="20"/>
          <w:szCs w:val="20"/>
          <w:color w:val="auto"/>
        </w:rPr>
        <w:t>July 27,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Harrow Health, Inc. (NASDAQ: HROW) is an ophthalmic-focused healthcare company. The Company owns and operates ImprimisRx, one the nation’s leading ophthalmology-focused pharmaceutical businesses, and Visionology, a direct-to-consumer eye care subsidiary focused on chronic eye disease. Harrow Health also holds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the corporate website, </w:t>
      </w:r>
      <w:r>
        <w:rPr>
          <w:rFonts w:ascii="Arial" w:cs="Arial" w:eastAsia="Arial" w:hAnsi="Arial"/>
          <w:sz w:val="17"/>
          <w:szCs w:val="17"/>
          <w:u w:val="single" w:color="auto"/>
          <w:color w:val="auto"/>
        </w:rPr>
        <w:t>harrowinc.com</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Contacts:</w:t>
            </w:r>
          </w:p>
        </w:tc>
        <w:tc>
          <w:tcPr>
            <w:tcW w:w="1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For Harrow:</w:t>
            </w:r>
          </w:p>
        </w:tc>
        <w:tc>
          <w:tcPr>
            <w:tcW w:w="3840" w:type="dxa"/>
            <w:vAlign w:val="bottom"/>
            <w:gridSpan w:val="3"/>
          </w:tcPr>
          <w:p>
            <w:pPr>
              <w:ind w:left="1080"/>
              <w:spacing w:after="0"/>
              <w:rPr>
                <w:sz w:val="20"/>
                <w:szCs w:val="20"/>
                <w:color w:val="auto"/>
              </w:rPr>
            </w:pPr>
            <w:r>
              <w:rPr>
                <w:rFonts w:ascii="Arial" w:cs="Arial" w:eastAsia="Arial" w:hAnsi="Arial"/>
                <w:sz w:val="18"/>
                <w:szCs w:val="18"/>
                <w:b w:val="1"/>
                <w:bCs w:val="1"/>
                <w:color w:val="auto"/>
              </w:rPr>
              <w:t>For Sintetica:</w:t>
            </w:r>
          </w:p>
        </w:tc>
      </w:tr>
      <w:tr>
        <w:trPr>
          <w:trHeight w:val="391"/>
        </w:trPr>
        <w:tc>
          <w:tcPr>
            <w:tcW w:w="4660" w:type="dxa"/>
            <w:vAlign w:val="bottom"/>
            <w:gridSpan w:val="5"/>
          </w:tcPr>
          <w:p>
            <w:pPr>
              <w:spacing w:after="0"/>
              <w:rPr>
                <w:sz w:val="20"/>
                <w:szCs w:val="20"/>
                <w:color w:val="auto"/>
              </w:rPr>
            </w:pPr>
            <w:r>
              <w:rPr>
                <w:rFonts w:ascii="Arial" w:cs="Arial" w:eastAsia="Arial" w:hAnsi="Arial"/>
                <w:sz w:val="18"/>
                <w:szCs w:val="18"/>
                <w:color w:val="auto"/>
              </w:rPr>
              <w:t>Investors</w:t>
            </w:r>
          </w:p>
        </w:tc>
        <w:tc>
          <w:tcPr>
            <w:tcW w:w="3840" w:type="dxa"/>
            <w:vAlign w:val="bottom"/>
            <w:gridSpan w:val="3"/>
          </w:tcPr>
          <w:p>
            <w:pPr>
              <w:ind w:left="1080"/>
              <w:spacing w:after="0"/>
              <w:rPr>
                <w:sz w:val="20"/>
                <w:szCs w:val="20"/>
                <w:color w:val="auto"/>
              </w:rPr>
            </w:pPr>
            <w:r>
              <w:rPr>
                <w:rFonts w:ascii="Arial" w:cs="Arial" w:eastAsia="Arial" w:hAnsi="Arial"/>
                <w:sz w:val="18"/>
                <w:szCs w:val="18"/>
                <w:color w:val="auto"/>
              </w:rPr>
              <w:t>Daniel Braxton</w:t>
            </w:r>
          </w:p>
        </w:tc>
      </w:tr>
      <w:tr>
        <w:trPr>
          <w:trHeight w:val="20"/>
        </w:trPr>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2"/>
        </w:trPr>
        <w:tc>
          <w:tcPr>
            <w:tcW w:w="4660" w:type="dxa"/>
            <w:vAlign w:val="bottom"/>
            <w:gridSpan w:val="5"/>
          </w:tcPr>
          <w:p>
            <w:pPr>
              <w:spacing w:after="0"/>
              <w:rPr>
                <w:sz w:val="20"/>
                <w:szCs w:val="20"/>
                <w:color w:val="auto"/>
              </w:rPr>
            </w:pPr>
            <w:r>
              <w:rPr>
                <w:rFonts w:ascii="Arial" w:cs="Arial" w:eastAsia="Arial" w:hAnsi="Arial"/>
                <w:sz w:val="18"/>
                <w:szCs w:val="18"/>
                <w:color w:val="auto"/>
              </w:rPr>
              <w:t>Jamie Webb, Director of Communications and IR</w:t>
            </w:r>
          </w:p>
        </w:tc>
        <w:tc>
          <w:tcPr>
            <w:tcW w:w="3840" w:type="dxa"/>
            <w:vAlign w:val="bottom"/>
            <w:gridSpan w:val="3"/>
          </w:tcPr>
          <w:p>
            <w:pPr>
              <w:ind w:left="1080"/>
              <w:spacing w:after="0"/>
              <w:rPr>
                <w:sz w:val="20"/>
                <w:szCs w:val="20"/>
                <w:color w:val="auto"/>
              </w:rPr>
            </w:pPr>
            <w:r>
              <w:rPr>
                <w:rFonts w:ascii="Arial" w:cs="Arial" w:eastAsia="Arial" w:hAnsi="Arial"/>
                <w:sz w:val="18"/>
                <w:szCs w:val="18"/>
                <w:color w:val="auto"/>
                <w:w w:val="92"/>
              </w:rPr>
              <w:t>Head of Branding &amp; Communications</w:t>
            </w:r>
          </w:p>
        </w:tc>
      </w:tr>
      <w:tr>
        <w:trPr>
          <w:trHeight w:val="190"/>
        </w:trPr>
        <w:tc>
          <w:tcPr>
            <w:tcW w:w="170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2"/>
              </w:rPr>
              <w:t>jwebb@harrowinc.com</w:t>
            </w:r>
          </w:p>
        </w:tc>
        <w:tc>
          <w:tcPr>
            <w:tcW w:w="296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23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communications@sintetica.com</w:t>
            </w:r>
          </w:p>
        </w:tc>
        <w:tc>
          <w:tcPr>
            <w:tcW w:w="440" w:type="dxa"/>
            <w:vAlign w:val="bottom"/>
          </w:tcPr>
          <w:p>
            <w:pPr>
              <w:spacing w:after="0"/>
              <w:rPr>
                <w:sz w:val="16"/>
                <w:szCs w:val="16"/>
                <w:color w:val="auto"/>
              </w:rPr>
            </w:pPr>
          </w:p>
        </w:tc>
      </w:tr>
      <w:tr>
        <w:trPr>
          <w:trHeight w:val="237"/>
        </w:trPr>
        <w:tc>
          <w:tcPr>
            <w:tcW w:w="1700" w:type="dxa"/>
            <w:vAlign w:val="bottom"/>
            <w:gridSpan w:val="3"/>
          </w:tcPr>
          <w:p>
            <w:pPr>
              <w:spacing w:after="0"/>
              <w:rPr>
                <w:sz w:val="20"/>
                <w:szCs w:val="20"/>
                <w:color w:val="auto"/>
              </w:rPr>
            </w:pPr>
            <w:r>
              <w:rPr>
                <w:rFonts w:ascii="Arial" w:cs="Arial" w:eastAsia="Arial" w:hAnsi="Arial"/>
                <w:sz w:val="18"/>
                <w:szCs w:val="18"/>
                <w:color w:val="auto"/>
              </w:rPr>
              <w:t>615-733-4737</w:t>
            </w: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0" w:type="dxa"/>
            <w:vAlign w:val="bottom"/>
            <w:gridSpan w:val="2"/>
          </w:tcPr>
          <w:p>
            <w:pPr>
              <w:ind w:left="1080"/>
              <w:spacing w:after="0"/>
              <w:rPr>
                <w:sz w:val="20"/>
                <w:szCs w:val="20"/>
                <w:color w:val="auto"/>
              </w:rPr>
            </w:pPr>
            <w:r>
              <w:rPr>
                <w:rFonts w:ascii="Arial" w:cs="Arial" w:eastAsia="Arial" w:hAnsi="Arial"/>
                <w:sz w:val="18"/>
                <w:szCs w:val="18"/>
                <w:color w:val="auto"/>
              </w:rPr>
              <w:t>+41 79 514 94 97</w:t>
            </w:r>
          </w:p>
        </w:tc>
        <w:tc>
          <w:tcPr>
            <w:tcW w:w="440" w:type="dxa"/>
            <w:vAlign w:val="bottom"/>
          </w:tcPr>
          <w:p>
            <w:pPr>
              <w:spacing w:after="0"/>
              <w:rPr>
                <w:sz w:val="20"/>
                <w:szCs w:val="20"/>
                <w:color w:val="auto"/>
              </w:rPr>
            </w:pPr>
          </w:p>
        </w:tc>
      </w:tr>
      <w:tr>
        <w:trPr>
          <w:trHeight w:val="391"/>
        </w:trPr>
        <w:tc>
          <w:tcPr>
            <w:tcW w:w="4660" w:type="dxa"/>
            <w:vAlign w:val="bottom"/>
            <w:gridSpan w:val="5"/>
          </w:tcPr>
          <w:p>
            <w:pPr>
              <w:spacing w:after="0"/>
              <w:rPr>
                <w:sz w:val="20"/>
                <w:szCs w:val="20"/>
                <w:color w:val="auto"/>
              </w:rPr>
            </w:pPr>
            <w:r>
              <w:rPr>
                <w:rFonts w:ascii="Arial" w:cs="Arial" w:eastAsia="Arial" w:hAnsi="Arial"/>
                <w:sz w:val="18"/>
                <w:szCs w:val="18"/>
                <w:color w:val="auto"/>
              </w:rPr>
              <w:t>Media</w:t>
            </w:r>
          </w:p>
        </w:tc>
        <w:tc>
          <w:tcPr>
            <w:tcW w:w="1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2"/>
        </w:trPr>
        <w:tc>
          <w:tcPr>
            <w:tcW w:w="4660" w:type="dxa"/>
            <w:vAlign w:val="bottom"/>
            <w:gridSpan w:val="5"/>
          </w:tcPr>
          <w:p>
            <w:pPr>
              <w:spacing w:after="0"/>
              <w:rPr>
                <w:sz w:val="20"/>
                <w:szCs w:val="20"/>
                <w:color w:val="auto"/>
              </w:rPr>
            </w:pPr>
            <w:r>
              <w:rPr>
                <w:rFonts w:ascii="Arial" w:cs="Arial" w:eastAsia="Arial" w:hAnsi="Arial"/>
                <w:sz w:val="18"/>
                <w:szCs w:val="18"/>
                <w:color w:val="auto"/>
              </w:rPr>
              <w:t>Deb Holliday</w:t>
            </w:r>
          </w:p>
        </w:tc>
        <w:tc>
          <w:tcPr>
            <w:tcW w:w="10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6"/>
        </w:trPr>
        <w:tc>
          <w:tcPr>
            <w:tcW w:w="4660" w:type="dxa"/>
            <w:vAlign w:val="bottom"/>
            <w:gridSpan w:val="5"/>
          </w:tcPr>
          <w:p>
            <w:pPr>
              <w:spacing w:after="0"/>
              <w:rPr>
                <w:sz w:val="20"/>
                <w:szCs w:val="20"/>
                <w:color w:val="auto"/>
              </w:rPr>
            </w:pPr>
            <w:r>
              <w:rPr>
                <w:rFonts w:ascii="Arial" w:cs="Arial" w:eastAsia="Arial" w:hAnsi="Arial"/>
                <w:sz w:val="18"/>
                <w:szCs w:val="18"/>
                <w:color w:val="auto"/>
              </w:rPr>
              <w:t>Holliday Communications, Inc.</w:t>
            </w:r>
          </w:p>
        </w:tc>
        <w:tc>
          <w:tcPr>
            <w:tcW w:w="1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90"/>
        </w:trPr>
        <w:tc>
          <w:tcPr>
            <w:tcW w:w="4660" w:type="dxa"/>
            <w:vAlign w:val="bottom"/>
            <w:gridSpan w:val="5"/>
          </w:tcPr>
          <w:p>
            <w:pPr>
              <w:spacing w:after="0" w:line="190" w:lineRule="exact"/>
              <w:rPr>
                <w:sz w:val="20"/>
                <w:szCs w:val="20"/>
                <w:color w:val="auto"/>
              </w:rPr>
            </w:pPr>
            <w:r>
              <w:rPr>
                <w:rFonts w:ascii="Arial" w:cs="Arial" w:eastAsia="Arial" w:hAnsi="Arial"/>
                <w:sz w:val="18"/>
                <w:szCs w:val="18"/>
                <w:color w:val="auto"/>
              </w:rPr>
              <w:t>deb@hollidaycommunications.net</w:t>
            </w:r>
          </w:p>
        </w:tc>
        <w:tc>
          <w:tcPr>
            <w:tcW w:w="1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7"/>
        </w:trPr>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412-877-4519</w:t>
            </w:r>
          </w:p>
        </w:tc>
        <w:tc>
          <w:tcPr>
            <w:tcW w:w="780" w:type="dxa"/>
            <w:vAlign w:val="bottom"/>
            <w:tcBorders>
              <w:top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References:</w:t>
      </w:r>
    </w:p>
    <w:p>
      <w:pPr>
        <w:spacing w:after="0" w:line="50" w:lineRule="exact"/>
        <w:rPr>
          <w:sz w:val="20"/>
          <w:szCs w:val="20"/>
          <w:color w:val="auto"/>
        </w:rPr>
      </w:pPr>
    </w:p>
    <w:p>
      <w:pPr>
        <w:ind w:left="5380" w:right="1460" w:hanging="5372"/>
        <w:spacing w:after="0" w:line="473" w:lineRule="auto"/>
        <w:tabs>
          <w:tab w:leader="none" w:pos="221"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 xml:space="preserve">Market Scope 2019, IOL Market Report, April 2019, and Ophthalmologica, </w:t>
      </w:r>
      <w:r>
        <w:rPr>
          <w:rFonts w:ascii="Arial" w:cs="Arial" w:eastAsia="Arial" w:hAnsi="Arial"/>
          <w:sz w:val="16"/>
          <w:szCs w:val="16"/>
          <w:u w:val="single" w:color="auto"/>
          <w:color w:val="auto"/>
        </w:rPr>
        <w:t>2018 Update on Intravitreal Injections</w:t>
      </w:r>
      <w:r>
        <w:rPr>
          <w:rFonts w:ascii="Arial" w:cs="Arial" w:eastAsia="Arial" w:hAnsi="Arial"/>
          <w:sz w:val="16"/>
          <w:szCs w:val="16"/>
          <w:color w:val="auto"/>
        </w:rPr>
        <w:t>, accessed 7/27/21 -END-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2021-07-27T06:32:11Z</dcterms:created>
  <dcterms:modified xsi:type="dcterms:W3CDTF">2021-07-27T06:32:11Z</dcterms:modified>
</cp:coreProperties>
</file>