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001-35814</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45-0567010</w:t>
      </w:r>
    </w:p>
    <w:p>
      <w:pPr>
        <w:spacing w:after="0" w:line="3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20" w:space="720"/>
            <w:col w:w="2460"/>
          </w:cols>
          <w:pgMar w:left="320" w:top="740"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102 Woodmont Blvd., Suite 610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37205</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0"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HROWM</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Items.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15, 2024, Harrow, Inc. announced that it and some of its wholly-owned subsidiaries (together, the “Company”) had entered into a licensing agreement (the “Agreement”) with Apotex Inc. (“Apotex”). Under the terms of the Agreement, Apotex licensed from the Company exclusive rights and marketing authorizations of the following products in the Canadian market: VERKAZIA (cyclosporine ophthalmic emulsion) 0.1%; and Cationorm PLUS. In addition, Apotex agreed to pursue regulatory approval in Canada for VEVYE (cyclosporine ophthalmic solution) 0.1%; IHEEZO (chloroprocaine hydrochloride ophthalmic gel) 3%; and ZERVIATE (cetirizine ophthalmic solution) 0.24%. In consideration for such rights, the Company will be eligible to receive certain milestone payments based on manufacturing related events, regulatory approval and commercial activities along with royalties on net sales of the products.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 copy of the press release announcing the Agreement is filed as </w:t>
      </w:r>
      <w:r>
        <w:rPr>
          <w:rFonts w:ascii="Times New Roman" w:cs="Times New Roman" w:eastAsia="Times New Roman" w:hAnsi="Times New Roman"/>
          <w:sz w:val="18"/>
          <w:szCs w:val="18"/>
          <w:u w:val="single" w:color="auto"/>
          <w:color w:val="auto"/>
        </w:rPr>
        <w:t>Exhibit 99</w:t>
      </w:r>
      <w:r>
        <w:rPr>
          <w:rFonts w:ascii="Times New Roman" w:cs="Times New Roman" w:eastAsia="Times New Roman" w:hAnsi="Times New Roman"/>
          <w:sz w:val="18"/>
          <w:szCs w:val="18"/>
          <w:color w:val="auto"/>
        </w:rPr>
        <w:t xml:space="preserve"> to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(d)  Exhibits</w:t>
      </w:r>
    </w:p>
    <w:p>
      <w:pPr>
        <w:spacing w:after="0" w:line="27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1100" w:hanging="1092"/>
        <w:spacing w:after="0"/>
        <w:tabs>
          <w:tab w:leader="none" w:pos="11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Press Release of Harrow, Inc. dated February 15, 2024</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p>
    <w:p>
      <w:pPr>
        <w:spacing w:after="0" w:line="22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February 15,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27305</wp:posOffset>
            </wp:positionV>
            <wp:extent cx="33515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Andrew R. Boll</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34440"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65151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431165</wp:posOffset>
            </wp:positionV>
            <wp:extent cx="123444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Harrow Licenses Canadian Rights to Apotex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Five Branded Ophthalmic Pharmaceutical Products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NASHVILLE, Tenn. and TORONTO, Ontario, Canada (February 15, 2024) – Harrow, Inc. (Nasdaq: HROW), a leading U.S. eyecare pharmaceutical company, and Apotex Inc. (“Apotex”), Canada’s largest pharmaceutical company, today jointly announced an exclusive out-licensing agreement under</w:t>
      </w:r>
    </w:p>
    <w:p>
      <w:pPr>
        <w:jc w:val="both"/>
        <w:spacing w:after="0" w:line="228" w:lineRule="auto"/>
        <w:rPr>
          <w:sz w:val="20"/>
          <w:szCs w:val="20"/>
          <w:color w:val="auto"/>
        </w:rPr>
      </w:pPr>
      <w:r>
        <w:rPr>
          <w:rFonts w:ascii="Times New Roman" w:cs="Times New Roman" w:eastAsia="Times New Roman" w:hAnsi="Times New Roman"/>
          <w:sz w:val="18"/>
          <w:szCs w:val="18"/>
          <w:color w:val="auto"/>
        </w:rPr>
        <w:t>which Apotex will market and distribute VERKAZIA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over-the-counter (OTC) Cationorm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PLUS in the Canadian market, and concurrently, pursue market approval in Canada for VEVYE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IHEEZO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ZERVIATE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enter the Canadian market through this partnership with Apotex, which has a proven track record of success serving Canadian eyecare professionals and their patients,” said Mark L. Baum, Chairman and Chief Executive Officer of Harrow. “This exclusive agreement fulfills our commitment to access and availability of these five important ophthalmic pharmaceutical products, and we look forward to working closely with our partners at Apotex over the coming years as they seek approval for VEVYE, IHEEZO and ZERVIATE in the Canadian market.”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excited to partner with Harrow to provide access to an innovative branded line of ophthalmic products that complement our existing portfolio,” stated Allan Oberman, President and Chief Executive Officer of Apotex. “This alliance expands Apotex’s product offering in Canada to include innovative patented pharmaceutical medicines, aligned with our ongoing strategic focus to further expand our innovative branded pharmaceutical therapeutic areas of focus in becoming a Canadian-based global health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“Adding these products strengthens our therapeutic line and provides Canadian patients with valuable new treatment options,” adds Mike Woolcock, Senior Vice President, Biosimilars &amp; Specialty. “We look forward to collaborating with Harrow to expand this line with VEVYE, IHEEZO, and ZERVIATE upon receiving market approval to improve the overall patient quality of life in this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terms of the agreement, Apotex licensed exclusive rights and marketing authorizations of the following products in the Canadian market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w:t>
      </w:r>
    </w:p>
    <w:p>
      <w:pPr>
        <w:spacing w:after="0" w:line="207" w:lineRule="exact"/>
        <w:rPr>
          <w:sz w:val="20"/>
          <w:szCs w:val="20"/>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VERKAZIA</w:t>
      </w:r>
      <w:r>
        <w:rPr>
          <w:rFonts w:ascii="Times New Roman" w:cs="Times New Roman" w:eastAsia="Times New Roman" w:hAnsi="Times New Roman"/>
          <w:sz w:val="18"/>
          <w:szCs w:val="18"/>
          <w:color w:val="auto"/>
        </w:rPr>
        <w:t xml:space="preserve"> (cyclosporine ophthalmic emulsion) 0.1%, a calcineurin inhibitor immunosuppressant indicated for the treatment of vernal keratoconjunctivitis (VKC) in children from four years of age through adolescence.</w:t>
      </w:r>
    </w:p>
    <w:p>
      <w:pPr>
        <w:ind w:left="66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Cationorm PLUS, an OTC, preservative-free emulsion for the treatment of dry eye symptoms and the treatment of signs and symptoms of ocular allergy.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for products, Apotex will pursue approval for in Canada:</w:t>
      </w:r>
    </w:p>
    <w:p>
      <w:pPr>
        <w:spacing w:after="0" w:line="225" w:lineRule="exact"/>
        <w:rPr>
          <w:sz w:val="20"/>
          <w:szCs w:val="20"/>
          <w:color w:val="auto"/>
        </w:rPr>
      </w:pPr>
    </w:p>
    <w:p>
      <w:pPr>
        <w:ind w:left="660" w:right="2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VEVYE</w:t>
      </w:r>
      <w:r>
        <w:rPr>
          <w:rFonts w:ascii="Times New Roman" w:cs="Times New Roman" w:eastAsia="Times New Roman" w:hAnsi="Times New Roman"/>
          <w:sz w:val="18"/>
          <w:szCs w:val="18"/>
          <w:color w:val="auto"/>
        </w:rPr>
        <w:t xml:space="preserve"> (cyclosporine ophthalmic solution) 0.1%, a novel water-free vehicle (perfluorobutylpentane) based on semifluorinated alkanes, indicated to treat the signs and symptoms of dry eye disease.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IHEEZO</w:t>
      </w:r>
      <w:r>
        <w:rPr>
          <w:rFonts w:ascii="Times New Roman" w:cs="Times New Roman" w:eastAsia="Times New Roman" w:hAnsi="Times New Roman"/>
          <w:sz w:val="18"/>
          <w:szCs w:val="18"/>
          <w:color w:val="auto"/>
        </w:rPr>
        <w:t xml:space="preserve"> (chloroprocaine hydrochloride ophthalmic gel) 3%, a single-use, low-viscosity gel indicated for ocular surface anesthesia.</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ZERVIATE</w:t>
      </w:r>
      <w:r>
        <w:rPr>
          <w:rFonts w:ascii="Times New Roman" w:cs="Times New Roman" w:eastAsia="Times New Roman" w:hAnsi="Times New Roman"/>
          <w:sz w:val="18"/>
          <w:szCs w:val="18"/>
          <w:color w:val="auto"/>
        </w:rPr>
        <w:t xml:space="preserve"> (cetirizine ophthalmic solution) 0.24%, a histamine-1 (H1) receptor antagonist indicated for the treatment of ocular itching associated with allergic conjunctivitis.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3444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234440" cy="651510"/>
                    </a:xfrm>
                    <a:prstGeom prst="rect">
                      <a:avLst/>
                    </a:prstGeom>
                    <a:noFill/>
                  </pic:spPr>
                </pic:pic>
              </a:graphicData>
            </a:graphic>
          </wp:anchor>
        </w:drawing>
        <w:drawing>
          <wp:anchor simplePos="0" relativeHeight="251657728" behindDoc="1" locked="0" layoutInCell="0" allowOverlap="1">
            <wp:simplePos x="0" y="0"/>
            <wp:positionH relativeFrom="page">
              <wp:posOffset>4991735</wp:posOffset>
            </wp:positionH>
            <wp:positionV relativeFrom="page">
              <wp:posOffset>723265</wp:posOffset>
            </wp:positionV>
            <wp:extent cx="1234440" cy="377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34440" cy="37719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Licenses Canadian Rights to Apotex For Five Branded Ophthalmic Pharmaceutical Products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Apotex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Apotex Inc. is a Canadian-based global health company that produces high-quality, affordable and complex medicines for patients around the world, with a strategic focus on becoming a Pan-Canadian Health Champion. Apotex has an integrated portfolio of generic and innovative branded pharmaceutical products for global markets. Apotex employs almost 7,000 people worldwide in manufacturing, R&amp;D, and commercial operations. Apotex medicines are accessible to patients in more than 75 countries globally. Through vertical integration, Apotex is comprised of multiple divisions and affiliates, including Apotex Inc., focused on generic and specialty innovative medicines in Canada and internationally, Apotex Corp., an affiliate of Apotex Inc. which markets and sells products in the United States, and Apobiologix, a division of Apotex Inc. focused on biosimilar development. For more information, visit: </w:t>
      </w:r>
      <w:r>
        <w:rPr>
          <w:rFonts w:ascii="Times New Roman" w:cs="Times New Roman" w:eastAsia="Times New Roman" w:hAnsi="Times New Roman"/>
          <w:sz w:val="18"/>
          <w:szCs w:val="18"/>
          <w:u w:val="single" w:color="auto"/>
          <w:color w:val="auto"/>
        </w:rPr>
        <w:t>www.apotex.com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Harrow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Harrow, Inc. (Nasdaq: HROW) is a leading eyecare pharmaceutical company engaged in the discovery, development, and commercialization of innovative ophthalmic pharmaceutical products for the U.S. market. Harrow helps U.S. eyecare professionals preserve the gift of sight by making its comprehensive portfolio of prescription and non-prescription pharmaceutical products accessible and affordable to millions of Americans each year. For more information about Harrow, please visit </w:t>
      </w:r>
      <w:r>
        <w:rPr>
          <w:rFonts w:ascii="Times New Roman" w:cs="Times New Roman" w:eastAsia="Times New Roman" w:hAnsi="Times New Roman"/>
          <w:sz w:val="18"/>
          <w:szCs w:val="18"/>
          <w:u w:val="single" w:color="auto"/>
          <w:color w:val="auto"/>
        </w:rPr>
        <w:t>harrow.com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our ability to successfully implement our business plan and commercialize our products in a timely manner or at all, obtain necessary approvals for products in Canada, recruit and retain qualified personnel, manage any growth we may experience and successfully realize the benefits of the licensing arrangements; physician interest in and market acceptance of our products; competition from other pharmaceutical companies; general economic and business conditions, including inflation and supply chain challenges; and regulatory and legal risks and uncertainties related to our operations and the pharmaceutical business in general. These and additional risks and uncertainties are more fully described in Harrow’s filings with the Securities and Exchange Commission (the “SEC”), including its Annual Report on Form 10-K and its Quarterly Reports on Form 10-Q. Such documents may be read free of charge on the SEC’s web site at </w:t>
      </w:r>
      <w:r>
        <w:rPr>
          <w:rFonts w:ascii="Times New Roman" w:cs="Times New Roman" w:eastAsia="Times New Roman" w:hAnsi="Times New Roman"/>
          <w:sz w:val="18"/>
          <w:szCs w:val="18"/>
          <w:u w:val="single" w:color="auto"/>
          <w:color w:val="auto"/>
        </w:rPr>
        <w:t>sec.gov</w:t>
      </w:r>
      <w:r>
        <w:rPr>
          <w:rFonts w:ascii="Times New Roman" w:cs="Times New Roman" w:eastAsia="Times New Roman" w:hAnsi="Times New Roman"/>
          <w:sz w:val="18"/>
          <w:szCs w:val="18"/>
          <w:color w:val="auto"/>
        </w:rPr>
        <w:t>. Undue reliance should not be placed on forward-looking statements, which speak only as of the date they are made. Except as required by law, Harrow undertakes no obligation to update any forward-looking statements to reflect new information, events, or circumstances after the date they are made, or to reflect the occurrence of unanticipated events.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Harrow: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Investors</w:t>
            </w:r>
          </w:p>
        </w:tc>
        <w:tc>
          <w:tcPr>
            <w:tcW w:w="668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Media</w:t>
            </w:r>
          </w:p>
        </w:tc>
      </w:tr>
      <w:tr>
        <w:trPr>
          <w:trHeight w:val="20"/>
        </w:trPr>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18"/>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Jamie Webb</w:t>
            </w:r>
          </w:p>
        </w:tc>
        <w:tc>
          <w:tcPr>
            <w:tcW w:w="668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Deb Holliday</w:t>
            </w:r>
          </w:p>
        </w:tc>
      </w:tr>
      <w:tr>
        <w:trPr>
          <w:trHeight w:val="216"/>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 of Communications and Investor Relations</w:t>
            </w:r>
          </w:p>
        </w:tc>
        <w:tc>
          <w:tcPr>
            <w:tcW w:w="668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Holliday Communications, Inc.</w:t>
            </w:r>
          </w:p>
        </w:tc>
      </w:tr>
      <w:tr>
        <w:trPr>
          <w:trHeight w:val="194"/>
        </w:trPr>
        <w:tc>
          <w:tcPr>
            <w:tcW w:w="1700" w:type="dxa"/>
            <w:vAlign w:val="bottom"/>
            <w:tcBorders>
              <w:bottom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color w:val="auto"/>
                <w:w w:val="99"/>
              </w:rPr>
              <w:t>jwebb@harrowinc.com</w:t>
            </w:r>
          </w:p>
        </w:tc>
        <w:tc>
          <w:tcPr>
            <w:tcW w:w="28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8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deb@hollidaycommunications.net</w:t>
            </w:r>
          </w:p>
        </w:tc>
        <w:tc>
          <w:tcPr>
            <w:tcW w:w="3020" w:type="dxa"/>
            <w:vAlign w:val="bottom"/>
          </w:tcPr>
          <w:p>
            <w:pPr>
              <w:spacing w:after="0"/>
              <w:rPr>
                <w:sz w:val="16"/>
                <w:szCs w:val="16"/>
                <w:color w:val="auto"/>
              </w:rPr>
            </w:pPr>
          </w:p>
        </w:tc>
      </w:tr>
      <w:tr>
        <w:trPr>
          <w:trHeight w:val="237"/>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615-733-4737</w:t>
            </w:r>
          </w:p>
        </w:tc>
        <w:tc>
          <w:tcPr>
            <w:tcW w:w="2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6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412-877-4519</w:t>
            </w:r>
          </w:p>
        </w:tc>
        <w:tc>
          <w:tcPr>
            <w:tcW w:w="3020" w:type="dxa"/>
            <w:vAlign w:val="bottom"/>
          </w:tcPr>
          <w:p>
            <w:pPr>
              <w:spacing w:after="0"/>
              <w:rPr>
                <w:sz w:val="20"/>
                <w:szCs w:val="20"/>
                <w:color w:val="auto"/>
              </w:rPr>
            </w:pPr>
          </w:p>
        </w:tc>
      </w:tr>
      <w:tr>
        <w:trPr>
          <w:trHeight w:val="414"/>
        </w:trPr>
        <w:tc>
          <w:tcPr>
            <w:tcW w:w="4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For Apotex:</w:t>
            </w: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94"/>
        </w:trPr>
        <w:tc>
          <w:tcPr>
            <w:tcW w:w="4560" w:type="dxa"/>
            <w:vAlign w:val="bottom"/>
            <w:gridSpan w:val="5"/>
          </w:tcPr>
          <w:p>
            <w:pPr>
              <w:spacing w:after="0" w:line="194" w:lineRule="exact"/>
              <w:rPr>
                <w:sz w:val="20"/>
                <w:szCs w:val="20"/>
                <w:color w:val="auto"/>
              </w:rPr>
            </w:pPr>
            <w:r>
              <w:rPr>
                <w:rFonts w:ascii="Times New Roman" w:cs="Times New Roman" w:eastAsia="Times New Roman" w:hAnsi="Times New Roman"/>
                <w:sz w:val="18"/>
                <w:szCs w:val="18"/>
                <w:color w:val="auto"/>
              </w:rPr>
              <w:t>Media</w:t>
            </w:r>
          </w:p>
        </w:tc>
        <w:tc>
          <w:tcPr>
            <w:tcW w:w="1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20" w:type="dxa"/>
            <w:vAlign w:val="bottom"/>
          </w:tcPr>
          <w:p>
            <w:pPr>
              <w:spacing w:after="0"/>
              <w:rPr>
                <w:sz w:val="16"/>
                <w:szCs w:val="16"/>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196"/>
        </w:trPr>
        <w:tc>
          <w:tcPr>
            <w:tcW w:w="45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media@apotex.com</w:t>
            </w: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452"/>
        </w:trPr>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8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-END-</w:t>
            </w:r>
          </w:p>
        </w:tc>
      </w:tr>
      <w:tr>
        <w:trPr>
          <w:trHeight w:val="439"/>
        </w:trPr>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2024-02-15T16:00:22Z</dcterms:created>
  <dcterms:modified xsi:type="dcterms:W3CDTF">2024-02-15T16:00:22Z</dcterms:modified>
</cp:coreProperties>
</file>