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LINDSTROM RICHARD L MD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08/10/2015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92130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520" w:type="dxa"/>
            <w:vAlign w:val="bottom"/>
            <w:gridSpan w:val="5"/>
          </w:tcPr>
          <w:p>
            <w:pPr>
              <w:ind w:left="4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5"/>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6"/>
          </w:tcPr>
          <w:p>
            <w:pPr>
              <w:ind w:left="900"/>
              <w:spacing w:after="0"/>
              <w:rPr>
                <w:sz w:val="20"/>
                <w:szCs w:val="20"/>
                <w:color w:val="auto"/>
              </w:rPr>
            </w:pPr>
            <w:r>
              <w:rPr>
                <w:rFonts w:ascii="Arial" w:cs="Arial" w:eastAsia="Arial" w:hAnsi="Arial"/>
                <w:sz w:val="18"/>
                <w:szCs w:val="18"/>
                <w:color w:val="0000FF"/>
              </w:rPr>
              <w:t>08/10/2015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8"/>
              </w:rPr>
              <w:t>4,469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(2)</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10,750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0" w:type="dxa"/>
            <w:vAlign w:val="bottom"/>
            <w:gridSpan w:val="17"/>
          </w:tcPr>
          <w:p>
            <w:pPr>
              <w:jc w:val="center"/>
              <w:ind w:left="17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Units vests in full on January 1, 2016. The shares underlying such Restricted Stock Units will not be delivered to the Reporting Person and may not be transferred or sold until the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received as a compensatory award for no consideration.</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Richard Lindstrom</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08/12/2015</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17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2020-01-22T10:08:05Z</dcterms:created>
  <dcterms:modified xsi:type="dcterms:W3CDTF">2020-01-22T10:08:05Z</dcterms:modified>
</cp:coreProperties>
</file>