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746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462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BOLL ANDREW R.</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HARROW HEALTH,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7"/>
        <w:spacing w:after="0"/>
        <w:rPr>
          <w:sz w:val="20"/>
          <w:szCs w:val="20"/>
          <w:color w:val="auto"/>
        </w:rPr>
      </w:pPr>
      <w:r>
        <w:rPr>
          <w:rFonts w:ascii="Arial" w:cs="Arial" w:eastAsia="Arial" w:hAnsi="Arial"/>
          <w:sz w:val="17"/>
          <w:szCs w:val="17"/>
          <w:color w:val="0000FF"/>
        </w:rPr>
        <w:t>Chief Financial Officer</w:t>
      </w:r>
    </w:p>
    <w:p>
      <w:pPr>
        <w:spacing w:after="0" w:line="388"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0"/>
              <w:spacing w:after="0" w:line="142"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1"/>
          </w:tcPr>
          <w:p>
            <w:pPr>
              <w:ind w:left="28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40" w:type="dxa"/>
            <w:vAlign w:val="bottom"/>
            <w:gridSpan w:val="11"/>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NASHVILLE</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TN</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37205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2"/>
              </w:rPr>
              <w:t>Common Stock</w:t>
            </w:r>
            <w:r>
              <w:rPr>
                <w:rFonts w:ascii="Arial" w:cs="Arial" w:eastAsia="Arial" w:hAnsi="Arial"/>
                <w:sz w:val="21"/>
                <w:szCs w:val="21"/>
                <w:color w:val="008000"/>
                <w:w w:val="92"/>
                <w:vertAlign w:val="superscript"/>
              </w:rPr>
              <w:t>(1)</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30,000</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ind w:right="15"/>
              <w:spacing w:after="0"/>
              <w:rPr>
                <w:sz w:val="20"/>
                <w:szCs w:val="20"/>
                <w:color w:val="auto"/>
              </w:rPr>
            </w:pP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153,000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2"/>
              </w:rPr>
              <w:t>Common Stock</w:t>
            </w:r>
            <w:r>
              <w:rPr>
                <w:rFonts w:ascii="Arial" w:cs="Arial" w:eastAsia="Arial" w:hAnsi="Arial"/>
                <w:sz w:val="21"/>
                <w:szCs w:val="21"/>
                <w:color w:val="008000"/>
                <w:w w:val="92"/>
                <w:vertAlign w:val="superscript"/>
              </w:rPr>
              <w:t>(1)</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7,500</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7.68</w:t>
            </w:r>
          </w:p>
        </w:tc>
        <w:tc>
          <w:tcPr>
            <w:tcW w:w="130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145,500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30,000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40" w:type="dxa"/>
            <w:vAlign w:val="bottom"/>
          </w:tcPr>
          <w:p>
            <w:pPr>
              <w:spacing w:after="0"/>
              <w:rPr>
                <w:sz w:val="11"/>
                <w:szCs w:val="11"/>
                <w:color w:val="auto"/>
              </w:rPr>
            </w:pPr>
          </w:p>
        </w:tc>
        <w:tc>
          <w:tcPr>
            <w:tcW w:w="1040" w:type="dxa"/>
            <w:vAlign w:val="bottom"/>
          </w:tcPr>
          <w:p>
            <w:pPr>
              <w:ind w:left="260"/>
              <w:spacing w:after="0" w:line="138" w:lineRule="exact"/>
              <w:rPr>
                <w:sz w:val="20"/>
                <w:szCs w:val="20"/>
                <w:color w:val="auto"/>
              </w:rPr>
            </w:pPr>
            <w:r>
              <w:rPr>
                <w:rFonts w:ascii="Arial" w:cs="Arial" w:eastAsia="Arial" w:hAnsi="Arial"/>
                <w:sz w:val="13"/>
                <w:szCs w:val="13"/>
                <w:color w:val="0000FF"/>
              </w:rPr>
              <w:t>02/25/2021</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38" w:lineRule="exact"/>
              <w:rPr>
                <w:sz w:val="20"/>
                <w:szCs w:val="20"/>
                <w:color w:val="auto"/>
              </w:rPr>
            </w:pPr>
            <w:r>
              <w:rPr>
                <w:rFonts w:ascii="Arial" w:cs="Arial" w:eastAsia="Arial" w:hAnsi="Arial"/>
                <w:sz w:val="13"/>
                <w:szCs w:val="13"/>
                <w:color w:val="0000FF"/>
              </w:rPr>
              <w:t>M</w:t>
            </w:r>
          </w:p>
        </w:tc>
        <w:tc>
          <w:tcPr>
            <w:tcW w:w="920" w:type="dxa"/>
            <w:vAlign w:val="bottom"/>
          </w:tcPr>
          <w:p>
            <w:pPr>
              <w:ind w:left="460"/>
              <w:spacing w:after="0" w:line="138" w:lineRule="exact"/>
              <w:rPr>
                <w:sz w:val="20"/>
                <w:szCs w:val="20"/>
                <w:color w:val="auto"/>
              </w:rPr>
            </w:pPr>
            <w:r>
              <w:rPr>
                <w:rFonts w:ascii="Arial" w:cs="Arial" w:eastAsia="Arial" w:hAnsi="Arial"/>
                <w:sz w:val="13"/>
                <w:szCs w:val="13"/>
                <w:color w:val="0000FF"/>
              </w:rPr>
              <w:t>30,000</w:t>
            </w:r>
          </w:p>
        </w:tc>
        <w:tc>
          <w:tcPr>
            <w:tcW w:w="760" w:type="dxa"/>
            <w:vAlign w:val="bottom"/>
            <w:gridSpan w:val="2"/>
          </w:tcPr>
          <w:p>
            <w:pPr>
              <w:jc w:val="center"/>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color w:val="008000"/>
              </w:rPr>
              <w:t>(1)</w:t>
            </w:r>
          </w:p>
        </w:tc>
        <w:tc>
          <w:tcPr>
            <w:tcW w:w="64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ind w:left="200"/>
              <w:spacing w:after="0" w:line="138" w:lineRule="exact"/>
              <w:rPr>
                <w:sz w:val="20"/>
                <w:szCs w:val="20"/>
                <w:color w:val="auto"/>
              </w:rPr>
            </w:pPr>
            <w:r>
              <w:rPr>
                <w:rFonts w:ascii="Arial" w:cs="Arial" w:eastAsia="Arial" w:hAnsi="Arial"/>
                <w:sz w:val="13"/>
                <w:szCs w:val="13"/>
                <w:color w:val="0000FF"/>
              </w:rPr>
              <w:t>127,500</w:t>
            </w: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w:t>
            </w:r>
            <w:r>
              <w:rPr>
                <w:rFonts w:ascii="Arial" w:cs="Arial" w:eastAsia="Arial" w:hAnsi="Arial"/>
                <w:sz w:val="21"/>
                <w:szCs w:val="21"/>
                <w:color w:val="008000"/>
                <w:vertAlign w:val="superscript"/>
              </w:rPr>
              <w:t>(1)</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-3341370</wp:posOffset>
            </wp:positionV>
            <wp:extent cx="7033895" cy="3328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32803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performance-based restricted stock units ("RSUs") granted to Mr. Boll under the Issuer's 2007 Stock Incentive and Awards Plan on April 25, 2016. The RSUs settle in one share of common stock for each RSU and provide for accelerated vesting based on pre-determined stock price-based performance targets during the term of the RSUs. 7,500 shares of common stock were withheld from issuance to Mr. Boll for payroll tax purposes.</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Andrew R. Boll</w:t>
            </w:r>
          </w:p>
        </w:tc>
        <w:tc>
          <w:tcPr>
            <w:tcW w:w="760" w:type="dxa"/>
            <w:vAlign w:val="bottom"/>
          </w:tcPr>
          <w:p>
            <w:pPr>
              <w:spacing w:after="0"/>
              <w:rPr>
                <w:sz w:val="20"/>
                <w:szCs w:val="20"/>
                <w:color w:val="auto"/>
              </w:rPr>
            </w:pPr>
            <w:r>
              <w:rPr>
                <w:rFonts w:ascii="Arial" w:cs="Arial" w:eastAsia="Arial" w:hAnsi="Arial"/>
                <w:sz w:val="17"/>
                <w:szCs w:val="17"/>
                <w:color w:val="0000FF"/>
                <w:w w:val="86"/>
              </w:rPr>
              <w:t>02/26/2021</w:t>
            </w: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2150"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2021-02-26T20:29:32Z</dcterms:created>
  <dcterms:modified xsi:type="dcterms:W3CDTF">2021-02-26T20:29:32Z</dcterms:modified>
</cp:coreProperties>
</file>