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Certifying Accountant.</w:t>
      </w:r>
    </w:p>
    <w:p>
      <w:pPr>
        <w:spacing w:after="0" w:line="22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Dismissal of Previous Independent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17, 2025, Harrow,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through action of the Audit Committee (the “</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of the Company’s Board of Directors, dismissed Crowe LLP (“</w:t>
      </w:r>
      <w:r>
        <w:rPr>
          <w:rFonts w:ascii="Times New Roman" w:cs="Times New Roman" w:eastAsia="Times New Roman" w:hAnsi="Times New Roman"/>
          <w:sz w:val="18"/>
          <w:szCs w:val="18"/>
          <w:u w:val="single" w:color="auto"/>
          <w:color w:val="auto"/>
        </w:rPr>
        <w:t>Crowe</w:t>
      </w:r>
      <w:r>
        <w:rPr>
          <w:rFonts w:ascii="Times New Roman" w:cs="Times New Roman" w:eastAsia="Times New Roman" w:hAnsi="Times New Roman"/>
          <w:sz w:val="18"/>
          <w:szCs w:val="18"/>
          <w:color w:val="auto"/>
        </w:rPr>
        <w:t>”) as the Company’s independent registered public accounting firm, effective immediately.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Crowe report on the Company’s financial statements for the year ended December 31, 2024 did not contain an adverse opinion or a disclaimer of opinion and was not qualified or modified as to uncertainty, audit scope or accounting principles.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Crowe was engaged by the Company on June 25, 2024, and served as the Company’s independent accountant for the fiscal year ended December 31, 2024. Crowe did not audit the Company’s financial statements for any other fiscal year. From the date of Crowe’s engagement, during the Company’s most recent fiscal year ended December 31, 2024 and the subsequent interim period through the date of this Current Report on Form 8-K, there were no disagreements, within the meaning of Item 304(a)(1)(iv) of Regulation S-K promulgated under the Securities Exchange Act of 1934, as amended (“</w:t>
      </w:r>
      <w:r>
        <w:rPr>
          <w:rFonts w:ascii="Times New Roman" w:cs="Times New Roman" w:eastAsia="Times New Roman" w:hAnsi="Times New Roman"/>
          <w:sz w:val="18"/>
          <w:szCs w:val="18"/>
          <w:u w:val="single" w:color="auto"/>
          <w:color w:val="auto"/>
        </w:rPr>
        <w:t>Regulation S-K</w:t>
      </w:r>
      <w:r>
        <w:rPr>
          <w:rFonts w:ascii="Times New Roman" w:cs="Times New Roman" w:eastAsia="Times New Roman" w:hAnsi="Times New Roman"/>
          <w:sz w:val="18"/>
          <w:szCs w:val="18"/>
          <w:color w:val="auto"/>
        </w:rPr>
        <w:t>”), and the related instructions thereto, with Crowe on any matter of accounting principles or practices, financial statement disclosure, or auditing scope or procedure, which disagreements, if not resolved to the satisfaction of Crowe, would have caused it to make reference to the subject matter of the disagreements in connection with its reports. Also, during this same period, there were no reportable events within the meaning of Item 304(a)(1)(v) of Regulation S-K and the related instructions thereto.</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provided Crowe with the disclosures under this Item 4.01 and requested Crowe to furnish the Company with a letter addressed to the Securities and Exchange Commission stating whether it agrees with the statements made by the Company in this Item 4.01 and, if not, stating the respects in which it does not agree. Crowe’s letter is filed as </w:t>
      </w:r>
      <w:r>
        <w:rPr>
          <w:rFonts w:ascii="Times New Roman" w:cs="Times New Roman" w:eastAsia="Times New Roman" w:hAnsi="Times New Roman"/>
          <w:sz w:val="18"/>
          <w:szCs w:val="18"/>
          <w:u w:val="single" w:color="auto"/>
          <w:color w:val="auto"/>
        </w:rPr>
        <w:t>Exhibit 16</w:t>
      </w:r>
      <w:r>
        <w:rPr>
          <w:rFonts w:ascii="Times New Roman" w:cs="Times New Roman" w:eastAsia="Times New Roman" w:hAnsi="Times New Roman"/>
          <w:sz w:val="18"/>
          <w:szCs w:val="18"/>
          <w:color w:val="auto"/>
        </w:rPr>
        <w:t xml:space="preserve"> to this Current Report on Form 8-K.</w:t>
      </w:r>
    </w:p>
    <w:p>
      <w:pPr>
        <w:spacing w:after="0" w:line="172"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Appointment of New Independent Registered Public Accounting Firm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17, 2025, the Audit Committee approved the appointment of Deloitte &amp; Touche LLP (“</w:t>
      </w:r>
      <w:r>
        <w:rPr>
          <w:rFonts w:ascii="Times New Roman" w:cs="Times New Roman" w:eastAsia="Times New Roman" w:hAnsi="Times New Roman"/>
          <w:sz w:val="18"/>
          <w:szCs w:val="18"/>
          <w:u w:val="single" w:color="auto"/>
          <w:color w:val="auto"/>
        </w:rPr>
        <w:t>Deloitte</w:t>
      </w:r>
      <w:r>
        <w:rPr>
          <w:rFonts w:ascii="Times New Roman" w:cs="Times New Roman" w:eastAsia="Times New Roman" w:hAnsi="Times New Roman"/>
          <w:sz w:val="18"/>
          <w:szCs w:val="18"/>
          <w:color w:val="auto"/>
        </w:rPr>
        <w:t>”) as the Company’s new independent registered public accounting firm to audit the Company’s consolidated financial statements for the year ending December 31, 2025. The Company notified Deloitte on September 17, 2025, that it would be engaged as the Company’s independent registered public accounting firm effective immediately. The engagement of Deloitte is subject to the completion of Deloitte’s standard client acceptance procedures and execution of an engagement letter.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2023 and 2024 and the subsequent interim period through the date of this Report, neither the Company, nor anyone on its behalf, consulted Deloitte regarding (i) the application of accounting principles to a specified transaction, either completed or proposed, or the type of audit opinion that might be rendered on the financial statements of the Company, in connection with which either a written report or oral advice was provided to the Company that Deloitte concluded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described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80" w:hanging="772"/>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No.Description</w:t>
      </w: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7"/>
          <w:szCs w:val="17"/>
          <w:u w:val="single" w:color="auto"/>
          <w:color w:val="0000EE"/>
        </w:rPr>
        <w:t>Letter from Crowe LLP, dated September 19, 2025</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September 19, 2025</w:t>
      </w:r>
      <w:r>
        <w:rPr>
          <w:sz w:val="20"/>
          <w:szCs w:val="20"/>
          <w:color w:val="auto"/>
        </w:rPr>
        <w:tab/>
      </w:r>
      <w:r>
        <w:rPr>
          <w:rFonts w:ascii="Times New Roman" w:cs="Times New Roman" w:eastAsia="Times New Roman" w:hAnsi="Times New Roman"/>
          <w:sz w:val="17"/>
          <w:szCs w:val="17"/>
          <w:b w:val="1"/>
          <w:bCs w:val="1"/>
          <w:color w:val="auto"/>
        </w:rPr>
        <w:t>HARROW,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Chief Accountant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read the comments made regarding us in Item 4.01(a) of Form 8-K of Harrow, Inc. dated September 17, 2025 and are in agreement with those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07" w:lineRule="exact"/>
        <w:rPr>
          <w:sz w:val="20"/>
          <w:szCs w:val="20"/>
          <w:color w:val="auto"/>
        </w:rPr>
      </w:pPr>
    </w:p>
    <w:p>
      <w:pPr>
        <w:ind w:left="340" w:right="890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Lauren Silvernail Audit Committee Chairman Harrow,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2025-09-19T15:12:05Z</dcterms:created>
  <dcterms:modified xsi:type="dcterms:W3CDTF">2025-09-19T15:12:05Z</dcterms:modified>
</cp:coreProperties>
</file>