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0" w:lineRule="exact"/>
        <w:rPr>
          <w:sz w:val="24"/>
          <w:szCs w:val="24"/>
          <w:color w:val="auto"/>
        </w:rPr>
      </w:pPr>
    </w:p>
    <w:p>
      <w:pPr>
        <w:spacing w:after="0" w:line="248" w:lineRule="exact"/>
        <w:rPr>
          <w:sz w:val="24"/>
          <w:szCs w:val="24"/>
          <w:color w:val="auto"/>
        </w:rPr>
      </w:pPr>
    </w:p>
    <w:p>
      <w:pPr>
        <w:ind w:left="220"/>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25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8"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14c-5(g) and 0-11.</w:t>
      </w:r>
    </w:p>
    <w:p>
      <w:pPr>
        <w:spacing w:after="0" w:line="252"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right="282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is calculated and state how it was determined.):</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sz w:val="24"/>
          <w:szCs w:val="24"/>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060" w:hanging="242"/>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183515</wp:posOffset>
            </wp:positionV>
            <wp:extent cx="2084070" cy="1166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17,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You are cordially invited to attend the 2013 Annual Meeting of Imprimis Pharmaceuticals, Inc., which will be held at the offices of Morrison &amp; Foerster, LLP located at 12531 High Bluff Drive, Suite 100, San Diego, CA 92130, on August 13, 2013, at 9:00 a.m. local time. We hope you will be able to attend the meeting in person.</w:t>
      </w:r>
    </w:p>
    <w:p>
      <w:pPr>
        <w:spacing w:after="0" w:line="20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attached notice of meeting and proxy statement describe the matters to be acted upon at the annual meeting. If you plan to attend the annual meeting in person, please mark the designated box on the enclosed proxy card. If you are planning to attend the annual meeting and your shares are held in street name (by a broker, for example), you should ask the record owner for a legal proxy or bring your most recent account statement to the annual meeting so that we can verify your ownership of Imprimis Pharmaceuticals, Inc. stock. Please note, however, that if your shares are held in street name and you do not bring a legal proxy from the record owner, you will be able to attend the annual meeting, but you will not be able to vote at the annual meeting.</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the inspector of elections in the postage-prepaid envelope provided, or to promptly use the telephone or Internet voting system. If you do attend the annual meeting and wish to vote in person, you may withdraw your proxy at that time.</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Mark L. Baum</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337820</wp:posOffset>
            </wp:positionV>
            <wp:extent cx="2084070" cy="1166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August 13, 2013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NOTICE IS HEREBY GIVEN that the Annual Meeting of Stockholders of Imprimis Pharmaceuticals, Inc. (the “Company”) will be held on August 13, 2013 at 9:00 a.m., at the offices of Morrison &amp; Foerster, LLP located at 12531 High Bluff Drive, Suite 100, San Diego, CA 92130, for the following purposes:</w:t>
      </w:r>
    </w:p>
    <w:p>
      <w:pPr>
        <w:spacing w:after="0" w:line="208" w:lineRule="exact"/>
        <w:rPr>
          <w:sz w:val="20"/>
          <w:szCs w:val="20"/>
          <w:color w:val="auto"/>
        </w:rPr>
      </w:pPr>
    </w:p>
    <w:p>
      <w:pPr>
        <w:ind w:left="1140" w:hanging="2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six (6) directors to hold office for a one-year term or until their successors are duly elected and qualified.</w:t>
      </w:r>
    </w:p>
    <w:p>
      <w:pPr>
        <w:spacing w:after="0" w:line="23" w:lineRule="exact"/>
        <w:rPr>
          <w:rFonts w:ascii="Arial" w:cs="Arial" w:eastAsia="Arial" w:hAnsi="Arial"/>
          <w:sz w:val="18"/>
          <w:szCs w:val="18"/>
          <w:color w:val="auto"/>
        </w:rPr>
      </w:pPr>
    </w:p>
    <w:p>
      <w:pPr>
        <w:ind w:left="1140" w:hanging="222"/>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2013.</w:t>
      </w:r>
    </w:p>
    <w:p>
      <w:pPr>
        <w:ind w:left="1140" w:hanging="2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9" w:lineRule="exact"/>
        <w:rPr>
          <w:rFonts w:ascii="Arial" w:cs="Arial" w:eastAsia="Arial" w:hAnsi="Arial"/>
          <w:sz w:val="18"/>
          <w:szCs w:val="18"/>
          <w:color w:val="auto"/>
        </w:rPr>
      </w:pPr>
    </w:p>
    <w:p>
      <w:pPr>
        <w:ind w:left="1140" w:hanging="222"/>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vote, on an advisory basis, on the frequency of holding an advisory vote on the compensation of the Company’s named executive officers.</w:t>
      </w:r>
    </w:p>
    <w:p>
      <w:pPr>
        <w:spacing w:after="0" w:line="32" w:lineRule="exact"/>
        <w:rPr>
          <w:rFonts w:ascii="Arial" w:cs="Arial" w:eastAsia="Arial" w:hAnsi="Arial"/>
          <w:sz w:val="16"/>
          <w:szCs w:val="16"/>
          <w:color w:val="auto"/>
        </w:rPr>
      </w:pPr>
    </w:p>
    <w:p>
      <w:pPr>
        <w:ind w:left="1140" w:hanging="2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Board of Directors has fixed the close of business on July 2, 2013 as the record date for the determination of stockholders entitled to notice of and to vote at this Annual Meeting and at any adjournment or postponement thereof. All stockholders are invited to attend the meeting. You must present your proxy or voter instruction card or meeting notice for admission.</w:t>
      </w: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183515</wp:posOffset>
            </wp:positionV>
            <wp:extent cx="2084070" cy="1166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12626 High Bluff Drive, Suite 150</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August 13,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enclosed proxy is solicited on behalf of our Board of Directors (the “Board” or “Board of Directors”) for use at the Annual Meeting of Stockholders (the “Annual Meeting”), of Imprimis Pharmaceuticals, Inc. to be held on August 13, 2013, at 9:00 a.m. local time at the offices of Morrison &amp; Foerster, LLP located at 12531 High Bluff Drive, Suite 100, San Diego, CA 92130, or at any adjournment or postponement thereof, for the purposes set forth herein and in the accompanying Notice of Annual Meeting. We expect to mail this proxy statement to our stockholders on or about July 17, 2013.</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48"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2013 ANNUAL MEETING OF STOCKHOLDERS TO BE HELD ON AUGUST 13, 2013</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b w:val="1"/>
          <w:bCs w:val="1"/>
          <w:color w:val="auto"/>
        </w:rPr>
        <w:t xml:space="preserve">Copies of this Proxy Statement, the Notice and our Annual Report on Form 10-K for the fiscal year ended December 31, 2012 can be accessed electronically at: </w:t>
      </w:r>
      <w:r>
        <w:rPr>
          <w:rFonts w:ascii="Arial" w:cs="Arial" w:eastAsia="Arial" w:hAnsi="Arial"/>
          <w:sz w:val="18"/>
          <w:szCs w:val="18"/>
          <w:b w:val="1"/>
          <w:bCs w:val="1"/>
          <w:u w:val="single" w:color="auto"/>
          <w:color w:val="auto"/>
        </w:rPr>
        <w:t>www.iproxydirect.com/IMMY</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FOR proposals 2 and 3, and for a THREE YEAR frequency with respect to proposal 4.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other items of business that will be presented for consideration at the Annual Meeting other than those described in this proxy statement.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Only holders of record of shares of our common stock at the close of business on the record date, July 2, 2013, will be entitled to notice of and to vote at the Annual Meeting and any adjournment thereof. At the close of business on July 2, 2013, the Company had 8,961,583 shares of common stock outstanding and entitled to vote held by 171 stockholders of record. Each holder of record of shares of our common stock on the record date will be entitled to one vote for each share held on all matters to be voted upon at the Annual Meeting.</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our outstanding shares of common stock entitled to vote are represented at the meeting, either in person or by proxy.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All votes will be tabulated by the inspector of elections appointed for the Annual Meeting, who will tabulate affirmative and negative votes, abstentions and broker non-votes. Abstentions and shares that are voted by brokers as to any matter at the meeting will be included in determining if a quorum is present or represented at the Annual Meeting. Any broker holding shares of record for you is not entitled to vote on certain matters that are not deemed to be routine unless the broker receives voting instructions from you. Broker non-votes occur when shares are held by a broker who has not received instructions from the beneficial owner of the shares on such matters, the broker does not have discretionary voting power with respect to such matters and has so notified us on a proxy form in accordance with industry practice or has otherwise advised us that the broker lacks voting authority with respect to such matters. The effects of broker non-votes and abstentions on the specific items to be brought before the Annual Meeting are discussed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Proposal</w:t>
            </w:r>
          </w:p>
        </w:tc>
        <w:tc>
          <w:tcPr>
            <w:tcW w:w="4560" w:type="dxa"/>
            <w:vAlign w:val="bottom"/>
          </w:tcPr>
          <w:p>
            <w:pPr>
              <w:spacing w:after="0"/>
              <w:rPr>
                <w:sz w:val="14"/>
                <w:szCs w:val="14"/>
                <w:color w:val="auto"/>
              </w:rPr>
            </w:pPr>
          </w:p>
        </w:tc>
        <w:tc>
          <w:tcPr>
            <w:tcW w:w="3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Vote Required</w:t>
            </w:r>
          </w:p>
        </w:tc>
        <w:tc>
          <w:tcPr>
            <w:tcW w:w="1680" w:type="dxa"/>
            <w:vAlign w:val="bottom"/>
          </w:tcPr>
          <w:p>
            <w:pPr>
              <w:ind w:left="220"/>
              <w:spacing w:after="0"/>
              <w:rPr>
                <w:sz w:val="20"/>
                <w:szCs w:val="20"/>
                <w:color w:val="auto"/>
              </w:rPr>
            </w:pPr>
            <w:r>
              <w:rPr>
                <w:rFonts w:ascii="Arial" w:cs="Arial" w:eastAsia="Arial" w:hAnsi="Arial"/>
                <w:sz w:val="14"/>
                <w:szCs w:val="14"/>
                <w:b w:val="1"/>
                <w:bCs w:val="1"/>
                <w:color w:val="auto"/>
              </w:rPr>
              <w:t>Broker Discretionary</w:t>
            </w: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4560" w:type="dxa"/>
            <w:vAlign w:val="bottom"/>
          </w:tcPr>
          <w:p>
            <w:pPr>
              <w:spacing w:after="0"/>
              <w:rPr>
                <w:sz w:val="16"/>
                <w:szCs w:val="16"/>
                <w:color w:val="auto"/>
              </w:rPr>
            </w:pPr>
          </w:p>
        </w:tc>
        <w:tc>
          <w:tcPr>
            <w:tcW w:w="3320" w:type="dxa"/>
            <w:vAlign w:val="bottom"/>
            <w:vMerge w:val="continue"/>
          </w:tcPr>
          <w:p>
            <w:pPr>
              <w:spacing w:after="0"/>
              <w:rPr>
                <w:sz w:val="16"/>
                <w:szCs w:val="16"/>
                <w:color w:val="auto"/>
              </w:rPr>
            </w:pPr>
          </w:p>
        </w:tc>
        <w:tc>
          <w:tcPr>
            <w:tcW w:w="1680" w:type="dxa"/>
            <w:vAlign w:val="bottom"/>
          </w:tcPr>
          <w:p>
            <w:pPr>
              <w:ind w:left="220"/>
              <w:spacing w:after="0"/>
              <w:rPr>
                <w:sz w:val="20"/>
                <w:szCs w:val="20"/>
                <w:color w:val="auto"/>
              </w:rPr>
            </w:pPr>
            <w:r>
              <w:rPr>
                <w:rFonts w:ascii="Arial" w:cs="Arial" w:eastAsia="Arial" w:hAnsi="Arial"/>
                <w:sz w:val="14"/>
                <w:szCs w:val="14"/>
                <w:b w:val="1"/>
                <w:bCs w:val="1"/>
                <w:color w:val="auto"/>
              </w:rPr>
              <w:t>Voting Allowed</w:t>
            </w:r>
          </w:p>
        </w:tc>
        <w:tc>
          <w:tcPr>
            <w:tcW w:w="0" w:type="dxa"/>
            <w:vAlign w:val="bottom"/>
          </w:tcPr>
          <w:p>
            <w:pPr>
              <w:spacing w:after="0"/>
              <w:rPr>
                <w:sz w:val="1"/>
                <w:szCs w:val="1"/>
                <w:color w:val="auto"/>
              </w:rPr>
            </w:pPr>
          </w:p>
        </w:tc>
      </w:tr>
      <w:tr>
        <w:trPr>
          <w:trHeight w:val="417"/>
        </w:trPr>
        <w:tc>
          <w:tcPr>
            <w:tcW w:w="5360" w:type="dxa"/>
            <w:vAlign w:val="bottom"/>
            <w:gridSpan w:val="2"/>
          </w:tcPr>
          <w:p>
            <w:pPr>
              <w:spacing w:after="0"/>
              <w:rPr>
                <w:sz w:val="20"/>
                <w:szCs w:val="20"/>
                <w:color w:val="auto"/>
              </w:rPr>
            </w:pPr>
            <w:r>
              <w:rPr>
                <w:rFonts w:ascii="Arial" w:cs="Arial" w:eastAsia="Arial" w:hAnsi="Arial"/>
                <w:sz w:val="18"/>
                <w:szCs w:val="18"/>
                <w:color w:val="auto"/>
              </w:rPr>
              <w:t>Proposal 1 – Election of six directors</w:t>
            </w:r>
          </w:p>
        </w:tc>
        <w:tc>
          <w:tcPr>
            <w:tcW w:w="3320" w:type="dxa"/>
            <w:vAlign w:val="bottom"/>
          </w:tcPr>
          <w:p>
            <w:pPr>
              <w:ind w:left="200"/>
              <w:spacing w:after="0"/>
              <w:rPr>
                <w:sz w:val="20"/>
                <w:szCs w:val="20"/>
                <w:color w:val="auto"/>
              </w:rPr>
            </w:pPr>
            <w:r>
              <w:rPr>
                <w:rFonts w:ascii="Arial" w:cs="Arial" w:eastAsia="Arial" w:hAnsi="Arial"/>
                <w:sz w:val="18"/>
                <w:szCs w:val="18"/>
                <w:color w:val="auto"/>
              </w:rPr>
              <w:t>Plurality of Votes Cast</w:t>
            </w:r>
          </w:p>
        </w:tc>
        <w:tc>
          <w:tcPr>
            <w:tcW w:w="1680" w:type="dxa"/>
            <w:vAlign w:val="bottom"/>
          </w:tcPr>
          <w:p>
            <w:pPr>
              <w:jc w:val="center"/>
              <w:ind w:left="1336"/>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w w:val="90"/>
              </w:rPr>
              <w:t>Proposal 2</w:t>
            </w:r>
          </w:p>
        </w:tc>
        <w:tc>
          <w:tcPr>
            <w:tcW w:w="4560" w:type="dxa"/>
            <w:vAlign w:val="bottom"/>
          </w:tcPr>
          <w:p>
            <w:pPr>
              <w:ind w:left="20"/>
              <w:spacing w:after="0"/>
              <w:rPr>
                <w:sz w:val="20"/>
                <w:szCs w:val="20"/>
                <w:color w:val="auto"/>
              </w:rPr>
            </w:pPr>
            <w:r>
              <w:rPr>
                <w:rFonts w:ascii="Arial" w:cs="Arial" w:eastAsia="Arial" w:hAnsi="Arial"/>
                <w:sz w:val="18"/>
                <w:szCs w:val="18"/>
                <w:color w:val="auto"/>
              </w:rPr>
              <w:t>– Ratification of auditors for Fiscal Year 2013</w:t>
            </w:r>
          </w:p>
        </w:tc>
        <w:tc>
          <w:tcPr>
            <w:tcW w:w="3320" w:type="dxa"/>
            <w:vAlign w:val="bottom"/>
          </w:tcPr>
          <w:p>
            <w:pPr>
              <w:ind w:left="200"/>
              <w:spacing w:after="0"/>
              <w:rPr>
                <w:sz w:val="20"/>
                <w:szCs w:val="20"/>
                <w:color w:val="auto"/>
              </w:rPr>
            </w:pPr>
            <w:r>
              <w:rPr>
                <w:rFonts w:ascii="Arial" w:cs="Arial" w:eastAsia="Arial" w:hAnsi="Arial"/>
                <w:sz w:val="18"/>
                <w:szCs w:val="18"/>
                <w:color w:val="auto"/>
                <w:w w:val="98"/>
              </w:rPr>
              <w:t>Majority of Voting Power represented at</w:t>
            </w:r>
          </w:p>
        </w:tc>
        <w:tc>
          <w:tcPr>
            <w:tcW w:w="1680" w:type="dxa"/>
            <w:vAlign w:val="bottom"/>
          </w:tcPr>
          <w:p>
            <w:pPr>
              <w:jc w:val="center"/>
              <w:ind w:left="1336"/>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meeting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w w:val="90"/>
              </w:rPr>
              <w:t>Proposal 3</w:t>
            </w:r>
          </w:p>
        </w:tc>
        <w:tc>
          <w:tcPr>
            <w:tcW w:w="4560" w:type="dxa"/>
            <w:vAlign w:val="bottom"/>
          </w:tcPr>
          <w:p>
            <w:pPr>
              <w:ind w:left="20"/>
              <w:spacing w:after="0"/>
              <w:rPr>
                <w:sz w:val="20"/>
                <w:szCs w:val="20"/>
                <w:color w:val="auto"/>
              </w:rPr>
            </w:pPr>
            <w:r>
              <w:rPr>
                <w:rFonts w:ascii="Arial" w:cs="Arial" w:eastAsia="Arial" w:hAnsi="Arial"/>
                <w:sz w:val="18"/>
                <w:szCs w:val="18"/>
                <w:color w:val="auto"/>
              </w:rPr>
              <w:t>– Advisory vote to approve executive compensation</w:t>
            </w:r>
          </w:p>
        </w:tc>
        <w:tc>
          <w:tcPr>
            <w:tcW w:w="3320" w:type="dxa"/>
            <w:vAlign w:val="bottom"/>
          </w:tcPr>
          <w:p>
            <w:pPr>
              <w:ind w:left="200"/>
              <w:spacing w:after="0"/>
              <w:rPr>
                <w:sz w:val="20"/>
                <w:szCs w:val="20"/>
                <w:color w:val="auto"/>
              </w:rPr>
            </w:pPr>
            <w:r>
              <w:rPr>
                <w:rFonts w:ascii="Arial" w:cs="Arial" w:eastAsia="Arial" w:hAnsi="Arial"/>
                <w:sz w:val="18"/>
                <w:szCs w:val="18"/>
                <w:color w:val="auto"/>
                <w:w w:val="98"/>
              </w:rPr>
              <w:t>Majority of Voting Power represented at</w:t>
            </w:r>
          </w:p>
        </w:tc>
        <w:tc>
          <w:tcPr>
            <w:tcW w:w="1680" w:type="dxa"/>
            <w:vAlign w:val="bottom"/>
          </w:tcPr>
          <w:p>
            <w:pPr>
              <w:jc w:val="center"/>
              <w:ind w:left="1336"/>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meeting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w w:val="90"/>
              </w:rPr>
              <w:t>Proposal 4</w:t>
            </w:r>
          </w:p>
        </w:tc>
        <w:tc>
          <w:tcPr>
            <w:tcW w:w="4560" w:type="dxa"/>
            <w:vAlign w:val="bottom"/>
          </w:tcPr>
          <w:p>
            <w:pPr>
              <w:ind w:left="20"/>
              <w:spacing w:after="0"/>
              <w:rPr>
                <w:sz w:val="20"/>
                <w:szCs w:val="20"/>
                <w:color w:val="auto"/>
              </w:rPr>
            </w:pPr>
            <w:r>
              <w:rPr>
                <w:rFonts w:ascii="Arial" w:cs="Arial" w:eastAsia="Arial" w:hAnsi="Arial"/>
                <w:sz w:val="18"/>
                <w:szCs w:val="18"/>
                <w:color w:val="auto"/>
                <w:w w:val="96"/>
              </w:rPr>
              <w:t>– Advisory vote on frequency of advisory vote on executive</w:t>
            </w:r>
          </w:p>
        </w:tc>
        <w:tc>
          <w:tcPr>
            <w:tcW w:w="3320" w:type="dxa"/>
            <w:vAlign w:val="bottom"/>
          </w:tcPr>
          <w:p>
            <w:pPr>
              <w:ind w:left="200"/>
              <w:spacing w:after="0"/>
              <w:rPr>
                <w:sz w:val="20"/>
                <w:szCs w:val="20"/>
                <w:color w:val="auto"/>
              </w:rPr>
            </w:pPr>
            <w:r>
              <w:rPr>
                <w:rFonts w:ascii="Arial" w:cs="Arial" w:eastAsia="Arial" w:hAnsi="Arial"/>
                <w:sz w:val="18"/>
                <w:szCs w:val="18"/>
                <w:color w:val="auto"/>
              </w:rPr>
              <w:t>Plurality of Votes Cast</w:t>
            </w:r>
          </w:p>
        </w:tc>
        <w:tc>
          <w:tcPr>
            <w:tcW w:w="1680" w:type="dxa"/>
            <w:vAlign w:val="bottom"/>
          </w:tcPr>
          <w:p>
            <w:pPr>
              <w:jc w:val="center"/>
              <w:ind w:left="1336"/>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With respect to Proposals 2 and 3, you may vote FOR, AGAINST or ABSTAIN. If you ABSTAIN from voting on any of these proposals, the abstention will have the same effect as an AGAINST vote. You may also ABSTAIN with respect to Proposal 4; however, your abstention will have no effect on the vote with respect to that proposal. Broker non-votes with respect to Proposal 3 will have the same effect as an AGAINST vote but will have no effect on the outcome of Proposals 1 and 4. Broker non-votes are not expected to result from Proposal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to Vote</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You may vote by attending the Annual Meeting and voting in person or you may vote by submitting a proxy.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5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You are a stockholder of record if, at the close of business on the record date, your shares were registered directly in your name with Action Stock Transfer Corp., our transfer agent. If you are a stockholder of record and give a proxy, you may revoke it at any time before its use, either:</w:t>
      </w:r>
    </w:p>
    <w:p>
      <w:pPr>
        <w:spacing w:after="0" w:line="174" w:lineRule="exact"/>
        <w:rPr>
          <w:sz w:val="20"/>
          <w:szCs w:val="20"/>
          <w:color w:val="auto"/>
        </w:rPr>
      </w:pPr>
    </w:p>
    <w:p>
      <w:pPr>
        <w:ind w:left="1240" w:hanging="260"/>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revoking it in person at the Annual Meeting;</w:t>
      </w:r>
    </w:p>
    <w:p>
      <w:pPr>
        <w:spacing w:after="0" w:line="252" w:lineRule="exact"/>
        <w:rPr>
          <w:rFonts w:ascii="Arial" w:cs="Arial" w:eastAsia="Arial" w:hAnsi="Arial"/>
          <w:sz w:val="18"/>
          <w:szCs w:val="18"/>
          <w:color w:val="auto"/>
        </w:rPr>
      </w:pPr>
    </w:p>
    <w:p>
      <w:pPr>
        <w:ind w:left="1240" w:hanging="260"/>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writing, delivered to our Corporate Secretary at 12626 High Bluff Drive, Suite 150, San Diego, CA 92130 before the proxy is used; or</w:t>
      </w:r>
    </w:p>
    <w:p>
      <w:pPr>
        <w:spacing w:after="0" w:line="263" w:lineRule="exact"/>
        <w:rPr>
          <w:rFonts w:ascii="Arial" w:cs="Arial" w:eastAsia="Arial" w:hAnsi="Arial"/>
          <w:sz w:val="17"/>
          <w:szCs w:val="17"/>
          <w:color w:val="auto"/>
        </w:rPr>
      </w:pPr>
    </w:p>
    <w:p>
      <w:pPr>
        <w:ind w:left="1240" w:hanging="260"/>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 later dated proxy card delivered to us at the address noted above before the proxy is used.</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Your presence at the meeting will not revoke your proxy, but if you attend the meeting and cast a ballot, your proxy will be revoked as to the matters on which the ballot is cast.</w:t>
      </w:r>
    </w:p>
    <w:p>
      <w:pPr>
        <w:spacing w:after="0" w:line="19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If you hold your shares through a broker, bank, trustee or other nominee, please follow the instructions provided by your broker or other nominee as to how you may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5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 complete list of registered stockholders entitled to vote at the meeting will be available for examination by any stockholder, for any purpose related to the meeting, for ten days prior to the meeting during ordinary business hours at our principal offices located at 12626 High Bluff Drive, Suite 150, San Diego, CA 92130.</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members of the Board of Directors are elected annually for a one-year term. Our Certificate of Incorporation provides that the total number of directors constituting the entire Board shall be not less than one nor more than ten, with the number of directors being fixed from time to time by the Board. Currently, the Board is comprised of six directors, each of which is a current nominee. The stockholders will elect six directors at the Annual Meeting, each to serve for a one-year term expiring at the Annual Meeting of Stockholders in 2014 or until his successor has been elected and qualified, or until his earlier death, resignation or retirement.</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are no familial relationships between any of our directors or our executive officers and any other director or executive officer. No arrangement or understanding exists between any nominee and any other person or persons pursuant to whom any nominee was or is to be selected as a director or director nominee of the Company.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Regarding Directors</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the name, age and position(s) of each of our directors as of July 17,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Age</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18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Committees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Mark L. Baum, J.D.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Robert J. Kammer, D.D.S.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71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Stephen Austin, C.P.A, M.B.A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2"/>
              </w:rPr>
              <w:t>Audit Committee*, Compensation Committee, Nomination and Corporate Governance Committee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August Bassani, Pharm.D.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7180" w:type="dxa"/>
            <w:vAlign w:val="bottom"/>
          </w:tcPr>
          <w:p>
            <w:pPr>
              <w:spacing w:after="0"/>
              <w:rPr>
                <w:sz w:val="20"/>
                <w:szCs w:val="20"/>
                <w:color w:val="auto"/>
              </w:rPr>
            </w:pPr>
            <w:r>
              <w:rPr>
                <w:rFonts w:ascii="Arial" w:cs="Arial" w:eastAsia="Arial" w:hAnsi="Arial"/>
                <w:sz w:val="18"/>
                <w:szCs w:val="18"/>
                <w:color w:val="auto"/>
              </w:rPr>
              <w:t>Nomination and Corporate Governance Committee*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Paul Finnegan, M.D., M.B.A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Compensation Committee*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Jeffrey J. Abrams, M.D.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7180" w:type="dxa"/>
            <w:vAlign w:val="bottom"/>
          </w:tcPr>
          <w:p>
            <w:pPr>
              <w:spacing w:after="0"/>
              <w:rPr>
                <w:sz w:val="20"/>
                <w:szCs w:val="20"/>
                <w:color w:val="auto"/>
              </w:rPr>
            </w:pPr>
            <w:r>
              <w:rPr>
                <w:rFonts w:ascii="Arial" w:cs="Arial" w:eastAsia="Arial" w:hAnsi="Arial"/>
                <w:sz w:val="18"/>
                <w:szCs w:val="18"/>
                <w:color w:val="auto"/>
                <w:w w:val="93"/>
              </w:rPr>
              <w:t>Audit Committee, Compensation Committee, Nomination and Corporate Governance Committee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committee.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Mark L. Baum, J.D</w:t>
      </w:r>
      <w:r>
        <w:rPr>
          <w:rFonts w:ascii="Arial" w:cs="Arial" w:eastAsia="Arial" w:hAnsi="Arial"/>
          <w:sz w:val="17"/>
          <w:szCs w:val="17"/>
          <w:color w:val="auto"/>
        </w:rPr>
        <w:t>., our co-founder, has served as a director and as our principal executive officer since December 2011, and was appointed our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on April 1, 2012. He served as Chairman of our Board of Directors from December 16, 2011 through April 1, 2012 and was a leader in our restructuring efforts in late 2011 and early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He has served on numerous boards of directors, including Chembio Diagnostic Systems, Inc. (CEMI), Applied Natural Gas Fuels, Inc. (formerly AGAS), Shrink Nanotechnologies, Inc. (INKN), You on Demand, Inc. (YOD) and CoConnect, Inc. (CCON), as well as boards of advisors for domestic and international private and public companies. Mr. Baum founded and capitalized the Mark L. Baum Scholarship which has funded tuition grants to college students in Texas. Mr. Baum is a published inventor and an inactive member of the state bars of California and Texas. Mr. Baum was a Managing Member of DermaStar International, LLC, our former majority stockholder. Mr. Baum currently serves on the Board of Directors and as chair of the Audit Committee of Ideal Power Converters, Inc., a private company located in Austin, TX. Mr. Baum brings to our Board years of public company executive experience, including knowledge of securities laws, reporting requirements and public company finance-related issues. In addition, as our Chief Executive Officer, he provides the Board with insight into the Company’s operations.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Robert Kammer, D.D.S., </w:t>
      </w:r>
      <w:r>
        <w:rPr>
          <w:rFonts w:ascii="Arial" w:cs="Arial" w:eastAsia="Arial" w:hAnsi="Arial"/>
          <w:sz w:val="17"/>
          <w:szCs w:val="17"/>
          <w:color w:val="auto"/>
        </w:rPr>
        <w:t>has served as a director since December 2011 and as Chairman of the Board of Directors since April 1, 2012. Dr. Kammer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7"/>
          <w:szCs w:val="17"/>
          <w:u w:val="single" w:color="auto"/>
          <w:color w:val="auto"/>
        </w:rPr>
        <w:t>Osteoperiosteal Flap</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Stephen G. Austin, CPA, MBA </w:t>
      </w:r>
      <w:r>
        <w:rPr>
          <w:rFonts w:ascii="Arial" w:cs="Arial" w:eastAsia="Arial" w:hAnsi="Arial"/>
          <w:sz w:val="16"/>
          <w:szCs w:val="16"/>
          <w:color w:val="auto"/>
        </w:rPr>
        <w:t>has served as a director since July 2012 and currently serves as the chair of our Audit Committee and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served as a director on the board of Avanir Pharmaceuticals, Inc. (NASDAQ: AVNR).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Mr. Austin brings to our Board financial and accounting expertise and extensive experience serving as a director of other companies.</w:t>
      </w:r>
    </w:p>
    <w:p>
      <w:pPr>
        <w:sectPr>
          <w:pgSz w:w="11900" w:h="16838" w:orient="portrait"/>
          <w:cols w:equalWidth="0" w:num="1">
            <w:col w:w="11420"/>
          </w:cols>
          <w:pgMar w:left="240" w:top="513"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right="40"/>
        <w:spacing w:after="0" w:line="288" w:lineRule="auto"/>
        <w:rPr>
          <w:sz w:val="20"/>
          <w:szCs w:val="20"/>
          <w:color w:val="auto"/>
        </w:rPr>
      </w:pPr>
      <w:r>
        <w:rPr>
          <w:rFonts w:ascii="Arial" w:cs="Arial" w:eastAsia="Arial" w:hAnsi="Arial"/>
          <w:sz w:val="16"/>
          <w:szCs w:val="16"/>
          <w:b w:val="1"/>
          <w:bCs w:val="1"/>
          <w:color w:val="auto"/>
        </w:rPr>
        <w:t xml:space="preserve">August (“Gus”) S. Bassani, Pharm.D., </w:t>
      </w:r>
      <w:r>
        <w:rPr>
          <w:rFonts w:ascii="Arial" w:cs="Arial" w:eastAsia="Arial" w:hAnsi="Arial"/>
          <w:sz w:val="16"/>
          <w:szCs w:val="16"/>
          <w:color w:val="auto"/>
        </w:rPr>
        <w:t>has served as a director since December 2012 and as chair of our Nomination and Corporate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2013. He currently serves as Vice-President of Consulting, R&amp;D and Formulations at PCCA and has been with PCCA since September 2002. A significant component of Mr. Bassani’s position at PCCA is to serve as a member of the PCCA Senior Management Team, which is responsible for driving corporate strategy and business development efforts.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National Community Pharmacists Association (NCPA) and the American Association of Pharmaceutical Scientists (AAPS). Mr. Bassani's widespread experience in the pharmaceutical industry and his formulation expertise provides valued guidance to our management and board.</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Paul Finnegan, M.D., M.B.A. </w:t>
      </w:r>
      <w:r>
        <w:rPr>
          <w:rFonts w:ascii="Arial" w:cs="Arial" w:eastAsia="Arial" w:hAnsi="Arial"/>
          <w:sz w:val="16"/>
          <w:szCs w:val="16"/>
          <w:color w:val="auto"/>
        </w:rPr>
        <w:t>has served as a director since February 15, 2012 and currently serves as the chair of our Compensation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Committee. Dr. Finnegan served as chairman of our Nomination and Corporate Governance Committee from its formation through July 1, 2013.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Jeffrey J. Abrams, M.D., MPH, </w:t>
      </w:r>
      <w:r>
        <w:rPr>
          <w:rFonts w:ascii="Arial" w:cs="Arial" w:eastAsia="Arial" w:hAnsi="Arial"/>
          <w:sz w:val="16"/>
          <w:szCs w:val="16"/>
          <w:color w:val="auto"/>
        </w:rPr>
        <w:t>has served as a director since September 2007 and served as Chairman of the Board from February 2010 until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of experience as a practicing primary care clinician.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Each director is elected by a plurality of the votes cast with regard to the election of directors. The persons named in the enclosed proxy will vote the proxies they receive FOR the election of the nominees, unless a particular proxy card withholds authorization to do so, or provides contrary instructions. Because directors are elected by a plurality of the votes cast, abstentions will not be counted in determining which nominees receive the largest number of votes cast. Each of the nominees has indicated that he is willing and able to serve as a director. If, before the Annual Meeting, any nominee becomes unable to serve, the proxies will be voted for the election of whomever the Board may designate.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http://imprimis.investorroom.com/index.php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Board of Directors has determined that four (4) of our directors, a majority of the Board, are “independent” directors as that term is defined by Nasdaq Marketplace Rule 5605(a)(2). In addition, based upon such standards, the Board has determined Mr. Baum would not be considered independent because he currently serves as our Chief Executive Officer, and Dr. Kammer is not independent because of certain ongoing advisory relationships.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 Balbir Brar, our former President, served as a director on our Board from February 15, 2012 through July 25, 2012. He continued in his capacity as our President until May 7, 2013, at which time he resigned as President and will continue to serve as a Senior Advisor to the Company, focusing on pre-clinical safety matters. Dr. Brar was not considered an independent director during his tenure on the Board because of his position as our President.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Nominations for Directors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Corporate Governance Committee (“Corporate Governance Committee”) evaluates and recommends to the Board of Directors director nominees for each election of directors. In considering potential new directors, the Corporate Governance Committee may review individuals from various disciplines and backgrounds. Among the qualifications to be considered in the selection of candidates are broad experience in business, finance or administration; familiarity with the Company’s industry; and prominence and reputation. Since prominence and reputation in a particular profession or field of endeavor are what brings most persons to the Board’s attention, there is the further consideration of whether the individual has the time available to devote to the work of the Board and one or more of its committees. The Corporate Governance Committee also reviews the activities and associations of each candidate to ensure that there is no legal impediment, conflict of interest, or other consideration that might hinder or prevent service on the Board. Other than the foregoing factors, there are no stated minimum criteria for director nominees. However, the Corporate Governance Committee may also consider such other factors as it may deem are in the best interests of the Company and its stockholders. The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Corporate Governance Committee seeks to nominate a board of directors that brings to the Company a variety of perspectives, skills, expertise, and sound business understanding and judgment, derived from business, professional, governmental, finance, community and industry experience.</w:t>
      </w:r>
    </w:p>
    <w:p>
      <w:pPr>
        <w:spacing w:after="0" w:line="20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If any member of the Board of Directors up for re-election at an upcoming annual meeting of stockholders does not wish to continue in service, the Corporate Governance Committee identifies the desired skills and experience of a new nominee in light of the criteria above. If the Corporate Governance Committee believes that the Board of Directors requires additional candidates for nomination, the committee may explore alternative sources for identifying additional candidates. This may include engaging, as appropriate, a third party search firm to assist in identifying qualified candidates.</w:t>
      </w:r>
    </w:p>
    <w:p>
      <w:pPr>
        <w:spacing w:after="0" w:line="19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Corporate Governance Committee reviews all nominees, including those recommended by stockholders, for nomination by the Board in accordance with the above requirements and qualifications to determine whether they possess attributes the Corporate Governance Committee believes would be most beneficial to the Company. The Corporate Governance Committee will select qualified candidates and make its recommendations to the Board, which will formally decide whether to nominate the recommended candidates for election to the Board. Stockholders may recommend nominees for consideration by the Corporate Governance Committee by submitting the names and the following supporting information to the Company’s Secretary: Corporate Secretary, Stockholder Nominations, Imprimis Pharmaceuticals, Inc., 12626 High Bluff Drive, Suite 150, San Diego, CA 92130. The submissions should include a current resume of the candidate and statement describing the candidate’s qualifications and contact information for personal and professional references. The submission should also include the name and address of the stockholder who is submitting the nominee, the number of shares which are owned of record or beneficially by the submitting stockholder and a description of all arrangements or understandings between the submitting stockholder and the candidate.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Stockholder Communications of Imprimis Pharmaceuticals, Inc., 12626 High Bluff Drive, Suite 150, San Diego, CA 92130. Each communication must set forth the name and address of the stockholder on whose behalf the communication is sent and should indicate in the address whether the communication is intended for the entire Board, the non-management directors as a group or an individual director. Each communication will be screened by the Secretary or his designee to determine whether it is appropriate for presentation to the Board or such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it is addressed will be submitted to the Board or such director on a periodic basis. Any communications that concern complaints regarding accounting, internal controls or auditing matters will be handled in accordance with procedures adopted by the Audit Committee.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Board has adopted a Code of Business Conduct and Ethics that applies to all of our directors, officers and employees. The Code of Business Conduct and Ethics is available for review on our website at http://imprimis.investorroom.com/index.php, and is also available in print, without charge, to any stockholder who requests a copy by writing to us at Imprimis Pharmaceuticals, Inc., 12626 High Bluff Drive, Suite 150, San Diego, CA 92130, Attention: Investor Relations. Each of our directors, employees and officers, including our Chief Executive Officer, Chief Accounting and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apart from meetings of the Board and committees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Board generally holds meetings on a quarterly basis, but may hold additional meetings as required. During fiscal year 2012, the Board held three regularly scheduled meetings. Each of our directors attended at least 75% of the Board meetings he was eligible to attend and each director attended at least 75% of the aggregate of the total number of Board meetings and meetings of each committee of the Board on which he was serving. We do not have a policy requiring that directors attend our annual meeting of stockholders. The 2013 Annual Meeting of Stockholders is our first annual meeting since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Audit Committee is composed of Messrs. Stephen Austin (Chairperson), Jeffrey Abrams and Paul Finnegan. Our Board has affirmatively determined that each member of the Audit Committee is independent under Nasdaq Marketplace Rule 5605(a)(2), and meets all other qualifications under Nasdaq Marketplace Rule 5605(e) and the applicable rules of the Securities and Exchange Commission. Our Board has also affirmatively determined that Stephen Austin and Paul Finnegan each qualify as an “audit committee financial expert” as such term is defined in Regulation S-K under the Securities Act of 1933. During 2012, the Audit Committee held two meetings.</w:t>
      </w:r>
    </w:p>
    <w:p>
      <w:pPr>
        <w:spacing w:after="0" w:line="21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Audit Committee acts pursuant to a written charter, which is available for review on our website at http://imprimis.investorroom.com/index.php.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auditors.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Compensation Committee is composed of Messrs. Paul Finnegan (Chairperson), Stephen Austin and Jeffrey Abrams. Our Board has affirmatively determined that each member of the Compensation Committee is independent as such term is defined under Nasdaq Marketplace Rule 5605(a)(2). During 2012, the Compensation Committee met one time. Our Board has adopted a charter for the Compensation Committee which is available for review on our website at http://imprimis.investorroom.com/index.php. The Compensation Committee reviews and makes recommendations to our Board concerning the compensation and benefits of our executive officers, including the Chief Executive Officer, and directors, oversees the administration of our stock option and employee benefits plans, and reviews general policy relating to compensation and benefits.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During fiscal 2012 and through June 30, 2013, our Nomination and Corporate Governance Committee was composed of Messrs. Paul Finnegan, Stephen Austin and Jeffrey Abrams. Effective on July 1, 2013, Mr. Finnegan resigned as chairman and member of the Nomination and Corporate Governance Committee and Mr. Bassani joined the Nomination and Corporate Governance Committee and currently serves as its chairman. Our Board has determined that each member of the Nomination and Corporate Governance Committee is independent under Nasdaq Marketplace Rule 5605(a)(2). The committee evaluates and recommends to the Board nominees for each election of directors. The Nomination and Corporate Governance Committee met one time in 2012. Our Board has adopted a charter for the Nomination and Corporate Governance Committee and a copy of that charter is available for review on our website at http://imprimis.investorroom.com/index.php. The responsibilities of the committee include making recommendations to the Board with respect to the nominations or elections of directors and providing oversight of our corporate governance policies and practices.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may, but is not required to, select a Chairman of the Board on an annual basis. In addition, the positions of Chairman of the Board and Chief Executive Officer may be filled by one individual or two different individuals. Mr. Baum currently serves as our Chief Executive Officer and Dr. Kammer serves as Chairman of our Board. Dr. Kammer is not an employee of the Company but does provide consulting services to the Company in addition to his services as Chairman.</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Chairman. Our Board also believes that this structure better enables active participation of the independent directors in setting agendas and establishing priorities and procedures for the work of our Board. Our Board believes its administration of its risk oversight function has not affected its leadership structure.</w:t>
      </w:r>
    </w:p>
    <w:p>
      <w:pPr>
        <w:spacing w:after="0" w:line="22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While our Bylaws do not require that our Chairman and Chief Executive Officer positions be separate, our Board believes that having separate positions is the appropriate leadership structure for us at this time and demonstrates our commitment to good corporate governance. Our separated Chairman and Chief Executive Officer positions are augmented by the independence of four of our six directors, and our independent Board committees that provide appropriate oversight of our management and the Company.</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believe that the independent nature of the Board committees, as well as the practice of our independent directors regularly meeting in executive session without Dr. Kammer, Mr. Baum or other members of our management present, ensures that our Board maintains a level of independent oversight of management that we believe is appropriate for our company.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Board as a whole has responsibility for risk oversight, with reviews of certain areas being conducted by the relevant Board committees. These committees then provide reports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These areas of focus include strategic, operational, financial and reporting, succession and compensation, and other risks. The Board and its committees oversee risks associated with their respective areas of responsibility, as summarized below. Each committee meets in executive session with key management personnel and representatives of outside advisors as required.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Board/Committee</w:t>
            </w:r>
          </w:p>
        </w:tc>
        <w:tc>
          <w:tcPr>
            <w:tcW w:w="9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Full Board</w:t>
            </w:r>
          </w:p>
        </w:tc>
        <w:tc>
          <w:tcPr>
            <w:tcW w:w="220" w:type="dxa"/>
            <w:vAlign w:val="bottom"/>
            <w:shd w:val="clear" w:color="auto" w:fill="CCEEFF"/>
          </w:tcPr>
          <w:p>
            <w:pPr>
              <w:spacing w:after="0"/>
              <w:rPr>
                <w:sz w:val="17"/>
                <w:szCs w:val="17"/>
                <w:color w:val="auto"/>
              </w:rPr>
            </w:pPr>
          </w:p>
        </w:tc>
        <w:tc>
          <w:tcPr>
            <w:tcW w:w="8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Risks and exposures associated with our business strategy and other current matters that may present material risk to our</w:t>
            </w: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financial performance, operations, prospects or reputation.</w:t>
            </w: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Audit Committee</w:t>
            </w:r>
          </w:p>
        </w:tc>
        <w:tc>
          <w:tcPr>
            <w:tcW w:w="9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1"/>
              </w:rPr>
              <w:t>Overall risk management profile and policies with respect to risk assessment and risk management, material pending legal</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5"/>
              </w:rPr>
              <w:t>proceedings involving the Company, other contingent liabilities, as well as other risks and exposures that may have a</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material impact on our financial statements.</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Committee</w:t>
            </w:r>
          </w:p>
        </w:tc>
        <w:tc>
          <w:tcPr>
            <w:tcW w:w="91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Risks and exposures associated with management succession planning and executive compensation programs and</w:t>
            </w: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arrangements, including incentive plans.</w:t>
            </w: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Nomination and Corporate</w:t>
            </w:r>
          </w:p>
        </w:tc>
        <w:tc>
          <w:tcPr>
            <w:tcW w:w="9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0"/>
              </w:rPr>
              <w:t>Risks and exposures associated with director succession planning, corporate governance, and overall board effectiveness.</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spacing w:after="0"/>
              <w:rPr>
                <w:sz w:val="20"/>
                <w:szCs w:val="20"/>
                <w:color w:val="auto"/>
              </w:rPr>
            </w:pPr>
          </w:p>
        </w:tc>
        <w:tc>
          <w:tcPr>
            <w:tcW w:w="890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year ended December 31, 2012, and through the date of this Proxy Statement,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Line of Credit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Baum and Dr. Kammer were appointed to our Board on December 16, 2011, following the closing of the Line of Credit Agreement and the purchase of the Series A Preferred Stock by DermaStar International, LLC (“DermaStar”) further described below. Mr. Baum and Dr. Kammer served as Managing Members of DermaStar prior to DermaStar’s conversion of all of the outstanding shares of the Company’s Series A Preferred Stock into common stock and the distribution of all shares of capital stock and warrants held by DermaStar to its members in July 2012.</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25, 2012, the entire outstanding principal balance and all accrued and unpaid interest under the line of credit, an aggregate of $762,534, was converted into 193,046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 Purchase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7.5% Convertible Promissory Note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 of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forms filed by such person.</w:t>
      </w:r>
    </w:p>
    <w:p>
      <w:pPr>
        <w:spacing w:after="0" w:line="2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Based solely on our review of the copies of such forms furnished to us and the written representations from certain of the reporting persons that no other reports were required, we believe that during the fiscal year ended December 31, 2012, all executive officers, directors and greater than ten-percent beneficial owners complied with the reporting requirements of Section 16(a), except as follows: (i) stockholder Don Miloni filed a late Form 3 on March 18, 2013; (ii) stockholder Professional Compounding Centers of America, Inc. filed a late Form 3 on March 8, 2013; (iii) former stockholder DermaStar International, LLC (A) filed a late Form 5 on March 15, 2013 reporting transactions that occurred on February 28, 2012 and April 25, 2012, which were improperly reported on a Form 3 filed on April 27, 2012 and (B) filed a late Form 4 on July 20, 2012 reporting transactions that occurred on June 29, 2012 and July 12, 2012; (iv) director Jeffrey Abrams filed a late Form 4 on April 27, 2012 reporting transactions that occurred on April 1, 2012; (v) officer and director Mark Baum (A) filed a late Form 5 on March 15, 2013 reporting transactions that occurred on February 28, 2012, April 1, 2012 and April 25, 2012, which were improperly reported on a Form 3 filed on April 27, 2012 and (B) filed a late Form 4 on July 20, 2012 reporting transactions that occurred on June 29, 2012 and July 12, 2012; (vi) officer Andrew Boll filed a late Form 5 on March 15, 2013 reporting a transaction that occurred on February 1, 2012, which was improperly reported on a Form 3 filed on April 27, 2012; (vii) officer and former director Balbir Brar filed a late Form 5 on March 15, 2013 reporting transactions that occurred on January 25, 2012 and April 1, 2012, which were improperly reported on a Form 3 filed on April 27, 2012; (viii) director Paul Finnegan filed a late Form 5 on March 15, 2013 reporting transactions that occurred on January 25, 2012 and April 1, 2012, which were improperly reported on a Form 3 filed on April 27, 2012; (ix) director Robert Kammer (A) filed a late Form 5 on March 15, 2013 reporting transactions that occurred on February 28, 2012, April 1, 2012 and April 25, 2012, which were improperly reported on a Form 3 filed on April 30, 2012 and (B) filed a late Form 4 on July 20, 2012 reporting transactions that occurred on June 29, 2012 and July 12, 2012; (x) director Stephen Austin filed a late Form 4 on August 15, 2012 reporting a transaction that occurred on July 26, 2012; and (xi) officer Joachim Schupp filed a late Form 5 on March 15, 2013 reporting a transaction that occurred on February 15, 2012, which was improperly reported on a Form 3 filed on April 27, 2012.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Service on the Board of Directors during Fiscal Year Ended December 31, 2012</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have a set director compensation program in place for the fiscal year ended December 31, 2012; however, the Board of Directors approved the following compensation to our directors for their service as directors during 2012:</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 2012, the Board of Directors approved the grant to each of our directors on that date, including our employee and non-employee directors, of an option to purchase up to 25,000 shares of our common stock under the Plan (each, a “2012 Director Option”). Dr. Brar, Mr. Baum, Dr. Kammer, Dr. Finnegan and Dr. Abrams each received a 2012 Director Option. The 2012 Director Options have an exercise price of $4.50 per share and a term of five years, and vested quarterly over a one year period such that options to purchase 6,250 shares vested on each of June 30, 2012, September 30, 2012, December 31, 2012 and March 31, 2013 (subject to continued service as a director on each such date). In addition, on April 1, 2012, the Board of Directors approved the grant to director Dr. Abrams of an option to purchase up to 60,000 shares of common stock under the Plan. The option has an exercise price of $4.50 per share and a term of ten years, and vested in equal monthly installments over a one year period.</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26, 2012, in connection with his appointment as a director, the Board of Directors granted to Mr. Austin an option to purchase up to 17,123 shares of our common stock under the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14, 2012, in connection with his appointment as a director, the Board of Directors granted to Mr. Bassani an option to purchase up to 7,603 shares of our common stock under the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Certain Advisory Services during Fiscal Year Ended December 31, 2012</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connection with the senior advisory agreement, on January 25, 2012, the Company granted Dr. Finnegan a stock option to purchase 125,000 shares of common stock under the Plan with an exercise price of $3.20 per share. Effective May 9, 2012, we entered into a termination agreement terminating the advisory agreement with Dr. Finnegan. No cash compensation was paid to Dr. Finnegan under this advisory agreement. In addition, 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the Company’s common stock acquired through the exercise of his stock option in any monthly period without the approval of the Board of Directors.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Effective April 1, 2012, we entered into an advisory agreement with director Dr.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an option to purchase 60,000 shares of common stock under the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spacing w:after="0" w:line="21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July 18, 2012, the Board of Directors granted to Dr. Kammer 40,000 restricted stock units (“RSUs”) outside of the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 Compensation Table</w:t>
      </w:r>
    </w:p>
    <w:p>
      <w:pPr>
        <w:spacing w:after="0" w:line="256" w:lineRule="exact"/>
        <w:rPr>
          <w:sz w:val="20"/>
          <w:szCs w:val="20"/>
          <w:color w:val="auto"/>
        </w:rPr>
      </w:pPr>
    </w:p>
    <w:p>
      <w:pPr>
        <w:ind w:firstLine="690"/>
        <w:spacing w:after="0" w:line="277" w:lineRule="auto"/>
        <w:rPr>
          <w:sz w:val="20"/>
          <w:szCs w:val="20"/>
          <w:color w:val="auto"/>
        </w:rPr>
      </w:pPr>
      <w:r>
        <w:rPr>
          <w:rFonts w:ascii="Arial" w:cs="Arial" w:eastAsia="Arial" w:hAnsi="Arial"/>
          <w:sz w:val="18"/>
          <w:szCs w:val="18"/>
          <w:color w:val="auto"/>
        </w:rPr>
        <w:t>The following table shows the compensation paid in fiscal 2012 to our non-employee directors. All compensation received by directors Dr. Brar and Mr. Baum, including compensation received by them for services as a director, is disclosed in the Summary Compensation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Fees Earned or</w:t>
            </w:r>
          </w:p>
        </w:tc>
        <w:tc>
          <w:tcPr>
            <w:tcW w:w="1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Paid in Cash</w:t>
            </w:r>
          </w:p>
        </w:tc>
        <w:tc>
          <w:tcPr>
            <w:tcW w:w="1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Awards(1)(3)</w:t>
            </w:r>
          </w:p>
        </w:tc>
        <w:tc>
          <w:tcPr>
            <w:tcW w:w="1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Awards (2)(3)</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269,444(4)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381,578(5)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Paul Finnegan, M.D.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18,000(6)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450,325(7)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Jeffrey J. Abrams, M.D.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381,480(8)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Stephen G. Austin, CPA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58,099(9)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81,627(10)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40" w:hanging="432"/>
        <w:spacing w:after="0" w:line="28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p>
      <w:pPr>
        <w:spacing w:after="0" w:line="1" w:lineRule="exact"/>
        <w:rPr>
          <w:rFonts w:ascii="Arial" w:cs="Arial" w:eastAsia="Arial" w:hAnsi="Arial"/>
          <w:sz w:val="16"/>
          <w:szCs w:val="16"/>
          <w:color w:val="auto"/>
        </w:rPr>
      </w:pPr>
    </w:p>
    <w:p>
      <w:pPr>
        <w:jc w:val="both"/>
        <w:ind w:left="440" w:hanging="387"/>
        <w:spacing w:after="0" w:line="250" w:lineRule="auto"/>
        <w:tabs>
          <w:tab w:leader="none" w:pos="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the Company’s Annual Report on Form 10-K for the fiscal year ended December 31, 2012.</w:t>
      </w:r>
    </w:p>
    <w:p>
      <w:pPr>
        <w:spacing w:after="0" w:line="1" w:lineRule="exact"/>
        <w:rPr>
          <w:rFonts w:ascii="Arial" w:cs="Arial" w:eastAsia="Arial" w:hAnsi="Arial"/>
          <w:sz w:val="18"/>
          <w:szCs w:val="18"/>
          <w:color w:val="auto"/>
        </w:rPr>
      </w:pPr>
    </w:p>
    <w:p>
      <w:pPr>
        <w:ind w:left="440" w:hanging="387"/>
        <w:spacing w:after="0"/>
        <w:tabs>
          <w:tab w:leader="none" w:pos="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aggregate number of stock and option awards outstanding as of December 31, 2012 for each non-employee director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Underlying</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1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Options Awards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Paul Finnegan, M.D.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Jeffrey J. Abrams, M.D.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87,250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Stephen G. Austin, CPA</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17,123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287"/>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p>
    <w:p>
      <w:pPr>
        <w:spacing w:after="0" w:line="1" w:lineRule="exact"/>
        <w:rPr>
          <w:rFonts w:ascii="Arial" w:cs="Arial" w:eastAsia="Arial" w:hAnsi="Arial"/>
          <w:sz w:val="18"/>
          <w:szCs w:val="18"/>
          <w:color w:val="auto"/>
        </w:rPr>
      </w:pPr>
    </w:p>
    <w:p>
      <w:pPr>
        <w:jc w:val="both"/>
        <w:ind w:left="340" w:hanging="287"/>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a 2012 Director Option granted to Dr. Kammer, and (ii) an option to purchase up to 60,000 shares of common stock granted to Dr. Kammer on April 1, 2012 under the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p>
    <w:p>
      <w:pPr>
        <w:spacing w:after="0" w:line="2" w:lineRule="exact"/>
        <w:rPr>
          <w:rFonts w:ascii="Arial" w:cs="Arial" w:eastAsia="Arial" w:hAnsi="Arial"/>
          <w:sz w:val="18"/>
          <w:szCs w:val="18"/>
          <w:color w:val="auto"/>
        </w:rPr>
      </w:pPr>
    </w:p>
    <w:p>
      <w:pPr>
        <w:jc w:val="both"/>
        <w:ind w:left="340" w:hanging="287"/>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w:t>
      </w:r>
    </w:p>
    <w:p>
      <w:pPr>
        <w:spacing w:after="0" w:line="1" w:lineRule="exact"/>
        <w:rPr>
          <w:rFonts w:ascii="Arial" w:cs="Arial" w:eastAsia="Arial" w:hAnsi="Arial"/>
          <w:sz w:val="18"/>
          <w:szCs w:val="18"/>
          <w:color w:val="auto"/>
        </w:rPr>
      </w:pPr>
    </w:p>
    <w:p>
      <w:pPr>
        <w:jc w:val="both"/>
        <w:ind w:left="480" w:hanging="427"/>
        <w:spacing w:after="0" w:line="265"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(i) a 2012 Director Option granted to Dr. Finnegan, and (ii) an option to purchase 125,000 shares of common stock at an exercise price of $3.20 per share granted to Dr. Finnegan on January 25, 2012 under the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w:t>
      </w:r>
    </w:p>
    <w:p>
      <w:pPr>
        <w:spacing w:after="0" w:line="1" w:lineRule="exact"/>
        <w:rPr>
          <w:rFonts w:ascii="Arial" w:cs="Arial" w:eastAsia="Arial" w:hAnsi="Arial"/>
          <w:sz w:val="17"/>
          <w:szCs w:val="17"/>
          <w:color w:val="auto"/>
        </w:rPr>
      </w:pPr>
    </w:p>
    <w:p>
      <w:pPr>
        <w:jc w:val="both"/>
        <w:ind w:left="480" w:hanging="427"/>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a 2012 Director Option granted to Dr. Abrams, and (ii) an option to purchase 60,000 shares of common stock granted to Dr. Abrams on April 1, 2012 under the Plan in consideration of his service as a director of the Company during 2011 and 2012, which option has an exercise price of $4.50 per share, a term of ten years, and vests in equal monthly installments over a one year period.</w:t>
      </w:r>
    </w:p>
    <w:p>
      <w:pPr>
        <w:spacing w:after="0" w:line="1" w:lineRule="exact"/>
        <w:rPr>
          <w:rFonts w:ascii="Arial" w:cs="Arial" w:eastAsia="Arial" w:hAnsi="Arial"/>
          <w:sz w:val="18"/>
          <w:szCs w:val="18"/>
          <w:color w:val="auto"/>
        </w:rPr>
      </w:pPr>
    </w:p>
    <w:p>
      <w:pPr>
        <w:jc w:val="both"/>
        <w:ind w:left="480" w:hanging="427"/>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option to purchase up to 17,123 shares of our common stock granted to Mr. Austin on August 26, 2012 under the Plan, as consideration for his service as a director. That option has an exercise price of $4.50 per share, a term of five years, and vests in equal monthly installments over a period of one year commencing on January 1, 2013.</w:t>
      </w:r>
    </w:p>
    <w:p>
      <w:pPr>
        <w:spacing w:after="0" w:line="1" w:lineRule="exact"/>
        <w:rPr>
          <w:rFonts w:ascii="Arial" w:cs="Arial" w:eastAsia="Arial" w:hAnsi="Arial"/>
          <w:sz w:val="18"/>
          <w:szCs w:val="18"/>
          <w:color w:val="auto"/>
        </w:rPr>
      </w:pPr>
    </w:p>
    <w:p>
      <w:pPr>
        <w:jc w:val="both"/>
        <w:ind w:left="500" w:hanging="447"/>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option to purchase up to 7,603 shares of our common stock granted to Mr. Bassani on December 14, 2012 under the Plan, as consideration for his services as a director. That option has an exercise price of $10.75 per share, has a term of five years, and vests monthly over a period of one year commencing on January 1,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Director Compensation Program for Fiscal Year Ending December 31, 2013</w:t>
      </w:r>
    </w:p>
    <w:p>
      <w:pPr>
        <w:spacing w:after="0" w:line="200" w:lineRule="exact"/>
        <w:rPr>
          <w:sz w:val="20"/>
          <w:szCs w:val="20"/>
          <w:color w:val="auto"/>
        </w:rPr>
      </w:pPr>
    </w:p>
    <w:p>
      <w:pPr>
        <w:spacing w:after="0" w:line="299"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In the first quarter of fiscal 2013, the Compensation Committee and Board of Directors established a standard director compensation program. A summary of the non-employee director compensation arrangements for fiscal 2013 (effective January 1, 2013) is set forth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Retainer and</w:t>
            </w:r>
          </w:p>
        </w:tc>
      </w:tr>
      <w:tr>
        <w:trPr>
          <w:trHeight w:val="237"/>
        </w:trPr>
        <w:tc>
          <w:tcPr>
            <w:tcW w:w="7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Meeting Fees</w:t>
            </w:r>
          </w:p>
        </w:tc>
      </w:tr>
      <w:tr>
        <w:trPr>
          <w:trHeight w:val="216"/>
        </w:trPr>
        <w:tc>
          <w:tcPr>
            <w:tcW w:w="7260" w:type="dxa"/>
            <w:vAlign w:val="bottom"/>
          </w:tcPr>
          <w:p>
            <w:pPr>
              <w:spacing w:after="0"/>
              <w:rPr>
                <w:sz w:val="20"/>
                <w:szCs w:val="20"/>
                <w:color w:val="auto"/>
              </w:rPr>
            </w:pPr>
            <w:r>
              <w:rPr>
                <w:rFonts w:ascii="Arial" w:cs="Arial" w:eastAsia="Arial" w:hAnsi="Arial"/>
                <w:sz w:val="18"/>
                <w:szCs w:val="18"/>
                <w:b w:val="1"/>
                <w:bCs w:val="1"/>
                <w:color w:val="auto"/>
              </w:rPr>
              <w:t>Annual Board Retainer Fee:</w:t>
            </w:r>
          </w:p>
        </w:tc>
        <w:tc>
          <w:tcPr>
            <w:tcW w:w="2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All non-employee directors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r>
      <w:tr>
        <w:trPr>
          <w:trHeight w:val="216"/>
        </w:trPr>
        <w:tc>
          <w:tcPr>
            <w:tcW w:w="7260" w:type="dxa"/>
            <w:vAlign w:val="bottom"/>
          </w:tcPr>
          <w:p>
            <w:pPr>
              <w:spacing w:after="0"/>
              <w:rPr>
                <w:sz w:val="20"/>
                <w:szCs w:val="20"/>
                <w:color w:val="auto"/>
              </w:rPr>
            </w:pPr>
            <w:r>
              <w:rPr>
                <w:rFonts w:ascii="Arial" w:cs="Arial" w:eastAsia="Arial" w:hAnsi="Arial"/>
                <w:sz w:val="18"/>
                <w:szCs w:val="18"/>
                <w:b w:val="1"/>
                <w:bCs w:val="1"/>
                <w:color w:val="auto"/>
              </w:rPr>
              <w:t>Annual Chairman Retainer Fees*: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Audit Committee Chairman</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Nominating &amp; Corporate Governance Committee Chairman</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Audit Committee</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Nominating &amp; Corporate Governance Committee</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These fees are in addition to the Annual Board Retainer Fee, as applicable.</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9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June 2013, the Board of Directors approved a one-time grant of 6,865 restricted stock units to non-employee directors. The RSUs vest in full 13 months from the date of grant.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Board has selected KMJ Corbin &amp; Company LLP (“KMJ”) as our independent registered public accounting firm for the fiscal year ending December 31, 2013, and has further directed that management submit the selection of independent registered public accounting firm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Aggregate fees for professional services rendered to the Company by KMJ for the years ended December 31, 2012 and 2011, were: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Audit-Related Fees</w:t>
            </w:r>
          </w:p>
        </w:tc>
        <w:tc>
          <w:tcPr>
            <w:tcW w:w="3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76,032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There were no Tax Fees or Other Fees billed by or paid to our principal accountant during the years ended December 31, 2012 and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Audit Committee pre-approves all services to be provided by KMJ. KMJ performed no services, and no fees were incurred or paid, relating to financial information systems design and implementation. All fees paid to KMJ for fiscal 2012 and 2011 were pre-approved by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Approval of this proposal requires the affirmative vote of a majority of the voting power present at a meeting at which a quorum is present. Abstentions will be counted as present for purposes of determining the presence of a quorum and will have the same effect as a vote against this proposal. Broker non-votes will not result from the vote on Proposal 2.</w:t>
      </w:r>
    </w:p>
    <w:p>
      <w:pPr>
        <w:spacing w:after="0" w:line="20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21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2013 Annual Meeting of Stockholders pursuant to the compensation disclosure rules of the Securities and Exchange Commission.”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this proposal requires the affirmative vote of a majority of the voting power present at a meeting at which a quorum is present.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 the same effect as a vote against this proposal.</w:t>
      </w:r>
    </w:p>
    <w:p>
      <w:pPr>
        <w:spacing w:after="0" w:line="234" w:lineRule="exact"/>
        <w:rPr>
          <w:sz w:val="20"/>
          <w:szCs w:val="20"/>
          <w:color w:val="auto"/>
        </w:rPr>
      </w:pPr>
    </w:p>
    <w:p>
      <w:pPr>
        <w:jc w:val="center"/>
        <w:ind w:left="260" w:right="2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 THE ADVISORY VOTE ON EXECUTIVE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14A of the Exchange Act, as added by the Dodd-Frank Act, also enables our stockholders to indicate their preference as to how frequently we should seek an advisory vote on the compensation of our named executive officers. By voting on this proposal, stockholders may indicate whether they would prefer an advisory vote on named executive officer compensation once every year, once every two years, or once every three years. Stockholders also may abstain from voting on this proposal.</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careful consideration of this proposal, the Board has determined that an advisory vote on executive compensation that occurs every three years is the most appropriate alternative for the Company, and therefore your Board recommends that you vote for a three year (3-year) frequency for the advisory vote on executive compensation.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formulating its recommendation, our Board considered that a triennial vote will allow stockholders to better evaluate our executive compensation program in relation to our short- and long-term company performance. Additionally, a triennial vote will provide us with time to respond to stockholder concerns and implement appropriate revisions.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advisory vote on executive compensation every one, two or three years, or abstain from voting) and, therefore, stockholders will not be voting to approve or disapprove the recommendation of the board of directors. You may cast your vote on your preferred voting frequency by choosing the option of once every year (“1 year”), once every two years (“2 years”), once every three years (“3 years”), or you may abstain from voting.</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However, because this vote is advisory and not binding on the Board of Directors or the Company in any way, the Board may decide that it is in the best interests of our stockholders and the Company to hold an advisory vote on executive compensation more or less frequently than the option preferred by our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Abstentions and broker non-votes will not be counted in determining which option receives the largest number of votes cast.</w:t>
      </w:r>
    </w:p>
    <w:p>
      <w:pPr>
        <w:spacing w:after="0" w:line="204"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FOR A </w:t>
      </w:r>
      <w:r>
        <w:rPr>
          <w:rFonts w:ascii="Arial" w:cs="Arial" w:eastAsia="Arial" w:hAnsi="Arial"/>
          <w:sz w:val="18"/>
          <w:szCs w:val="18"/>
          <w:b w:val="1"/>
          <w:bCs w:val="1"/>
          <w:u w:val="single" w:color="auto"/>
          <w:color w:val="auto"/>
        </w:rPr>
        <w:t>THREE YEAR (3-YEAR)</w:t>
      </w:r>
      <w:r>
        <w:rPr>
          <w:rFonts w:ascii="Arial" w:cs="Arial" w:eastAsia="Arial" w:hAnsi="Arial"/>
          <w:sz w:val="18"/>
          <w:szCs w:val="18"/>
          <w:b w:val="1"/>
          <w:bCs w:val="1"/>
          <w:color w:val="auto"/>
        </w:rPr>
        <w:t xml:space="preserve"> FREQUENCY FOR THE STOCKHOLDER ADVISORY VOTE ON COMPENSATION AWARDED TO OUR NAMED EXECUTIVE OFFICERS.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5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Executive officers are elected by our Board and serve at its discretion. There are no familial relationships between any of our directors or our executive officers and any other director or executive officer. Set forth below is information regarding our executive officers as of June 30,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r>
      <w:tr>
        <w:trPr>
          <w:trHeight w:val="216"/>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 J.D.</w:t>
            </w:r>
          </w:p>
        </w:tc>
        <w:tc>
          <w:tcPr>
            <w:tcW w:w="120" w:type="dxa"/>
            <w:vAlign w:val="bottom"/>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Joachim P.H. Schupp, M.D.</w:t>
            </w:r>
          </w:p>
        </w:tc>
        <w:tc>
          <w:tcPr>
            <w:tcW w:w="1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Medical Officer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Vice-President, Accounting and Public Reporting</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Baum’s biographical information is included with those of the other members of our Board.</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Joachim Schupp, M.D. </w:t>
      </w:r>
      <w:r>
        <w:rPr>
          <w:rFonts w:ascii="Arial" w:cs="Arial" w:eastAsia="Arial" w:hAnsi="Arial"/>
          <w:sz w:val="16"/>
          <w:szCs w:val="16"/>
          <w:color w:val="auto"/>
        </w:rPr>
        <w:t>has been the Chief Medical Officer of the Company since February 2012. Dr. Schupp has more than 25 years of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Andrew R. Boll </w:t>
      </w:r>
      <w:r>
        <w:rPr>
          <w:rFonts w:ascii="Arial" w:cs="Arial" w:eastAsia="Arial" w:hAnsi="Arial"/>
          <w:sz w:val="17"/>
          <w:szCs w:val="17"/>
          <w:color w:val="auto"/>
        </w:rPr>
        <w:t>has been our Vice President of Accounting and Financial Reporting since February 2012 and was a consultant to the Company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December 2011 to February 2012. Mr. Boll has several years of experience in financial reporting and accounting, including four years of experience working with small publicly traded companies, with a particular focus on restructured and reorganized businesses. From November 2007 to November 2011, Mr. Boll was a fund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Huron University and is a member of the Institute of Management Accountants.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May 7, 2013, Dr. Balbir Brar resigned from his position as President with the Company and no longer serves as an executive officer.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Brar continues to serve as a Senior Advisor to the Company, focusing on pre-clinical safety matters.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Stock Awards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Option Awards</w:t>
            </w:r>
          </w:p>
        </w:tc>
        <w:tc>
          <w:tcPr>
            <w:tcW w:w="100" w:type="dxa"/>
            <w:vAlign w:val="bottom"/>
          </w:tcPr>
          <w:p>
            <w:pPr>
              <w:spacing w:after="0"/>
              <w:rPr>
                <w:sz w:val="15"/>
                <w:szCs w:val="15"/>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Mark L. Baum, J.D.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520,000(3)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655,773(4)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Executive Officer</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Joachim P.H. Schupp, M.D.</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178,500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29,134(5)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Medical Officer</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2011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Balbir Brar, D.V.M., Ph.D.</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669,300(6)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Former President (8)</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Vice-President,  Accounting  and  Public</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Reporting</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p>
      <w:pPr>
        <w:spacing w:after="0" w:line="1" w:lineRule="exact"/>
        <w:rPr>
          <w:rFonts w:ascii="Arial" w:cs="Arial" w:eastAsia="Arial" w:hAnsi="Arial"/>
          <w:sz w:val="16"/>
          <w:szCs w:val="16"/>
          <w:color w:val="auto"/>
        </w:rPr>
      </w:pPr>
    </w:p>
    <w:p>
      <w:pPr>
        <w:jc w:val="both"/>
        <w:ind w:left="340" w:hanging="287"/>
        <w:spacing w:after="0" w:line="250" w:lineRule="auto"/>
        <w:tabs>
          <w:tab w:leader="none" w:pos="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our Form 10-K for the year ended December 31, 2012. For a discussion of the material terms of each stock option award, see the table entitled "Outstanding Equity Awards at Fiscal Year End."</w:t>
      </w:r>
    </w:p>
    <w:p>
      <w:pPr>
        <w:spacing w:after="0" w:line="2" w:lineRule="exact"/>
        <w:rPr>
          <w:rFonts w:ascii="Arial" w:cs="Arial" w:eastAsia="Arial" w:hAnsi="Arial"/>
          <w:sz w:val="18"/>
          <w:szCs w:val="18"/>
          <w:color w:val="auto"/>
        </w:rPr>
      </w:pPr>
    </w:p>
    <w:p>
      <w:pPr>
        <w:jc w:val="both"/>
        <w:ind w:left="360" w:hanging="307"/>
        <w:spacing w:after="0" w:line="250" w:lineRule="auto"/>
        <w:tabs>
          <w:tab w:leader="none" w:pos="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Represents restricted stock units granted to Mr. Baum outside the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p>
    <w:p>
      <w:pPr>
        <w:spacing w:after="0" w:line="1" w:lineRule="exact"/>
        <w:rPr>
          <w:rFonts w:ascii="Arial" w:cs="Arial" w:eastAsia="Arial" w:hAnsi="Arial"/>
          <w:sz w:val="18"/>
          <w:szCs w:val="18"/>
          <w:color w:val="auto"/>
        </w:rPr>
      </w:pPr>
    </w:p>
    <w:p>
      <w:pPr>
        <w:jc w:val="both"/>
        <w:ind w:left="360" w:hanging="262"/>
        <w:spacing w:after="0" w:line="281" w:lineRule="auto"/>
        <w:tabs>
          <w:tab w:leader="none" w:pos="3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Represents (i) an option to purchase up to 125,000 shares of common stock under the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Plan granted on April 1,</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2012 in connection with his appointment as our Chief Executive Officer.</w:t>
      </w:r>
    </w:p>
    <w:p>
      <w:pPr>
        <w:spacing w:after="0" w:line="9" w:lineRule="exact"/>
        <w:rPr>
          <w:sz w:val="20"/>
          <w:szCs w:val="20"/>
          <w:color w:val="auto"/>
        </w:rPr>
      </w:pPr>
    </w:p>
    <w:p>
      <w:pPr>
        <w:ind w:left="360" w:hanging="307"/>
        <w:spacing w:after="0" w:line="25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$23,500 paid to an entity beneficially owned by Mr. Schupp for consulting services performed during the fiscal year 2012 prior to his hire as our Chief Medical Officer, and (ii) $5,634 paid for medical and dental insurance premiums.</w:t>
      </w:r>
    </w:p>
    <w:p>
      <w:pPr>
        <w:jc w:val="both"/>
        <w:ind w:left="360" w:hanging="307"/>
        <w:spacing w:after="0" w:line="265"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(i) an option to purchase up to 225,000 shares of common stock under the Plan granted on January 25, 2012 in connection with his appointment as our President, and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p>
    <w:p>
      <w:pPr>
        <w:spacing w:after="0" w:line="1" w:lineRule="exact"/>
        <w:rPr>
          <w:rFonts w:ascii="Arial" w:cs="Arial" w:eastAsia="Arial" w:hAnsi="Arial"/>
          <w:sz w:val="17"/>
          <w:szCs w:val="17"/>
          <w:color w:val="auto"/>
        </w:rPr>
      </w:pPr>
    </w:p>
    <w:p>
      <w:pPr>
        <w:ind w:left="360" w:hanging="307"/>
        <w:spacing w:after="0" w:line="25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$5,000 paid to Mr. Boll for consulting services performed during the fiscal year 2012 prior to his hire as our Vice President, Accounting and Public Reporting, and (ii) $2,524 paid for medical and dental insurance premiums.</w:t>
      </w:r>
    </w:p>
    <w:p>
      <w:pPr>
        <w:ind w:left="360" w:hanging="307"/>
        <w:spacing w:after="0" w:line="261"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May 7, 2013, Dr. Balbir Brar resigned from his position with the Company and no longer serves as its President. Dr. Brar continues to serve as a Senior Advisor to the Company, focusing on pre-clinical safety matters.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Employment Agreements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Below is a description of employment agreements with our named executive officers and our Vice President, Accounting and Public Reporting (our Principal Accounting and Financial Officer) as in effect during the fiscal year ended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L. Baum</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 2012, the Board of Directors appointed Mr. Mark L. Baum, J.D.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on April 1, 2012, the Company granted to Mr. Baum an option to purchase up to 60,000 shares of common stock at an exercise price of $4.50 per share under the.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Plan.</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25, 2012, the Board approved an option grant to Mr. Baum to purchase up to 125,000 shares pursuant to the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18, 2012, the Board granted to Mr. Baum, in connection with his services as the Chief Executive Officer of the Company, 160,000 restricted stock units (RSUs) outside of the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 Effective upon approval of Proposal No. 5 by the Company’s stockholders, Mr. Baum has agreed to forfeit the remaining 120,000 unvested RSUs granted to him in July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Joachim Schupp</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Plan. The option has a four year term and vests monthly over a 36 month period following the date of grant. The option vests in full upon a change of control as defined in the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Andrew R. Boll</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awards held by our named executive officers and our Vice President, Accounting and Public Reporting serving during the fiscal year ended December 31,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3"/>
          </w:tcPr>
          <w:p>
            <w:pPr>
              <w:ind w:left="680"/>
              <w:spacing w:after="0"/>
              <w:rPr>
                <w:sz w:val="20"/>
                <w:szCs w:val="20"/>
                <w:color w:val="auto"/>
              </w:rPr>
            </w:pPr>
            <w:r>
              <w:rPr>
                <w:rFonts w:ascii="Arial" w:cs="Arial" w:eastAsia="Arial" w:hAnsi="Arial"/>
                <w:sz w:val="14"/>
                <w:szCs w:val="14"/>
                <w:b w:val="1"/>
                <w:bCs w:val="1"/>
                <w:color w:val="auto"/>
                <w:w w:val="96"/>
              </w:rPr>
              <w:t>Option Awards</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5"/>
          </w:tcPr>
          <w:p>
            <w:pPr>
              <w:ind w:left="9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3"/>
          </w:tcPr>
          <w:p>
            <w:pPr>
              <w:jc w:val="center"/>
              <w:ind w:right="460"/>
              <w:spacing w:after="0" w:line="126" w:lineRule="exact"/>
              <w:rPr>
                <w:sz w:val="20"/>
                <w:szCs w:val="20"/>
                <w:color w:val="auto"/>
              </w:rPr>
            </w:pPr>
            <w:r>
              <w:rPr>
                <w:rFonts w:ascii="Arial" w:cs="Arial" w:eastAsia="Arial" w:hAnsi="Arial"/>
                <w:sz w:val="14"/>
                <w:szCs w:val="14"/>
                <w:b w:val="1"/>
                <w:bCs w:val="1"/>
                <w:color w:val="auto"/>
                <w:w w:val="97"/>
              </w:rPr>
              <w:t>Number of</w:t>
            </w:r>
          </w:p>
        </w:tc>
        <w:tc>
          <w:tcPr>
            <w:tcW w:w="1500" w:type="dxa"/>
            <w:vAlign w:val="bottom"/>
            <w:tcBorders>
              <w:top w:val="single" w:sz="8" w:color="auto"/>
            </w:tcBorders>
            <w:gridSpan w:val="2"/>
          </w:tcPr>
          <w:p>
            <w:pPr>
              <w:jc w:val="center"/>
              <w:ind w:right="560"/>
              <w:spacing w:after="0" w:line="126"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7"/>
              </w:rPr>
              <w:t>Market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Options (#)</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Options (#)</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 Stock that</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20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Exercisable</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Price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Have Not Vested</w:t>
            </w:r>
          </w:p>
        </w:tc>
        <w:tc>
          <w:tcPr>
            <w:tcW w:w="2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Vested(1)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Mark L. Baum, J.D.</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114,583(2)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1/25/2022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31,875(3)</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28,125(3)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3/31/2017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18,750(4)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160,000(5)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Balbir Brar, D.V.M., Ph.D.</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68,750(6)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156,250(6)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1/25/2016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6,250(7)</w:t>
            </w: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Joachim P.H. Schupp, M.D.</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22,917(8)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52,083(8)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493(9)</w:t>
            </w: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10/5/2014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4,583(10)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10,417(10)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right="20" w:hanging="612"/>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$9.75, the closing price per share of our common stock on December 31, 2012 (which was the last business day of the fiscal year).</w:t>
      </w:r>
    </w:p>
    <w:p>
      <w:pPr>
        <w:spacing w:after="0" w:line="1" w:lineRule="exact"/>
        <w:rPr>
          <w:rFonts w:ascii="Arial" w:cs="Arial" w:eastAsia="Arial" w:hAnsi="Arial"/>
          <w:sz w:val="18"/>
          <w:szCs w:val="18"/>
          <w:color w:val="auto"/>
        </w:rPr>
      </w:pPr>
    </w:p>
    <w:p>
      <w:pPr>
        <w:jc w:val="both"/>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p>
    <w:p>
      <w:pPr>
        <w:spacing w:after="0" w:line="1" w:lineRule="exact"/>
        <w:rPr>
          <w:rFonts w:ascii="Arial" w:cs="Arial" w:eastAsia="Arial" w:hAnsi="Arial"/>
          <w:sz w:val="18"/>
          <w:szCs w:val="18"/>
          <w:color w:val="auto"/>
        </w:rPr>
      </w:pPr>
    </w:p>
    <w:p>
      <w:pPr>
        <w:jc w:val="both"/>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p>
      <w:pPr>
        <w:spacing w:after="0" w:line="1" w:lineRule="exact"/>
        <w:rPr>
          <w:rFonts w:ascii="Arial" w:cs="Arial" w:eastAsia="Arial" w:hAnsi="Arial"/>
          <w:sz w:val="18"/>
          <w:szCs w:val="18"/>
          <w:color w:val="auto"/>
        </w:rPr>
      </w:pPr>
    </w:p>
    <w:p>
      <w:pPr>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services as a director. The option vests in four equal quarterly installments of 6,250 shares commencing on June 30, 2012.</w:t>
      </w:r>
    </w:p>
    <w:p>
      <w:pPr>
        <w:jc w:val="both"/>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restricted stock units granted to Mr. Baum outside the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p>
    <w:p>
      <w:pPr>
        <w:spacing w:after="0" w:line="2" w:lineRule="exact"/>
        <w:rPr>
          <w:rFonts w:ascii="Arial" w:cs="Arial" w:eastAsia="Arial" w:hAnsi="Arial"/>
          <w:sz w:val="18"/>
          <w:szCs w:val="18"/>
          <w:color w:val="auto"/>
        </w:rPr>
      </w:pPr>
    </w:p>
    <w:p>
      <w:pPr>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Dr. Brar on January 25, 2012 under the Plan in connection with his appointment as our President. The option vests in equal monthly installments over the 36 month period following the date of grant.</w:t>
      </w:r>
    </w:p>
    <w:p>
      <w:pPr>
        <w:jc w:val="both"/>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Dr. Brar on April 1, 2012 under the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p>
    <w:p>
      <w:pPr>
        <w:spacing w:after="0" w:line="2" w:lineRule="exact"/>
        <w:rPr>
          <w:rFonts w:ascii="Arial" w:cs="Arial" w:eastAsia="Arial" w:hAnsi="Arial"/>
          <w:sz w:val="18"/>
          <w:szCs w:val="18"/>
          <w:color w:val="auto"/>
        </w:rPr>
      </w:pPr>
    </w:p>
    <w:p>
      <w:pPr>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Dr. Schupp on February 15, 2012 under the Plan in connection with his appointment as our Chief Medical Officer. The option vests in equal monthly installments over the 36 month period following the date of grant.</w:t>
      </w:r>
    </w:p>
    <w:p>
      <w:pPr>
        <w:ind w:left="620" w:hanging="567"/>
        <w:spacing w:after="0" w:line="250"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Dr. Schupp on December 15, 2011 under the Plan in connection with a release given by Dr. Schupp upon DermaStar’s investment in the Company. The option was 100% vested upon its grant.</w:t>
      </w:r>
    </w:p>
    <w:p>
      <w:pPr>
        <w:ind w:left="580" w:hanging="527"/>
        <w:spacing w:after="0" w:line="261"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Named Executive Officer Compensation Determinations and Considerations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5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both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considers the following guidelines when making compensation decisions:</w:t>
      </w:r>
    </w:p>
    <w:p>
      <w:pPr>
        <w:spacing w:after="0" w:line="200" w:lineRule="exact"/>
        <w:rPr>
          <w:sz w:val="20"/>
          <w:szCs w:val="20"/>
          <w:color w:val="auto"/>
        </w:rPr>
      </w:pPr>
    </w:p>
    <w:p>
      <w:pPr>
        <w:spacing w:after="0" w:line="228" w:lineRule="exact"/>
        <w:rPr>
          <w:sz w:val="20"/>
          <w:szCs w:val="20"/>
          <w:color w:val="auto"/>
        </w:rPr>
      </w:pPr>
    </w:p>
    <w:p>
      <w:pPr>
        <w:ind w:left="840" w:right="20" w:hanging="265"/>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a competitive total compensation package that enables the Company to attract and retain highly qualified executives with the skills and experience required for the achievement of business goals;</w:t>
      </w:r>
    </w:p>
    <w:p>
      <w:pPr>
        <w:spacing w:after="0" w:line="197" w:lineRule="exact"/>
        <w:rPr>
          <w:rFonts w:ascii="Arial" w:cs="Arial" w:eastAsia="Arial" w:hAnsi="Arial"/>
          <w:sz w:val="18"/>
          <w:szCs w:val="18"/>
          <w:color w:val="auto"/>
        </w:rPr>
      </w:pPr>
    </w:p>
    <w:p>
      <w:pPr>
        <w:ind w:left="840" w:hanging="265"/>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compensation elements with the Company’s annual goals and long-term business strategies and objectives;</w:t>
      </w:r>
    </w:p>
    <w:p>
      <w:pPr>
        <w:spacing w:after="0" w:line="252" w:lineRule="exact"/>
        <w:rPr>
          <w:rFonts w:ascii="Arial" w:cs="Arial" w:eastAsia="Arial" w:hAnsi="Arial"/>
          <w:sz w:val="18"/>
          <w:szCs w:val="18"/>
          <w:color w:val="auto"/>
        </w:rPr>
      </w:pPr>
    </w:p>
    <w:p>
      <w:pPr>
        <w:ind w:left="840" w:hanging="265"/>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promoting the achievement of key strategic and financial performance measures by linking short-term and long-term cash and equity incentives to the achievement of measurable corporate and individual performance goals; and</w:t>
      </w:r>
    </w:p>
    <w:p>
      <w:pPr>
        <w:spacing w:after="0" w:line="197" w:lineRule="exact"/>
        <w:rPr>
          <w:rFonts w:ascii="Arial" w:cs="Arial" w:eastAsia="Arial" w:hAnsi="Arial"/>
          <w:sz w:val="18"/>
          <w:szCs w:val="18"/>
          <w:color w:val="auto"/>
        </w:rPr>
      </w:pPr>
    </w:p>
    <w:p>
      <w:pPr>
        <w:ind w:left="980" w:hanging="40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executives’ incentives with the creation of stockholder value.</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fiscal year ended December 31, 2012, the primary concern of the Board (and, after its establishment, the Compensation Committee) was to assemble a strong management team while still conserving the Company’s cash as it pursued obtaining the financing necessary to resume operations following the dismissal of the Company’s Chapter 11 bankruptcy case in December 2012 (as described in greater detail in the Company’s Annual Report on Form 10-K for the fiscal year ended December 31, 2012). As a result, the Board determined to pursue a compensation program heavily weighted towards the grant of equity incentive awards over cash incentive plans and base salary. This approach has the added benefit of strongly aligning the objectives of management with those of our stockholders with respect to long-term performance and success. The Compensation Committee expects to periodically reassess the appropriate weighting of cash and equity compensation in light of the Company’s expenditures in connection with its operations and working capital needs.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52"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18"/>
          <w:szCs w:val="18"/>
          <w:color w:val="auto"/>
        </w:rPr>
        <w:t>The Compensation Committee makes all compensation decisions for our Chief Executive Officer and approves or revises recommendations of our Chief Executive Officer regarding all of the non-equity compensation of our other named executive officer. Decisions regarding the non-equity compensation of all other officers are made by our Chief Executive Officer.</w:t>
      </w:r>
    </w:p>
    <w:p>
      <w:pPr>
        <w:spacing w:after="0" w:line="208"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Our Chief Executive Officer annually reviews the performance of each other elected officer. The conclusions reached and recommendations based on this review, including with respect to salary adjustments and annual award amounts, are presented to the Compensation Committee. The Compensation Committee can exercise its discretion in modifying any recommended adjustments or awards to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 in Compensation Decisions</w:t>
      </w:r>
    </w:p>
    <w:p>
      <w:pPr>
        <w:spacing w:after="0" w:line="252" w:lineRule="exact"/>
        <w:rPr>
          <w:sz w:val="20"/>
          <w:szCs w:val="20"/>
          <w:color w:val="auto"/>
        </w:rPr>
      </w:pPr>
    </w:p>
    <w:p>
      <w:pPr>
        <w:ind w:firstLine="473"/>
        <w:spacing w:after="0" w:line="277" w:lineRule="auto"/>
        <w:rPr>
          <w:sz w:val="20"/>
          <w:szCs w:val="20"/>
          <w:color w:val="auto"/>
        </w:rPr>
      </w:pPr>
      <w:r>
        <w:rPr>
          <w:rFonts w:ascii="Arial" w:cs="Arial" w:eastAsia="Arial" w:hAnsi="Arial"/>
          <w:sz w:val="18"/>
          <w:szCs w:val="18"/>
          <w:color w:val="auto"/>
        </w:rPr>
        <w:t>The Compensation Committee did not utilize any compensation consultants in determining or recommending the amount and form of executive and director compensation for fiscal year 2012.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Remaining Available</w:t>
            </w: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r>
      <w:tr>
        <w:trPr>
          <w:trHeight w:val="178"/>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Stock Options</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2,400,000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right="41"/>
              <w:spacing w:after="0"/>
              <w:rPr>
                <w:sz w:val="20"/>
                <w:szCs w:val="20"/>
                <w:color w:val="auto"/>
              </w:rPr>
            </w:pPr>
            <w:r>
              <w:rPr>
                <w:rFonts w:ascii="Arial" w:cs="Arial" w:eastAsia="Arial" w:hAnsi="Arial"/>
                <w:sz w:val="18"/>
                <w:szCs w:val="18"/>
                <w:color w:val="auto"/>
                <w:w w:val="85"/>
              </w:rPr>
              <w:t>5.26</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1,477,888</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200,000(3)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0" w:type="dxa"/>
            <w:vAlign w:val="bottom"/>
          </w:tcPr>
          <w:p>
            <w:pPr>
              <w:spacing w:after="0"/>
              <w:rPr>
                <w:sz w:val="22"/>
                <w:szCs w:val="22"/>
                <w:color w:val="auto"/>
              </w:rPr>
            </w:pPr>
          </w:p>
        </w:tc>
        <w:tc>
          <w:tcPr>
            <w:tcW w:w="6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2,600,000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center"/>
              <w:ind w:right="41"/>
              <w:spacing w:after="0"/>
              <w:rPr>
                <w:sz w:val="20"/>
                <w:szCs w:val="20"/>
                <w:color w:val="auto"/>
              </w:rPr>
            </w:pPr>
            <w:r>
              <w:rPr>
                <w:rFonts w:ascii="Arial" w:cs="Arial" w:eastAsia="Arial" w:hAnsi="Arial"/>
                <w:sz w:val="18"/>
                <w:szCs w:val="18"/>
                <w:color w:val="auto"/>
                <w:w w:val="85"/>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1,477,888</w:t>
            </w:r>
          </w:p>
        </w:tc>
      </w:tr>
    </w:tbl>
    <w:p>
      <w:pPr>
        <w:spacing w:after="0" w:line="229" w:lineRule="exact"/>
        <w:rPr>
          <w:sz w:val="20"/>
          <w:szCs w:val="20"/>
          <w:color w:val="auto"/>
        </w:rPr>
      </w:pPr>
    </w:p>
    <w:p>
      <w:pPr>
        <w:ind w:left="660" w:right="20" w:hanging="304"/>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2007 Incentive Stock and Awards Plan. See the notes to our financial statements included in our Annual Report on Form 10-K for the fiscal year ended December 31, 2012.</w:t>
      </w:r>
    </w:p>
    <w:p>
      <w:pPr>
        <w:spacing w:after="0" w:line="1" w:lineRule="exact"/>
        <w:rPr>
          <w:rFonts w:ascii="Arial" w:cs="Arial" w:eastAsia="Arial" w:hAnsi="Arial"/>
          <w:sz w:val="18"/>
          <w:szCs w:val="18"/>
          <w:color w:val="auto"/>
        </w:rPr>
      </w:pPr>
    </w:p>
    <w:p>
      <w:pPr>
        <w:jc w:val="both"/>
        <w:ind w:left="660" w:hanging="303"/>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January 25, 2012, the Board determined that it was in the best interests of the Company and its stockholders to amend the Plan to, among other things, increase the maximum number of shares issuable under the Plan by 675,000 shares to 750,000 shares, and to reserve such shares for issuance under the Plan (the “Plan Amendment”), subject to stockholder approval of the Plan Amendment. Our stockholders approved the Plan Amendment in an action by written consent on January 25, 2012;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750,000 to 2,400,000 and to increase the per person limit on the maximum number of shares of the Company’s common stock that may be granted to an individual under the Plan in a calendar year.</w:t>
      </w:r>
    </w:p>
    <w:p>
      <w:pPr>
        <w:spacing w:after="0" w:line="4" w:lineRule="exact"/>
        <w:rPr>
          <w:rFonts w:ascii="Arial" w:cs="Arial" w:eastAsia="Arial" w:hAnsi="Arial"/>
          <w:sz w:val="16"/>
          <w:szCs w:val="16"/>
          <w:color w:val="auto"/>
        </w:rPr>
      </w:pPr>
    </w:p>
    <w:p>
      <w:pPr>
        <w:jc w:val="both"/>
        <w:ind w:left="660" w:hanging="303"/>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are subject to certain performance-based vesting criteria. See the notes to our financial statements included in our Annual Report on Form 10-K for the fiscal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July 3, 2013.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20" w:type="dxa"/>
            <w:vAlign w:val="bottom"/>
          </w:tcPr>
          <w:p>
            <w:pPr>
              <w:spacing w:after="0"/>
              <w:rPr>
                <w:sz w:val="14"/>
                <w:szCs w:val="14"/>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Amount and Nature of Beneficial</w:t>
            </w:r>
          </w:p>
        </w:tc>
        <w:tc>
          <w:tcPr>
            <w:tcW w:w="0" w:type="dxa"/>
            <w:vAlign w:val="bottom"/>
          </w:tcPr>
          <w:p>
            <w:pPr>
              <w:spacing w:after="0"/>
              <w:rPr>
                <w:sz w:val="1"/>
                <w:szCs w:val="1"/>
                <w:color w:val="auto"/>
              </w:rPr>
            </w:pPr>
          </w:p>
        </w:tc>
      </w:tr>
      <w:tr>
        <w:trPr>
          <w:trHeight w:val="178"/>
        </w:trPr>
        <w:tc>
          <w:tcPr>
            <w:tcW w:w="86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Number of Shares</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Percentage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5% + Stockholders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John W. Fish, Jr. (2)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603,170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 Miloni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1,243,513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Professional Compounding Centers of America, Inc. (4)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832,682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6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Directors and Officers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J. Abrams, M.D. (5)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126,213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Mark L. Baum, J.D. (6)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423,673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R. Boll (7)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15,417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Balbir Brar, D.V.M., Ph.D. (8)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138,204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Finnegan, M.D. (9)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Robert J. Kammer, D.D.S. (10)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1,011,981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G. Austin, CPA (11)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12,842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August S. Bassani, Pharm.D. (12)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5,702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Joachim Schupp, M.D. (13)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40,076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All executives and directors as a group (8 persons)</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1,760,904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440" w:hanging="432"/>
        <w:spacing w:after="0" w:line="281"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Applicable percentage ownership is based on 8,961,583 shares of our common stock outstanding as of July 3, 2013. Shares of common stock subject to options or warrants and convertible notes subject to conversion into shares of our common stock currently exercisable or convertible, or exercisable or convertible within 60 days after July 3, 2013 are deemed outstanding for the purpose of computing the percentage ownership of the person holding such options, warrants or convertible notes, but are not deemed outstanding for computing the percentage ownership of any other person.</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10,190 shares of common stock issuable upon the exercise of warrants exercisable within 60 days of July 3, 2013.</w:t>
      </w:r>
    </w:p>
    <w:p>
      <w:pPr>
        <w:spacing w:after="0" w:line="9" w:lineRule="exact"/>
        <w:rPr>
          <w:rFonts w:ascii="Arial" w:cs="Arial" w:eastAsia="Arial" w:hAnsi="Arial"/>
          <w:sz w:val="18"/>
          <w:szCs w:val="18"/>
          <w:color w:val="auto"/>
        </w:rPr>
      </w:pPr>
    </w:p>
    <w:p>
      <w:pPr>
        <w:jc w:val="both"/>
        <w:ind w:left="440" w:hanging="432"/>
        <w:spacing w:after="0" w:line="250"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July 3, 2013 (of which Mr. Miloni holds warrants to acquire 15,282 shares, Mr. Miloni’s spouse holds warrants to acquire 6,329 shares, 1425 Greenwood Lane, LLC holds warrants to acquire 37,975 shares, and RCHER Financial, LLC holds warrants to acquire 25,370 shares).</w:t>
      </w:r>
    </w:p>
    <w:p>
      <w:pPr>
        <w:spacing w:after="0" w:line="2" w:lineRule="exact"/>
        <w:rPr>
          <w:rFonts w:ascii="Arial" w:cs="Arial" w:eastAsia="Arial" w:hAnsi="Arial"/>
          <w:sz w:val="18"/>
          <w:szCs w:val="18"/>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address for Professional Compounding Centers of America, Inc. is 9901 South Wilcrest Dr., Houston, TX 77099.</w:t>
      </w:r>
    </w:p>
    <w:p>
      <w:pPr>
        <w:spacing w:after="0" w:line="9" w:lineRule="exact"/>
        <w:rPr>
          <w:rFonts w:ascii="Arial" w:cs="Arial" w:eastAsia="Arial" w:hAnsi="Arial"/>
          <w:sz w:val="18"/>
          <w:szCs w:val="18"/>
          <w:color w:val="auto"/>
        </w:rPr>
      </w:pPr>
    </w:p>
    <w:p>
      <w:pPr>
        <w:jc w:val="both"/>
        <w:ind w:left="440" w:hanging="432"/>
        <w:spacing w:after="0" w:line="250"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Jeffrey J. Abrams, M.D., a director, is a trustee of the Abrams Family Trust, which owns 39,063 shares of our common stock. Dr. Abrams has sole voting and investment control with respect to the shares of common stock owned by the Abrams Family Trust. Includes 87,150 shares of common stock issuable upon the exercise of stock options exercisable within 60 days of July 3, 2013.</w:t>
      </w:r>
    </w:p>
    <w:p>
      <w:pPr>
        <w:spacing w:after="0" w:line="1"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211,875 shares of common stock issuable upon the exercise of stock options and 2,413 shares of common stock issuable upon the exercise of warrants exercisable within 60 days of July 3, 2013.</w:t>
      </w: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15,417 shares of common stock issuable upon the exercise of stock options exercisable within 60 days of July 3, 2013.</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125,000 shares of common stock issuable upon the exercise of stock options exercisable within 60 days of July 3, 2013. Effective May 2, 2013, Dr. Brar resigned as our President.</w:t>
      </w: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125,000 shares of common stock issuable upon the exercise of stock options exercisable within 60 days of July 3, 2013.</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71,875 shares of common stock issuable upon the exercise of stock options and 15,282 shares of common stock issuable upon the exercise of warrants exercisable within 60 days of July 3, 2013.</w:t>
      </w: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12,842 shares of common stock issuable upon the exercise of stock options exercisable within 60 days of July 3, 2013.</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5,702 shares of common stock issuable upon the exercise of stock options exercisable within 60 days of July 3, 2013.</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40,076 shares of common stock issuable upon the exercise of stock options exercisable within 60 days of July 3,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Arial" w:cs="Arial" w:eastAsia="Arial" w:hAnsi="Arial"/>
          <w:sz w:val="18"/>
          <w:szCs w:val="18"/>
          <w:i w:val="1"/>
          <w:iCs w:val="1"/>
          <w:color w:val="auto"/>
        </w:rPr>
        <w:t>http://imprimis.investorroom.com/index.php</w:t>
      </w:r>
      <w:r>
        <w:rPr>
          <w:rFonts w:ascii="Arial" w:cs="Arial" w:eastAsia="Arial" w:hAnsi="Arial"/>
          <w:sz w:val="18"/>
          <w:szCs w:val="18"/>
          <w:color w:val="auto"/>
        </w:rPr>
        <w:t>. All members of the Audit Committee currently meet the independence and qualification standards for Audit Committee membership set forth in the listing standards provided by NASDAQ and the SEC.</w:t>
      </w:r>
    </w:p>
    <w:p>
      <w:pPr>
        <w:spacing w:after="0" w:line="21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9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2012.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9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Audit Committee also reviewed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(United States) Auditing Standard AU Section 380,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their independence from management and the Company, including the matters required by the applicable rules of the Public Company Accounting Oversight Board.</w:t>
      </w:r>
    </w:p>
    <w:p>
      <w:pPr>
        <w:spacing w:after="0" w:line="1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21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reliance on the reviews and discussions referred to above, the Audit Committee recommended to the Board of Directors that the Company’s audited financial statements should be included in the Company’s Annual Report on Form 10-K for the fiscal year ended December 31, 2012.</w:t>
      </w:r>
    </w:p>
    <w:p>
      <w:pPr>
        <w:spacing w:after="0" w:line="17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Austin, Chairperson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Jeffrey Abrams</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Paul Finnegan</w:t>
      </w:r>
    </w:p>
    <w:p>
      <w:pPr>
        <w:spacing w:after="0" w:line="2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7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Imprimis Pharmaceuticals, Inc., c/o Corporate Secretary, 12626 High Bluff Drive, Suite 150, San Diego, CA 92130 or call Investor Relations at (858) 704-4041. Stockholders who currently receive multiple copies of the proxy statement at their address and would like to request “householding” of their communications should contact their brokers.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Pursuant to Rule 14a-8 under the Exchange Act, stockholders may present proper proposals for inclusion in our proxy statement and for consideration at our next annual meeting of stockholders. To be eligible for inclusion in our 2014 proxy statement, a stockholder’s proposal must be received by us no later than March 19, 2014, unless the date of our 2014 Annual Meeting of Stockholders is more than 30 days before or after the one-year anniversary date of the 2013 Annual Meeting of Stockholders, in which case in which case such proposals must be received by the Company a reasonable time before the Company begins to print and send applicable proxy materials. In addition, stockholder proposals must otherwise comply with Rule 14a-8 under the Exchange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2012 Annual Report on Form 10-K accompanies the proxy materials being provided to all stockholders. We will provide, without charge, additional copies of our 2012 Annual Report on Form 10-K upon the receipt of a written request by any stockholder.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left="116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PROXY IS SOLICITED ON BEHALF OF THE BOARD OF</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DIRECTORS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ANNUAL MEETING OF STOCKHOLDERS OF IMPRIMIS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PHARMACEUTICALS, INC. TO BE HELD ON AUGUST 13, 2013 AT</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9:00 AM PACIFIC TIME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CONTROL ID: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REQUEST ID:</w:t>
      </w:r>
    </w:p>
    <w:p>
      <w:pPr>
        <w:spacing w:after="0" w:line="200" w:lineRule="exact"/>
        <w:rPr>
          <w:sz w:val="20"/>
          <w:szCs w:val="20"/>
          <w:color w:val="auto"/>
        </w:rPr>
      </w:pPr>
    </w:p>
    <w:p>
      <w:pPr>
        <w:spacing w:after="0" w:line="227" w:lineRule="exact"/>
        <w:rPr>
          <w:sz w:val="20"/>
          <w:szCs w:val="20"/>
          <w:color w:val="auto"/>
        </w:rPr>
      </w:pPr>
    </w:p>
    <w:p>
      <w:pPr>
        <w:ind w:right="4659"/>
        <w:spacing w:after="0" w:line="270" w:lineRule="auto"/>
        <w:rPr>
          <w:sz w:val="20"/>
          <w:szCs w:val="20"/>
          <w:color w:val="auto"/>
        </w:rPr>
      </w:pPr>
      <w:r>
        <w:rPr>
          <w:rFonts w:ascii="Arial" w:cs="Arial" w:eastAsia="Arial" w:hAnsi="Arial"/>
          <w:sz w:val="17"/>
          <w:szCs w:val="17"/>
          <w:color w:val="auto"/>
        </w:rPr>
        <w:t>The undersigned revokes all previous proxies and, having received the Notice of Meeting and Proxy Statement dated July 17, 2013, appoints Mark L. Baum and Robert J. Kammer, and each of them as proxies with full power of substitution, to represent and vote all of the shares of common stock of Imprimis Pharmaceuticals, Inc. (the “Company”) the undersigned is entitled to vote, either on his or her own behalf or on behalf of an entity or entities, at the Annual Meeting of the Stockholders to be held at 9:00 a.m. Pacific Time on August 13, 2013 and any adjournment or postponement thereof, with the same force and effect as the undersigned might or could do if personally present thereat.</w:t>
      </w:r>
    </w:p>
    <w:p>
      <w:pPr>
        <w:spacing w:after="0" w:line="178" w:lineRule="exact"/>
        <w:rPr>
          <w:sz w:val="20"/>
          <w:szCs w:val="20"/>
          <w:color w:val="auto"/>
        </w:rPr>
      </w:pPr>
    </w:p>
    <w:p>
      <w:pPr>
        <w:ind w:right="4699"/>
        <w:spacing w:after="0" w:line="273" w:lineRule="auto"/>
        <w:rPr>
          <w:sz w:val="20"/>
          <w:szCs w:val="20"/>
          <w:color w:val="auto"/>
        </w:rPr>
      </w:pPr>
      <w:r>
        <w:rPr>
          <w:rFonts w:ascii="Arial" w:cs="Arial" w:eastAsia="Arial" w:hAnsi="Arial"/>
          <w:sz w:val="17"/>
          <w:szCs w:val="17"/>
          <w:color w:val="auto"/>
        </w:rPr>
        <w:t>This proxy, when properly executed and returned in a timely manner, will be voted in the manner directed, or if no choice is specified, “FOR” each of the nominees listed in Proposal 1, for "THREE YEARS" in Proposal 4 and “FOR” Proposals 2 and 3. The proxies are authorized to vote upon such other business as may properly come before the meeting and any postponement or adjournment thereof.</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20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If you vote by phone, fax or internet, please DO NOT mail your proxy</w:t>
      </w:r>
    </w:p>
    <w:p>
      <w:pPr>
        <w:spacing w:after="0" w:line="5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280035</wp:posOffset>
            </wp:positionV>
            <wp:extent cx="565785"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 cy="3517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128905</wp:posOffset>
            </wp:positionV>
            <wp:extent cx="565785" cy="103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 cy="1037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Please mark, sign, date, and return this Proxy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Card promptly using the enclosed envelope.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Complete the reverse portion of this Proxy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Card and Fax to </w:t>
      </w:r>
      <w:r>
        <w:rPr>
          <w:rFonts w:ascii="Arial" w:cs="Arial" w:eastAsia="Arial" w:hAnsi="Arial"/>
          <w:sz w:val="18"/>
          <w:szCs w:val="18"/>
          <w:b w:val="1"/>
          <w:bCs w:val="1"/>
          <w:color w:val="auto"/>
        </w:rPr>
        <w:t>202-521-3464.</w:t>
      </w:r>
    </w:p>
    <w:p>
      <w:pPr>
        <w:spacing w:after="0" w:line="200" w:lineRule="exact"/>
        <w:rPr>
          <w:sz w:val="20"/>
          <w:szCs w:val="20"/>
          <w:color w:val="auto"/>
        </w:rPr>
      </w:pPr>
    </w:p>
    <w:p>
      <w:pPr>
        <w:sectPr>
          <w:pgSz w:w="11900" w:h="16838" w:orient="portrait"/>
          <w:cols w:equalWidth="0" w:num="2">
            <w:col w:w="1740" w:space="460"/>
            <w:col w:w="8019"/>
          </w:cols>
          <w:pgMar w:left="240" w:top="756" w:right="1440" w:bottom="1440" w:gutter="0" w:footer="0" w:header="0"/>
          <w:type w:val="continuous"/>
        </w:sectPr>
      </w:pPr>
    </w:p>
    <w:p>
      <w:pPr>
        <w:spacing w:after="0" w:line="277"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INTERNET:</w:t>
      </w:r>
      <w:r>
        <w:rPr>
          <w:rFonts w:ascii="Arial" w:cs="Arial" w:eastAsia="Arial" w:hAnsi="Arial"/>
          <w:sz w:val="17"/>
          <w:szCs w:val="17"/>
          <w:color w:val="auto"/>
        </w:rPr>
        <w:t>https://www.iproxydirect.com/IMMY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196215</wp:posOffset>
            </wp:positionV>
            <wp:extent cx="565785" cy="506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50609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200"/>
        <w:spacing w:after="0"/>
        <w:tabs>
          <w:tab w:leader="none" w:pos="2180" w:val="left"/>
        </w:tabs>
        <w:rPr>
          <w:sz w:val="20"/>
          <w:szCs w:val="20"/>
          <w:color w:val="auto"/>
        </w:rPr>
      </w:pPr>
      <w:r>
        <w:rPr>
          <w:rFonts w:ascii="Arial" w:cs="Arial" w:eastAsia="Arial" w:hAnsi="Arial"/>
          <w:sz w:val="18"/>
          <w:szCs w:val="18"/>
          <w:b w:val="1"/>
          <w:bCs w:val="1"/>
          <w:color w:val="auto"/>
        </w:rPr>
        <w:t>PHONE:</w:t>
      </w:r>
      <w:r>
        <w:rPr>
          <w:sz w:val="20"/>
          <w:szCs w:val="20"/>
          <w:color w:val="auto"/>
        </w:rPr>
        <w:tab/>
      </w:r>
      <w:r>
        <w:rPr>
          <w:rFonts w:ascii="Arial" w:cs="Arial" w:eastAsia="Arial" w:hAnsi="Arial"/>
          <w:sz w:val="18"/>
          <w:szCs w:val="18"/>
          <w:color w:val="auto"/>
        </w:rPr>
        <w:t>1-866-752-VOTE(8683)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1438910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44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rPr>
              <w:t>ANNUAL MEETING OF THE STOCKHOLDERS OF</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gridSpan w:val="3"/>
          </w:tcPr>
          <w:p>
            <w:pPr>
              <w:jc w:val="right"/>
              <w:spacing w:after="0"/>
              <w:rPr>
                <w:sz w:val="20"/>
                <w:szCs w:val="20"/>
                <w:color w:val="auto"/>
              </w:rPr>
            </w:pPr>
            <w:r>
              <w:rPr>
                <w:rFonts w:ascii="Arial" w:cs="Arial" w:eastAsia="Arial" w:hAnsi="Arial"/>
                <w:sz w:val="18"/>
                <w:szCs w:val="18"/>
                <w:b w:val="1"/>
                <w:bCs w:val="1"/>
                <w:color w:val="auto"/>
              </w:rPr>
              <w:t>PLEASE COMPLETE, DATE, SIGN AND RETURN PROMPTLY IN THE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4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520" w:type="dxa"/>
            <w:vAlign w:val="bottom"/>
            <w:vMerge w:val="restart"/>
          </w:tcPr>
          <w:p>
            <w:pPr>
              <w:jc w:val="right"/>
              <w:spacing w:after="0" w:line="188" w:lineRule="exact"/>
              <w:rPr>
                <w:sz w:val="20"/>
                <w:szCs w:val="20"/>
                <w:color w:val="auto"/>
              </w:rPr>
            </w:pPr>
            <w:r>
              <w:rPr>
                <w:rFonts w:ascii="Arial" w:cs="Arial" w:eastAsia="Arial" w:hAnsi="Arial"/>
                <w:sz w:val="18"/>
                <w:szCs w:val="18"/>
                <w:b w:val="1"/>
                <w:bCs w:val="1"/>
                <w:color w:val="auto"/>
              </w:rPr>
              <w:t>ENCLOSED ENVELOPE.</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44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rPr>
              <w:t>IMPRIMIS PHARMACEUTICALS, INC.</w:t>
            </w: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740" w:type="dxa"/>
            <w:vAlign w:val="bottom"/>
            <w:gridSpan w:val="4"/>
            <w:vMerge w:val="restart"/>
          </w:tcPr>
          <w:p>
            <w:pPr>
              <w:jc w:val="right"/>
              <w:spacing w:after="0" w:line="207" w:lineRule="exact"/>
              <w:rPr>
                <w:sz w:val="20"/>
                <w:szCs w:val="20"/>
                <w:color w:val="auto"/>
              </w:rPr>
            </w:pPr>
            <w:r>
              <w:rPr>
                <w:rFonts w:ascii="Arial" w:cs="Arial" w:eastAsia="Arial" w:hAnsi="Arial"/>
                <w:sz w:val="18"/>
                <w:szCs w:val="18"/>
                <w:b w:val="1"/>
                <w:bCs w:val="1"/>
                <w:color w:val="auto"/>
              </w:rPr>
              <w:t xml:space="preserve">PLEASE MARK YOUR VOTE IN BLUE OR BLACK INK AS SHOWN HERE: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4560" w:type="dxa"/>
            <w:vAlign w:val="bottom"/>
            <w:gridSpan w:val="2"/>
          </w:tcPr>
          <w:p>
            <w:pPr>
              <w:spacing w:after="0"/>
              <w:rPr>
                <w:sz w:val="20"/>
                <w:szCs w:val="20"/>
                <w:color w:val="auto"/>
              </w:rPr>
            </w:pPr>
            <w:r>
              <w:rPr>
                <w:rFonts w:ascii="Arial" w:cs="Arial" w:eastAsia="Arial" w:hAnsi="Arial"/>
                <w:sz w:val="18"/>
                <w:szCs w:val="18"/>
                <w:color w:val="auto"/>
              </w:rPr>
              <w:t>PROXY SOLICITED ON BEHALF OF THE BOARD OF</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460" w:type="dxa"/>
            <w:vAlign w:val="bottom"/>
          </w:tcPr>
          <w:p>
            <w:pPr>
              <w:jc w:val="center"/>
              <w:ind w:left="90"/>
              <w:spacing w:after="0"/>
              <w:rPr>
                <w:sz w:val="20"/>
                <w:szCs w:val="20"/>
                <w:color w:val="auto"/>
              </w:rPr>
            </w:pPr>
            <w:r>
              <w:rPr>
                <w:rFonts w:ascii="Arial" w:cs="Arial" w:eastAsia="Arial" w:hAnsi="Arial"/>
                <w:sz w:val="18"/>
                <w:szCs w:val="18"/>
                <w:color w:val="auto"/>
                <w:w w:val="94"/>
              </w:rPr>
              <w:t>DIRECTORS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460" w:type="dxa"/>
            <w:vAlign w:val="bottom"/>
          </w:tcPr>
          <w:p>
            <w:pPr>
              <w:jc w:val="center"/>
              <w:ind w:right="3570"/>
              <w:spacing w:after="0" w:line="198" w:lineRule="exact"/>
              <w:rPr>
                <w:sz w:val="20"/>
                <w:szCs w:val="20"/>
                <w:color w:val="auto"/>
              </w:rPr>
            </w:pPr>
            <w:r>
              <w:rPr>
                <w:rFonts w:ascii="Arial" w:cs="Arial" w:eastAsia="Arial" w:hAnsi="Arial"/>
                <w:sz w:val="18"/>
                <w:szCs w:val="18"/>
                <w:b w:val="1"/>
                <w:bCs w:val="1"/>
                <w:color w:val="auto"/>
                <w:w w:val="88"/>
              </w:rPr>
              <w:t>Proposal</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à</w:t>
            </w: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AGAINST</w:t>
            </w: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FOR ALL</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jc w:val="center"/>
              <w:ind w:right="3470"/>
              <w:spacing w:after="0"/>
              <w:rPr>
                <w:sz w:val="20"/>
                <w:szCs w:val="20"/>
                <w:color w:val="auto"/>
              </w:rPr>
            </w:pPr>
            <w:r>
              <w:rPr>
                <w:rFonts w:ascii="Arial" w:cs="Arial" w:eastAsia="Arial" w:hAnsi="Arial"/>
                <w:sz w:val="18"/>
                <w:szCs w:val="18"/>
                <w:b w:val="1"/>
                <w:bCs w:val="1"/>
                <w:color w:val="auto"/>
                <w:w w:val="79"/>
              </w:rPr>
              <w:t>1</w:t>
            </w:r>
          </w:p>
        </w:tc>
        <w:tc>
          <w:tcPr>
            <w:tcW w:w="220" w:type="dxa"/>
            <w:vAlign w:val="bottom"/>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ALL</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ALL</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EXCEPT</w:t>
            </w: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460" w:type="dxa"/>
            <w:vAlign w:val="bottom"/>
            <w:tcBorders>
              <w:top w:val="single" w:sz="8" w:color="auto"/>
            </w:tcBorders>
          </w:tcPr>
          <w:p>
            <w:pPr>
              <w:ind w:left="800"/>
              <w:spacing w:after="0" w:line="201" w:lineRule="exact"/>
              <w:rPr>
                <w:sz w:val="20"/>
                <w:szCs w:val="20"/>
                <w:color w:val="auto"/>
              </w:rPr>
            </w:pPr>
            <w:r>
              <w:rPr>
                <w:rFonts w:ascii="Arial" w:cs="Arial" w:eastAsia="Arial" w:hAnsi="Arial"/>
                <w:sz w:val="18"/>
                <w:szCs w:val="18"/>
                <w:color w:val="auto"/>
              </w:rPr>
              <w:t>Election of Directors:</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460" w:type="dxa"/>
            <w:vAlign w:val="bottom"/>
          </w:tcPr>
          <w:p>
            <w:pPr>
              <w:ind w:left="960"/>
              <w:spacing w:after="0" w:line="183" w:lineRule="exact"/>
              <w:rPr>
                <w:sz w:val="20"/>
                <w:szCs w:val="20"/>
                <w:color w:val="auto"/>
              </w:rPr>
            </w:pPr>
            <w:r>
              <w:rPr>
                <w:rFonts w:ascii="Arial" w:cs="Arial" w:eastAsia="Arial" w:hAnsi="Arial"/>
                <w:sz w:val="18"/>
                <w:szCs w:val="18"/>
                <w:color w:val="auto"/>
              </w:rPr>
              <w:t>Jeffrey J. Abrams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960"/>
              <w:spacing w:after="0"/>
              <w:rPr>
                <w:sz w:val="20"/>
                <w:szCs w:val="20"/>
                <w:color w:val="auto"/>
              </w:rPr>
            </w:pPr>
            <w:r>
              <w:rPr>
                <w:rFonts w:ascii="Arial" w:cs="Arial" w:eastAsia="Arial" w:hAnsi="Arial"/>
                <w:sz w:val="18"/>
                <w:szCs w:val="18"/>
                <w:color w:val="auto"/>
              </w:rPr>
              <w:t>Stephen Austin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CONTROL ID: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960"/>
              <w:spacing w:after="0"/>
              <w:rPr>
                <w:sz w:val="20"/>
                <w:szCs w:val="20"/>
                <w:color w:val="auto"/>
              </w:rPr>
            </w:pPr>
            <w:r>
              <w:rPr>
                <w:rFonts w:ascii="Arial" w:cs="Arial" w:eastAsia="Arial" w:hAnsi="Arial"/>
                <w:sz w:val="18"/>
                <w:szCs w:val="18"/>
                <w:color w:val="auto"/>
              </w:rPr>
              <w:t>August Bassani</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REQUEST ID: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960"/>
              <w:spacing w:after="0"/>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960"/>
              <w:spacing w:after="0"/>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44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Paul Finnegan</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460" w:type="dxa"/>
            <w:vAlign w:val="bottom"/>
          </w:tcPr>
          <w:p>
            <w:pPr>
              <w:jc w:val="center"/>
              <w:ind w:right="3570"/>
              <w:spacing w:after="0" w:line="198" w:lineRule="exact"/>
              <w:rPr>
                <w:sz w:val="20"/>
                <w:szCs w:val="20"/>
                <w:color w:val="auto"/>
              </w:rPr>
            </w:pPr>
            <w:r>
              <w:rPr>
                <w:rFonts w:ascii="Arial" w:cs="Arial" w:eastAsia="Arial" w:hAnsi="Arial"/>
                <w:sz w:val="18"/>
                <w:szCs w:val="18"/>
                <w:b w:val="1"/>
                <w:bCs w:val="1"/>
                <w:color w:val="auto"/>
                <w:w w:val="88"/>
              </w:rPr>
              <w:t>Proposal</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à</w:t>
            </w: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jc w:val="center"/>
              <w:ind w:right="3470"/>
              <w:spacing w:after="0"/>
              <w:rPr>
                <w:sz w:val="20"/>
                <w:szCs w:val="20"/>
                <w:color w:val="auto"/>
              </w:rPr>
            </w:pPr>
            <w:r>
              <w:rPr>
                <w:rFonts w:ascii="Arial" w:cs="Arial" w:eastAsia="Arial" w:hAnsi="Arial"/>
                <w:sz w:val="18"/>
                <w:szCs w:val="18"/>
                <w:b w:val="1"/>
                <w:bCs w:val="1"/>
                <w:color w:val="auto"/>
                <w:w w:val="79"/>
              </w:rPr>
              <w:t>2</w:t>
            </w:r>
          </w:p>
        </w:tc>
        <w:tc>
          <w:tcPr>
            <w:tcW w:w="2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460" w:type="dxa"/>
            <w:vAlign w:val="bottom"/>
            <w:tcBorders>
              <w:top w:val="single" w:sz="8" w:color="auto"/>
            </w:tcBorders>
          </w:tcPr>
          <w:p>
            <w:pPr>
              <w:ind w:left="800"/>
              <w:spacing w:after="0" w:line="201" w:lineRule="exact"/>
              <w:rPr>
                <w:sz w:val="20"/>
                <w:szCs w:val="20"/>
                <w:color w:val="auto"/>
              </w:rPr>
            </w:pPr>
            <w:r>
              <w:rPr>
                <w:rFonts w:ascii="Arial" w:cs="Arial" w:eastAsia="Arial" w:hAnsi="Arial"/>
                <w:sz w:val="18"/>
                <w:szCs w:val="18"/>
                <w:color w:val="auto"/>
              </w:rPr>
              <w:t>To ratify the selection of KMJ Corbin and</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w w:val="97"/>
              </w:rPr>
              <w:t>Company, LLP as the Company’s independent</w:t>
            </w:r>
          </w:p>
        </w:tc>
        <w:tc>
          <w:tcPr>
            <w:tcW w:w="220" w:type="dxa"/>
            <w:vAlign w:val="bottom"/>
          </w:tcPr>
          <w:p>
            <w:pPr>
              <w:spacing w:after="0"/>
              <w:rPr>
                <w:sz w:val="18"/>
                <w:szCs w:val="18"/>
                <w:color w:val="auto"/>
              </w:rPr>
            </w:pP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460" w:type="dxa"/>
            <w:vAlign w:val="bottom"/>
            <w:vMerge w:val="restart"/>
          </w:tcPr>
          <w:p>
            <w:pPr>
              <w:ind w:left="800"/>
              <w:spacing w:after="0"/>
              <w:rPr>
                <w:sz w:val="20"/>
                <w:szCs w:val="20"/>
                <w:color w:val="auto"/>
              </w:rPr>
            </w:pPr>
            <w:r>
              <w:rPr>
                <w:rFonts w:ascii="Arial" w:cs="Arial" w:eastAsia="Arial" w:hAnsi="Arial"/>
                <w:sz w:val="18"/>
                <w:szCs w:val="18"/>
                <w:color w:val="auto"/>
              </w:rPr>
              <w:t>registered public accounting firm for the fiscal</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rPr>
              <w:t>year ending December 31, 2013.</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460" w:type="dxa"/>
            <w:vAlign w:val="bottom"/>
          </w:tcPr>
          <w:p>
            <w:pPr>
              <w:jc w:val="center"/>
              <w:ind w:right="3570"/>
              <w:spacing w:after="0" w:line="198" w:lineRule="exact"/>
              <w:rPr>
                <w:sz w:val="20"/>
                <w:szCs w:val="20"/>
                <w:color w:val="auto"/>
              </w:rPr>
            </w:pPr>
            <w:r>
              <w:rPr>
                <w:rFonts w:ascii="Arial" w:cs="Arial" w:eastAsia="Arial" w:hAnsi="Arial"/>
                <w:sz w:val="18"/>
                <w:szCs w:val="18"/>
                <w:b w:val="1"/>
                <w:bCs w:val="1"/>
                <w:color w:val="auto"/>
                <w:w w:val="88"/>
              </w:rPr>
              <w:t>Proposal</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à</w:t>
            </w: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jc w:val="center"/>
              <w:ind w:right="3470"/>
              <w:spacing w:after="0"/>
              <w:rPr>
                <w:sz w:val="20"/>
                <w:szCs w:val="20"/>
                <w:color w:val="auto"/>
              </w:rPr>
            </w:pPr>
            <w:r>
              <w:rPr>
                <w:rFonts w:ascii="Arial" w:cs="Arial" w:eastAsia="Arial" w:hAnsi="Arial"/>
                <w:sz w:val="18"/>
                <w:szCs w:val="18"/>
                <w:b w:val="1"/>
                <w:bCs w:val="1"/>
                <w:color w:val="auto"/>
                <w:w w:val="79"/>
              </w:rPr>
              <w:t>3</w:t>
            </w:r>
          </w:p>
        </w:tc>
        <w:tc>
          <w:tcPr>
            <w:tcW w:w="2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460" w:type="dxa"/>
            <w:vAlign w:val="bottom"/>
            <w:tcBorders>
              <w:top w:val="single" w:sz="8" w:color="auto"/>
            </w:tcBorders>
          </w:tcPr>
          <w:p>
            <w:pPr>
              <w:ind w:left="800"/>
              <w:spacing w:after="0" w:line="201" w:lineRule="exact"/>
              <w:rPr>
                <w:sz w:val="20"/>
                <w:szCs w:val="20"/>
                <w:color w:val="auto"/>
              </w:rPr>
            </w:pPr>
            <w:r>
              <w:rPr>
                <w:rFonts w:ascii="Arial" w:cs="Arial" w:eastAsia="Arial" w:hAnsi="Arial"/>
                <w:sz w:val="18"/>
                <w:szCs w:val="18"/>
                <w:color w:val="auto"/>
              </w:rPr>
              <w:t>To approve, on an advisory basis, the</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w w:val="91"/>
              </w:rPr>
              <w:t>compensation of the Company’s named executive</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rPr>
              <w:t>officers.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460" w:type="dxa"/>
            <w:vAlign w:val="bottom"/>
          </w:tcPr>
          <w:p>
            <w:pPr>
              <w:jc w:val="center"/>
              <w:ind w:right="3570"/>
              <w:spacing w:after="0" w:line="198" w:lineRule="exact"/>
              <w:rPr>
                <w:sz w:val="20"/>
                <w:szCs w:val="20"/>
                <w:color w:val="auto"/>
              </w:rPr>
            </w:pPr>
            <w:r>
              <w:rPr>
                <w:rFonts w:ascii="Arial" w:cs="Arial" w:eastAsia="Arial" w:hAnsi="Arial"/>
                <w:sz w:val="18"/>
                <w:szCs w:val="18"/>
                <w:b w:val="1"/>
                <w:bCs w:val="1"/>
                <w:color w:val="auto"/>
                <w:w w:val="88"/>
              </w:rPr>
              <w:t>Proposal</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à</w:t>
            </w: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ONE</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TWO YEARS</w:t>
            </w: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THREE</w:t>
            </w:r>
          </w:p>
        </w:tc>
        <w:tc>
          <w:tcPr>
            <w:tcW w:w="3520" w:type="dxa"/>
            <w:vAlign w:val="bottom"/>
            <w:vMerge w:val="restart"/>
          </w:tcPr>
          <w:p>
            <w:pPr>
              <w:jc w:val="right"/>
              <w:ind w:right="2570"/>
              <w:spacing w:after="0"/>
              <w:rPr>
                <w:sz w:val="20"/>
                <w:szCs w:val="20"/>
                <w:color w:val="auto"/>
              </w:rPr>
            </w:pPr>
            <w:r>
              <w:rPr>
                <w:rFonts w:ascii="Arial" w:cs="Arial" w:eastAsia="Arial" w:hAnsi="Arial"/>
                <w:sz w:val="18"/>
                <w:szCs w:val="18"/>
                <w:b w:val="1"/>
                <w:bCs w:val="1"/>
                <w:color w:val="auto"/>
              </w:rPr>
              <w:t>ABSTAIN</w:t>
            </w: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jc w:val="center"/>
              <w:ind w:right="3470"/>
              <w:spacing w:after="0"/>
              <w:rPr>
                <w:sz w:val="20"/>
                <w:szCs w:val="20"/>
                <w:color w:val="auto"/>
              </w:rPr>
            </w:pPr>
            <w:r>
              <w:rPr>
                <w:rFonts w:ascii="Arial" w:cs="Arial" w:eastAsia="Arial" w:hAnsi="Arial"/>
                <w:sz w:val="18"/>
                <w:szCs w:val="18"/>
                <w:b w:val="1"/>
                <w:bCs w:val="1"/>
                <w:color w:val="auto"/>
                <w:w w:val="79"/>
              </w:rPr>
              <w:t>4</w:t>
            </w:r>
          </w:p>
        </w:tc>
        <w:tc>
          <w:tcPr>
            <w:tcW w:w="220" w:type="dxa"/>
            <w:vAlign w:val="bottom"/>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YEAR</w:t>
            </w:r>
          </w:p>
        </w:tc>
        <w:tc>
          <w:tcPr>
            <w:tcW w:w="144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YEARS</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460" w:type="dxa"/>
            <w:vAlign w:val="bottom"/>
            <w:tcBorders>
              <w:top w:val="single" w:sz="8" w:color="auto"/>
            </w:tcBorders>
          </w:tcPr>
          <w:p>
            <w:pPr>
              <w:ind w:left="800"/>
              <w:spacing w:after="0" w:line="201" w:lineRule="exact"/>
              <w:rPr>
                <w:sz w:val="20"/>
                <w:szCs w:val="20"/>
                <w:color w:val="auto"/>
              </w:rPr>
            </w:pPr>
            <w:r>
              <w:rPr>
                <w:rFonts w:ascii="Arial" w:cs="Arial" w:eastAsia="Arial" w:hAnsi="Arial"/>
                <w:sz w:val="18"/>
                <w:szCs w:val="18"/>
                <w:color w:val="auto"/>
                <w:w w:val="91"/>
              </w:rPr>
              <w:t>To vote, on an advisory basis, on the frequency of</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20" w:type="dxa"/>
            <w:vAlign w:val="bottom"/>
            <w:tcBorders>
              <w:top w:val="single" w:sz="8" w:color="auto"/>
            </w:tcBorders>
            <w:vMerge w:val="restart"/>
          </w:tcPr>
          <w:p>
            <w:pPr>
              <w:jc w:val="right"/>
              <w:ind w:right="28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w w:val="94"/>
              </w:rPr>
              <w:t>holding an advisory vote on the compensation of</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460" w:type="dxa"/>
            <w:vAlign w:val="bottom"/>
          </w:tcPr>
          <w:p>
            <w:pPr>
              <w:ind w:left="800"/>
              <w:spacing w:after="0"/>
              <w:rPr>
                <w:sz w:val="20"/>
                <w:szCs w:val="20"/>
                <w:color w:val="auto"/>
              </w:rPr>
            </w:pPr>
            <w:r>
              <w:rPr>
                <w:rFonts w:ascii="Arial" w:cs="Arial" w:eastAsia="Arial" w:hAnsi="Arial"/>
                <w:sz w:val="18"/>
                <w:szCs w:val="18"/>
                <w:color w:val="auto"/>
              </w:rPr>
              <w:t>the Company’s named executive officers.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274320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428625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20"/>
          </w:cols>
          <w:pgMar w:left="140" w:top="5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right="580"/>
        <w:spacing w:after="0" w:line="289"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To transact such other business as may</w:t>
      </w:r>
      <w:r>
        <w:rPr>
          <w:rFonts w:ascii="Arial" w:cs="Arial" w:eastAsia="Arial" w:hAnsi="Arial"/>
          <w:sz w:val="17"/>
          <w:szCs w:val="17"/>
          <w:b w:val="1"/>
          <w:bCs w:val="1"/>
          <w:color w:val="auto"/>
        </w:rPr>
        <w:t xml:space="preserve"> </w:t>
      </w:r>
      <w:r>
        <w:rPr>
          <w:rFonts w:ascii="Arial" w:cs="Arial" w:eastAsia="Arial" w:hAnsi="Arial"/>
          <w:sz w:val="17"/>
          <w:szCs w:val="17"/>
          <w:color w:val="auto"/>
        </w:rPr>
        <w:t>properly come before the Annual 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b w:val="1"/>
          <w:bCs w:val="1"/>
          <w:color w:val="auto"/>
        </w:rPr>
        <w:t xml:space="preserve">MARK “X” HERE IF YOU PLAN TO ATTEND THE MEETING: </w:t>
      </w:r>
      <w:r>
        <w:rPr>
          <w:rFonts w:ascii="MS PGothic" w:cs="MS PGothic" w:eastAsia="MS PGothic" w:hAnsi="MS PGothic"/>
          <w:sz w:val="18"/>
          <w:szCs w:val="18"/>
          <w:color w:val="auto"/>
          <w:highlight w:val="black"/>
        </w:rPr>
        <w:t>☐</w:t>
      </w:r>
    </w:p>
    <w:p>
      <w:pPr>
        <w:spacing w:after="0" w:line="225"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MARK HERE FOR ADDRESS CHANGE  </w:t>
      </w:r>
      <w:r>
        <w:rPr>
          <w:rFonts w:ascii="MS PGothic" w:cs="MS PGothic" w:eastAsia="MS PGothic" w:hAnsi="MS PGothic"/>
          <w:sz w:val="17"/>
          <w:szCs w:val="17"/>
          <w:color w:val="auto"/>
        </w:rPr>
        <w:t>☐</w:t>
      </w:r>
      <w:r>
        <w:rPr>
          <w:rFonts w:ascii="Arial" w:cs="Arial" w:eastAsia="Arial" w:hAnsi="Arial"/>
          <w:sz w:val="17"/>
          <w:szCs w:val="17"/>
          <w:color w:val="auto"/>
        </w:rPr>
        <w:t xml:space="preserve"> New Address (if applicable):</w:t>
      </w:r>
    </w:p>
    <w:p>
      <w:pPr>
        <w:spacing w:after="0" w:line="6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IMPORTANT: </w:t>
      </w:r>
      <w:r>
        <w:rPr>
          <w:rFonts w:ascii="Arial" w:cs="Arial" w:eastAsia="Arial" w:hAnsi="Arial"/>
          <w:sz w:val="17"/>
          <w:szCs w:val="17"/>
          <w:color w:val="auto"/>
        </w:rPr>
        <w:t>Please sign exactly as your name or names appear on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36791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 and/or Joint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36791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36791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(Second 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235585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2">
        <w:col w:w="5000" w:space="720"/>
        <w:col w:w="5800"/>
      </w:cols>
      <w:pgMar w:left="140" w:top="51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o"/>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o"/>
      <w:numFmt w:val="bullet"/>
      <w:start w:val="1"/>
    </w:lvl>
    <w:lvl w:ilvl="1">
      <w:lvlJc w:val="left"/>
      <w:lvlText w:val="(%2)"/>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lvl w:ilvl="1">
      <w:lvlJc w:val="left"/>
      <w:lvlText w:val="(%2)"/>
      <w:numFmt w:val="decimal"/>
      <w:start w:val="2"/>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1"/>
    </w:lvl>
    <w:lvl w:ilvl="1">
      <w:lvlJc w:val="left"/>
      <w:lvlText w:val="(%2)"/>
      <w:numFmt w:val="decimal"/>
      <w:start w:val="2"/>
    </w:lvl>
    <w:lvl w:ilvl="2">
      <w:lvlJc w:val="left"/>
      <w:lvlText w:val="(%3)"/>
      <w:numFmt w:val="decimal"/>
      <w:start w:val="4"/>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
    </w:lvl>
    <w:lvl w:ilvl="1">
      <w:lvlJc w:val="left"/>
      <w:lvlText w:val="(%2)"/>
      <w:numFmt w:val="decimal"/>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2020-02-25T13:01:36Z</dcterms:created>
  <dcterms:modified xsi:type="dcterms:W3CDTF">2020-02-25T13:01:36Z</dcterms:modified>
</cp:coreProperties>
</file>