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25,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9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102 Woodmont Blvd., Suite 610</w:t>
            </w:r>
          </w:p>
        </w:tc>
        <w:tc>
          <w:tcPr>
            <w:tcW w:w="3160" w:type="dxa"/>
            <w:vAlign w:val="bottom"/>
          </w:tcPr>
          <w:p>
            <w:pPr>
              <w:spacing w:after="0"/>
              <w:rPr>
                <w:sz w:val="24"/>
                <w:szCs w:val="24"/>
                <w:color w:val="auto"/>
              </w:rPr>
            </w:pPr>
          </w:p>
        </w:tc>
      </w:tr>
      <w:tr>
        <w:trPr>
          <w:trHeight w:val="216"/>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86"/>
              </w:rPr>
              <w:t>Nashville, Tennessee 37205</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37205</w:t>
            </w:r>
          </w:p>
        </w:tc>
      </w:t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 2017 Incentive Stock and Awards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(615) 733-4730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H. Nixon III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Waller Lansden Dortch &amp; Davis,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511 Union Street, Suite 2700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(615) 244-6380</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00" w:type="dxa"/>
            <w:vAlign w:val="bottom"/>
          </w:tcPr>
          <w:p>
            <w:pPr>
              <w:ind w:left="880"/>
              <w:spacing w:after="0"/>
              <w:rPr>
                <w:sz w:val="20"/>
                <w:szCs w:val="20"/>
                <w:color w:val="auto"/>
              </w:rPr>
            </w:pPr>
            <w:r>
              <w:rPr>
                <w:rFonts w:ascii="Arial" w:cs="Arial" w:eastAsia="Arial" w:hAnsi="Arial"/>
                <w:sz w:val="18"/>
                <w:szCs w:val="18"/>
                <w:color w:val="auto"/>
              </w:rPr>
              <w:t>[ ]</w:t>
            </w:r>
          </w:p>
        </w:tc>
        <w:tc>
          <w:tcPr>
            <w:tcW w:w="422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700" w:type="dxa"/>
            <w:vAlign w:val="bottom"/>
          </w:tcPr>
          <w:p>
            <w:pPr>
              <w:ind w:left="880"/>
              <w:spacing w:after="0"/>
              <w:rPr>
                <w:sz w:val="20"/>
                <w:szCs w:val="20"/>
                <w:color w:val="auto"/>
              </w:rPr>
            </w:pPr>
            <w:r>
              <w:rPr>
                <w:rFonts w:ascii="Arial" w:cs="Arial" w:eastAsia="Arial" w:hAnsi="Arial"/>
                <w:sz w:val="18"/>
                <w:szCs w:val="18"/>
                <w:color w:val="auto"/>
              </w:rPr>
              <w:t>[X]</w:t>
            </w:r>
          </w:p>
        </w:tc>
        <w:tc>
          <w:tcPr>
            <w:tcW w:w="4220" w:type="dxa"/>
            <w:vAlign w:val="bottom"/>
          </w:tcPr>
          <w:p>
            <w:pPr>
              <w:ind w:left="1560"/>
              <w:spacing w:after="0"/>
              <w:rPr>
                <w:sz w:val="20"/>
                <w:szCs w:val="20"/>
                <w:color w:val="auto"/>
              </w:rPr>
            </w:pPr>
            <w:r>
              <w:rPr>
                <w:rFonts w:ascii="Arial" w:cs="Arial" w:eastAsia="Arial" w:hAnsi="Arial"/>
                <w:sz w:val="18"/>
                <w:szCs w:val="18"/>
                <w:color w:val="auto"/>
              </w:rPr>
              <w:t>Smaller reporting company</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w w:val="99"/>
              </w:rPr>
              <w:t>[X]</w:t>
            </w:r>
          </w:p>
        </w:tc>
      </w:tr>
      <w:tr>
        <w:trPr>
          <w:trHeight w:val="230"/>
        </w:trPr>
        <w:tc>
          <w:tcPr>
            <w:tcW w:w="2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20" w:type="dxa"/>
            <w:vAlign w:val="bottom"/>
          </w:tcPr>
          <w:p>
            <w:pPr>
              <w:ind w:left="15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420" w:type="dxa"/>
            <w:vAlign w:val="bottom"/>
            <w:gridSpan w:val="8"/>
          </w:tcPr>
          <w:p>
            <w:pPr>
              <w:ind w:left="400"/>
              <w:spacing w:after="0"/>
              <w:rPr>
                <w:sz w:val="20"/>
                <w:szCs w:val="20"/>
                <w:color w:val="auto"/>
              </w:rPr>
            </w:pPr>
            <w:r>
              <w:rPr>
                <w:rFonts w:ascii="Arial" w:cs="Arial" w:eastAsia="Arial" w:hAnsi="Arial"/>
                <w:sz w:val="18"/>
                <w:szCs w:val="18"/>
                <w:b w:val="1"/>
                <w:bCs w:val="1"/>
                <w:color w:val="auto"/>
              </w:rPr>
              <w:t>CALCULATION OF REGISTRATION FEE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3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Proposed</w:t>
            </w:r>
          </w:p>
        </w:tc>
        <w:tc>
          <w:tcPr>
            <w:tcW w:w="2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maximum</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Title of securities to be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9"/>
              </w:rPr>
              <w:t>Amount to be</w:t>
            </w:r>
          </w:p>
        </w:tc>
        <w:tc>
          <w:tcPr>
            <w:tcW w:w="1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maximum offering</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aggregate offering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registration</w:t>
            </w:r>
          </w:p>
        </w:tc>
      </w:tr>
      <w:tr>
        <w:trPr>
          <w:trHeight w:val="277"/>
        </w:trPr>
        <w:tc>
          <w:tcPr>
            <w:tcW w:w="35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7"/>
              </w:rPr>
              <w:t>registered</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 xml:space="preserve">registered </w:t>
            </w:r>
            <w:r>
              <w:rPr>
                <w:rFonts w:ascii="Arial" w:cs="Arial" w:eastAsia="Arial" w:hAnsi="Arial"/>
                <w:sz w:val="29"/>
                <w:szCs w:val="29"/>
                <w:b w:val="1"/>
                <w:bCs w:val="1"/>
                <w:color w:val="auto"/>
                <w:w w:val="84"/>
                <w:vertAlign w:val="superscript"/>
              </w:rPr>
              <w:t>(1)</w:t>
            </w: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2"/>
          </w:tcPr>
          <w:p>
            <w:pPr>
              <w:ind w:left="20"/>
              <w:spacing w:after="0" w:line="270" w:lineRule="exact"/>
              <w:rPr>
                <w:sz w:val="20"/>
                <w:szCs w:val="20"/>
                <w:color w:val="auto"/>
              </w:rPr>
            </w:pPr>
            <w:r>
              <w:rPr>
                <w:rFonts w:ascii="Arial" w:cs="Arial" w:eastAsia="Arial" w:hAnsi="Arial"/>
                <w:sz w:val="18"/>
                <w:szCs w:val="18"/>
                <w:b w:val="1"/>
                <w:bCs w:val="1"/>
                <w:color w:val="auto"/>
                <w:w w:val="88"/>
              </w:rPr>
              <w:t xml:space="preserve">price per share </w:t>
            </w:r>
            <w:r>
              <w:rPr>
                <w:rFonts w:ascii="Arial" w:cs="Arial" w:eastAsia="Arial" w:hAnsi="Arial"/>
                <w:sz w:val="29"/>
                <w:szCs w:val="29"/>
                <w:b w:val="1"/>
                <w:bCs w:val="1"/>
                <w:color w:val="auto"/>
                <w:w w:val="88"/>
                <w:vertAlign w:val="superscript"/>
              </w:rPr>
              <w:t>(3)</w:t>
            </w: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30"/>
              <w:spacing w:after="0" w:line="270" w:lineRule="exact"/>
              <w:rPr>
                <w:sz w:val="20"/>
                <w:szCs w:val="20"/>
                <w:color w:val="auto"/>
              </w:rPr>
            </w:pPr>
            <w:r>
              <w:rPr>
                <w:rFonts w:ascii="Arial" w:cs="Arial" w:eastAsia="Arial" w:hAnsi="Arial"/>
                <w:sz w:val="18"/>
                <w:szCs w:val="18"/>
                <w:b w:val="1"/>
                <w:bCs w:val="1"/>
                <w:color w:val="auto"/>
                <w:w w:val="83"/>
              </w:rPr>
              <w:t xml:space="preserve">price </w:t>
            </w:r>
            <w:r>
              <w:rPr>
                <w:rFonts w:ascii="Arial" w:cs="Arial" w:eastAsia="Arial" w:hAnsi="Arial"/>
                <w:sz w:val="29"/>
                <w:szCs w:val="29"/>
                <w:b w:val="1"/>
                <w:bCs w:val="1"/>
                <w:color w:val="auto"/>
                <w:w w:val="83"/>
                <w:vertAlign w:val="superscript"/>
              </w:rPr>
              <w:t>(3)</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Borders>
              <w:bottom w:val="single" w:sz="8" w:color="CCEEFF"/>
            </w:tcBorders>
          </w:tcPr>
          <w:p>
            <w:pPr>
              <w:spacing w:after="0"/>
              <w:rPr>
                <w:sz w:val="24"/>
                <w:szCs w:val="24"/>
                <w:color w:val="auto"/>
              </w:rPr>
            </w:pPr>
          </w:p>
        </w:tc>
      </w:tr>
      <w:tr>
        <w:trPr>
          <w:trHeight w:val="24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35,240,000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3,844.69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4"/>
          <w:szCs w:val="24"/>
          <w:color w:val="auto"/>
        </w:rPr>
      </w:pPr>
    </w:p>
    <w:p>
      <w:pPr>
        <w:jc w:val="both"/>
        <w:ind w:left="3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that become issuable under the Harrow Health, Inc. 2017 Incentive Stock and Awards Plan (the “Plan”), by reason of any</w:t>
      </w:r>
    </w:p>
    <w:p>
      <w:pPr>
        <w:sectPr>
          <w:pgSz w:w="11900" w:h="16969" w:orient="portrait"/>
          <w:cols w:equalWidth="0" w:num="1">
            <w:col w:w="11240"/>
          </w:cols>
          <w:pgMar w:left="320" w:top="445" w:right="339" w:bottom="0" w:gutter="0" w:footer="0" w:header="0"/>
        </w:sectPr>
      </w:pPr>
    </w:p>
    <w:bookmarkStart w:id="1" w:name="page2"/>
    <w:bookmarkEnd w:id="1"/>
    <w:p>
      <w:pPr>
        <w:ind w:left="332"/>
        <w:spacing w:after="0" w:line="258" w:lineRule="auto"/>
        <w:rPr>
          <w:sz w:val="20"/>
          <w:szCs w:val="20"/>
          <w:color w:val="auto"/>
        </w:rPr>
      </w:pPr>
      <w:r>
        <w:rPr>
          <w:rFonts w:ascii="Arial" w:cs="Arial" w:eastAsia="Arial" w:hAnsi="Arial"/>
          <w:sz w:val="18"/>
          <w:szCs w:val="18"/>
          <w:color w:val="auto"/>
        </w:rPr>
        <w:t>stock dividend, stock split, recapitalization, merger, consolidation or reorganization of or by us that results in an increase in the number of shares of our outstanding common stock.</w:t>
      </w:r>
    </w:p>
    <w:p>
      <w:pPr>
        <w:spacing w:after="0" w:line="1" w:lineRule="exact"/>
        <w:rPr>
          <w:sz w:val="20"/>
          <w:szCs w:val="20"/>
          <w:color w:val="auto"/>
        </w:rPr>
      </w:pPr>
    </w:p>
    <w:p>
      <w:pPr>
        <w:jc w:val="both"/>
        <w:ind w:left="332" w:hanging="332"/>
        <w:spacing w:after="0" w:line="281" w:lineRule="auto"/>
        <w:tabs>
          <w:tab w:leader="none" w:pos="33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Plan authorizes the issuance of a maximum of 6,000,000 shares of common stock, of which 2,000,000 shares have been registered pursuant to a previously filed registration statement on Form S-8 (Reg. No. 333-220186). An additional 4,000,000 shares of common stock are being registered herewith and, in accordance with General Instruction E of Form S-8, the fee is being paid only with respect to these additional shares.</w:t>
      </w:r>
    </w:p>
    <w:p>
      <w:pPr>
        <w:spacing w:after="0" w:line="1" w:lineRule="exact"/>
        <w:rPr>
          <w:rFonts w:ascii="Arial" w:cs="Arial" w:eastAsia="Arial" w:hAnsi="Arial"/>
          <w:sz w:val="16"/>
          <w:szCs w:val="16"/>
          <w:color w:val="auto"/>
        </w:rPr>
      </w:pPr>
    </w:p>
    <w:p>
      <w:pPr>
        <w:jc w:val="both"/>
        <w:ind w:left="332" w:right="20" w:hanging="332"/>
        <w:spacing w:after="0" w:line="277" w:lineRule="auto"/>
        <w:tabs>
          <w:tab w:leader="none" w:pos="33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proposed maximum offering price is calculated pursuant to Rule 457(c) and Rule 457(h) under the Securities Act on the basis of the average of the $9.51 (high) and $8.10 (low) sale prices for the shares of common stock reported on The NASDAQ Global Market on June 22, 2021, which is within five business days prior to filing this Registration Statement and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470535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registration statement is being filed pursuant to General Instruction E to Form S-8 and relates to the registration of an additional 4,000,000 shares of common stock of Harrow Health, Inc. f/k/a Imprimis Pharmaceuticals, Inc. (the “Registrant”) issuable pursuant to the Harrow Health, Inc. 2017 Incentive Stock and Awards Plan. The contents of the Registrant’s registration statement on Form S-8 previously filed with the Securities and Exchange Commission (the “SEC”) on August 25, 2017 (Reg. No. 333-220186), including all exhibits filed therewith or incorporated therein by reference, are incorporated herein by reference and made a part hereof, except as the same may be modified by the information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 allows us to “incorporate by reference” information into this registration statement, which means that we can disclose important information to you by referring you to another document filed separately with the SEC. The following documents, which have been filed by the Registrant with the SEC, are incorporated in this registration statement by reference:</w:t>
      </w:r>
    </w:p>
    <w:p>
      <w:pPr>
        <w:spacing w:after="0" w:line="184" w:lineRule="exact"/>
        <w:rPr>
          <w:sz w:val="20"/>
          <w:szCs w:val="20"/>
          <w:color w:val="auto"/>
        </w:rPr>
      </w:pPr>
    </w:p>
    <w:p>
      <w:pPr>
        <w:ind w:left="1240" w:hanging="2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2020;</w:t>
      </w:r>
    </w:p>
    <w:p>
      <w:pPr>
        <w:spacing w:after="0" w:line="225" w:lineRule="exact"/>
        <w:rPr>
          <w:rFonts w:ascii="Arial" w:cs="Arial" w:eastAsia="Arial" w:hAnsi="Arial"/>
          <w:sz w:val="18"/>
          <w:szCs w:val="18"/>
          <w:color w:val="auto"/>
        </w:rPr>
      </w:pPr>
    </w:p>
    <w:p>
      <w:pPr>
        <w:ind w:left="1240" w:hanging="24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2021;</w:t>
      </w:r>
    </w:p>
    <w:p>
      <w:pPr>
        <w:spacing w:after="0" w:line="225" w:lineRule="exact"/>
        <w:rPr>
          <w:rFonts w:ascii="Arial" w:cs="Arial" w:eastAsia="Arial" w:hAnsi="Arial"/>
          <w:sz w:val="18"/>
          <w:szCs w:val="18"/>
          <w:color w:val="auto"/>
        </w:rPr>
      </w:pPr>
    </w:p>
    <w:p>
      <w:pPr>
        <w:jc w:val="both"/>
        <w:ind w:left="500" w:firstLine="492"/>
        <w:spacing w:after="0" w:line="286" w:lineRule="auto"/>
        <w:tabs>
          <w:tab w:leader="none" w:pos="124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Current Reports on Form 8-K filed with the SEC on January 21, 2021, January 27, 2021, February 4, 2021, February 9, 2021, April 5, 2021, April 8, 2021, April 12, 2021, April 20, 2021, May 5, 2021, June 7, 2021 and June 17, 2021 (other than information furnished pursuant to Item 2.02 or Item 7.01 of the Current Report on Form 8-K, unless expressly stated otherwise therein); and</w:t>
      </w:r>
    </w:p>
    <w:p>
      <w:pPr>
        <w:spacing w:after="0" w:line="165" w:lineRule="exact"/>
        <w:rPr>
          <w:rFonts w:ascii="Arial" w:cs="Arial" w:eastAsia="Arial" w:hAnsi="Arial"/>
          <w:sz w:val="17"/>
          <w:szCs w:val="17"/>
          <w:color w:val="auto"/>
        </w:rPr>
      </w:pPr>
    </w:p>
    <w:p>
      <w:pPr>
        <w:jc w:val="both"/>
        <w:ind w:left="500" w:firstLine="492"/>
        <w:spacing w:after="0" w:line="263" w:lineRule="auto"/>
        <w:tabs>
          <w:tab w:leader="none" w:pos="125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with the SEC pursuant to Section 12(b) of the Securities Exchange Act of 1934, as amended (the “Exchange Act”), on February 7, 2013 (Reg. No. 001-35814), including any amendments or reports filed for the purpose of updating such descriptions.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reports and other documents subsequently filed by the Registrant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shares of common stock offered hereby will be passed upon by Waller Lansden Dortch &amp; Davis, LLP, Nashville, Tennessee.</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Registrant is incorporated under the laws of the State of Delaware. 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for this 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both"/>
        <w:ind w:firstLine="648"/>
        <w:spacing w:after="0" w:line="286" w:lineRule="auto"/>
        <w:rPr>
          <w:sz w:val="20"/>
          <w:szCs w:val="20"/>
          <w:color w:val="auto"/>
        </w:rPr>
      </w:pPr>
      <w:r>
        <w:rPr>
          <w:rFonts w:ascii="Arial" w:cs="Arial" w:eastAsia="Arial" w:hAnsi="Arial"/>
          <w:sz w:val="16"/>
          <w:szCs w:val="16"/>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Registrant’s amended and restated bylaws provide that the Registrant must indemnify and hold harmless its directors, officers, employees and agents to the fullest extent authorized by the DGCL and must also pay expenses incurred in defending any such proceeding in advance of its final disposition; provided, that if and to the extent required by the DGCL, the advancement of expenses shall only be made upon delivery of an undertaking, by or on behalf of an indemnified person, to repay all amounts so advanced if it should be determined ultimately that such person is not entitled to be indemnified.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Registrant entered into indemnification agreements with each of its directors and executive officers. These agreements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the Registrant’s certificate of incorporation or bylaws, agreement, vote of stockholders or disinterested directors or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Registrant maintains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20" w:type="dxa"/>
            <w:vAlign w:val="bottom"/>
            <w:gridSpan w:val="13"/>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gridSpan w:val="10"/>
          </w:tcPr>
          <w:p>
            <w:pPr>
              <w:ind w:left="10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200" w:type="dxa"/>
            <w:vAlign w:val="bottom"/>
            <w:tcBorders>
              <w:bottom w:val="single" w:sz="8" w:color="0000EE"/>
            </w:tcBorders>
            <w:gridSpan w:val="12"/>
          </w:tcPr>
          <w:p>
            <w:pPr>
              <w:spacing w:after="0" w:line="17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Amended and Restated Certificate of Incorporation, effective September 10, 2014 (incorporated herein by reference to Exhibit 3.1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Annual Report on Form 10-K of the Registrant filed with the SEC on March 12, 2015).</w:t>
              </w:r>
            </w:hyperlink>
          </w:p>
        </w:tc>
        <w:tc>
          <w:tcPr>
            <w:tcW w:w="392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Amendment to Amended and Restated Certificate of Incorporation, filed July 2, 2018 (incorporated herein by reference to Exhibit 3.1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Current Report on Form 8-K of the Registrant filed with the SEC on July 2,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23">
              <w:r>
                <w:rPr>
                  <w:rFonts w:ascii="Arial" w:cs="Arial" w:eastAsia="Arial" w:hAnsi="Arial"/>
                  <w:sz w:val="18"/>
                  <w:szCs w:val="18"/>
                  <w:color w:val="0000EE"/>
                  <w:w w:val="95"/>
                </w:rPr>
                <w:t>Amendment to Amended and Restated Certificate of Incorporation, filed as of December 27, 2018 (incorporated herein by reference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Exhibit 3.1 to the Current Report on Form 8-K of the Registrant filed with the SEC on December 31,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Certificate of Designation of Series A Convertible Preferred Stock of the Registrant (incorporated herein by reference to Exhibit 3.1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Current Report on Form 8-K of the Registrant filed with the SEC on December 20, 2011).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Certificate of Designation of Series B Cumulative Preferred Stock of the Registrant (incorporated herein by reference to Exhibit 3.1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Current Report on Form 8-K of the Registrant filed with the SEC on May 5, 2021).</w:t>
              </w:r>
            </w:hyperlink>
          </w:p>
        </w:tc>
        <w:tc>
          <w:tcPr>
            <w:tcW w:w="42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Amended and Restated Bylaws of the Registrant (incorporated herein by reference to Exhibit 3.2 to the Annual Report on Form 10-K of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Registrant filed with the SEC on March 28, 2014).</w:t>
              </w:r>
            </w:hyperlink>
          </w:p>
        </w:tc>
        <w:tc>
          <w:tcPr>
            <w:tcW w:w="656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27">
              <w:r>
                <w:rPr>
                  <w:rFonts w:ascii="Arial" w:cs="Arial" w:eastAsia="Arial" w:hAnsi="Arial"/>
                  <w:sz w:val="18"/>
                  <w:szCs w:val="18"/>
                  <w:color w:val="0000EE"/>
                  <w:w w:val="97"/>
                </w:rPr>
                <w:t>Description of the Registrant’s Securities (incorporated herein by reference to Exhibit 4.1 to the Annual Report on Form 10-K of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Registrant filed with the SEC on March 8, 2021).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9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Opinion of Waller Lansden Dortch &amp; Davis, LLP, with respect to the legality of the shares of common stock being registered hereby.</w:t>
              </w:r>
            </w:hyperlink>
          </w:p>
        </w:tc>
        <w:tc>
          <w:tcPr>
            <w:tcW w:w="64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Consent of KMJ Corbin &amp; Company LLP, Independent Registered Public Accounting Firm.</w:t>
              </w:r>
            </w:hyperlink>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6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 xml:space="preserve">Consent of Waller Lansden Dortch &amp; Davis, LLP </w:t>
              </w:r>
              <w:r>
                <w:rPr>
                  <w:rFonts w:ascii="Arial" w:cs="Arial" w:eastAsia="Arial" w:hAnsi="Arial"/>
                  <w:sz w:val="18"/>
                  <w:szCs w:val="18"/>
                  <w:i w:val="1"/>
                  <w:iCs w:val="1"/>
                  <w:color w:val="0000EE"/>
                </w:rPr>
                <w:t>(included in Exhibit 5.1)</w:t>
              </w:r>
              <w:r>
                <w:rPr>
                  <w:rFonts w:ascii="Arial" w:cs="Arial" w:eastAsia="Arial" w:hAnsi="Arial"/>
                  <w:sz w:val="18"/>
                  <w:szCs w:val="18"/>
                  <w:color w:val="0000EE"/>
                </w:rPr>
                <w:t>.</w:t>
              </w:r>
            </w:hyperlink>
          </w:p>
        </w:tc>
        <w:tc>
          <w:tcPr>
            <w:tcW w:w="358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40" w:right="20" w:hanging="1032"/>
        <w:spacing w:after="0" w:line="258" w:lineRule="auto"/>
        <w:tabs>
          <w:tab w:leader="none" w:pos="1040" w:val="left"/>
        </w:tabs>
        <w:numPr>
          <w:ilvl w:val="0"/>
          <w:numId w:val="4"/>
        </w:numPr>
        <w:rPr>
          <w:rFonts w:ascii="Arial" w:cs="Arial" w:eastAsia="Arial" w:hAnsi="Arial"/>
          <w:sz w:val="18"/>
          <w:szCs w:val="18"/>
          <w:i w:val="1"/>
          <w:iCs w:val="1"/>
          <w:u w:val="single" w:color="auto"/>
          <w:color w:val="0000EE"/>
        </w:rPr>
      </w:pPr>
      <w:hyperlink w:anchor="page7">
        <w:r>
          <w:rPr>
            <w:rFonts w:ascii="Arial" w:cs="Arial" w:eastAsia="Arial" w:hAnsi="Arial"/>
            <w:sz w:val="18"/>
            <w:szCs w:val="18"/>
            <w:u w:val="single" w:color="auto"/>
            <w:color w:val="0000EE"/>
          </w:rPr>
          <w:t xml:space="preserve">Power of Attorney of certain officers and directors of the Registrant to file future amendments </w:t>
        </w:r>
        <w:r>
          <w:rPr>
            <w:rFonts w:ascii="Arial" w:cs="Arial" w:eastAsia="Arial" w:hAnsi="Arial"/>
            <w:sz w:val="18"/>
            <w:szCs w:val="18"/>
            <w:i w:val="1"/>
            <w:iCs w:val="1"/>
            <w:u w:val="single" w:color="auto"/>
            <w:color w:val="0000EE"/>
          </w:rPr>
          <w:t>(set forth on the signature page of this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i w:val="1"/>
            <w:iCs w:val="1"/>
            <w:u w:val="single" w:color="auto"/>
            <w:color w:val="0000EE"/>
          </w:rPr>
          <w:t>registration statement)</w:t>
        </w:r>
        <w:r>
          <w:rPr>
            <w:rFonts w:ascii="Arial" w:cs="Arial" w:eastAsia="Arial" w:hAnsi="Arial"/>
            <w:sz w:val="18"/>
            <w:szCs w:val="18"/>
            <w:u w:val="single" w:color="auto"/>
            <w:color w:val="0000EE"/>
          </w:rPr>
          <w:t>.</w:t>
        </w:r>
      </w:hyperlink>
    </w:p>
    <w:tbl>
      <w:tblPr>
        <w:tblLayout w:type="fixed"/>
        <w:tblInd w:w="0" w:type="dxa"/>
        <w:tblCellMar>
          <w:top w:w="0" w:type="dxa"/>
          <w:left w:w="0" w:type="dxa"/>
          <w:bottom w:w="0" w:type="dxa"/>
          <w:right w:w="0" w:type="dxa"/>
        </w:tblCellMar>
      </w:tblPr>
      <w:tr>
        <w:trPr>
          <w:trHeight w:val="177"/>
        </w:trPr>
        <w:tc>
          <w:tcPr>
            <w:tcW w:w="1040" w:type="dxa"/>
            <w:vAlign w:val="bottom"/>
          </w:tcPr>
          <w:p>
            <w:pPr>
              <w:jc w:val="right"/>
              <w:ind w:right="630"/>
              <w:spacing w:after="0" w:line="177" w:lineRule="exact"/>
              <w:rPr>
                <w:sz w:val="20"/>
                <w:szCs w:val="20"/>
                <w:color w:val="auto"/>
              </w:rPr>
            </w:pPr>
            <w:r>
              <w:rPr>
                <w:rFonts w:ascii="Arial" w:cs="Arial" w:eastAsia="Arial" w:hAnsi="Arial"/>
                <w:sz w:val="18"/>
                <w:szCs w:val="18"/>
                <w:color w:val="auto"/>
                <w:w w:val="85"/>
              </w:rPr>
              <w:t>99.1</w:t>
            </w:r>
          </w:p>
        </w:tc>
        <w:tc>
          <w:tcPr>
            <w:tcW w:w="10200" w:type="dxa"/>
            <w:vAlign w:val="bottom"/>
            <w:tcBorders>
              <w:bottom w:val="single" w:sz="8" w:color="0000EE"/>
            </w:tcBorders>
            <w:gridSpan w:val="3"/>
          </w:tcPr>
          <w:p>
            <w:pPr>
              <w:spacing w:after="0" w:line="177"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Harrow Health, Inc. 2017 Incentive Stock and Awards Plan (incorporated herein by reference to Exhibit 10.1 to the Registrant’s Registration</w:t>
              </w:r>
            </w:hyperlink>
          </w:p>
        </w:tc>
      </w:tr>
      <w:tr>
        <w:trPr>
          <w:trHeight w:val="196"/>
        </w:trPr>
        <w:tc>
          <w:tcPr>
            <w:tcW w:w="1040" w:type="dxa"/>
            <w:vAlign w:val="bottom"/>
          </w:tcPr>
          <w:p>
            <w:pPr>
              <w:spacing w:after="0"/>
              <w:rPr>
                <w:sz w:val="17"/>
                <w:szCs w:val="17"/>
                <w:color w:val="auto"/>
              </w:rPr>
            </w:pPr>
          </w:p>
        </w:tc>
        <w:tc>
          <w:tcPr>
            <w:tcW w:w="46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Statement on Form S-8 filed with the SEC on August 25, 2017).</w:t>
              </w:r>
            </w:hyperlink>
          </w:p>
        </w:tc>
        <w:tc>
          <w:tcPr>
            <w:tcW w:w="5580" w:type="dxa"/>
            <w:vAlign w:val="bottom"/>
            <w:gridSpan w:val="2"/>
          </w:tcPr>
          <w:p>
            <w:pPr>
              <w:spacing w:after="0"/>
              <w:rPr>
                <w:sz w:val="17"/>
                <w:szCs w:val="17"/>
                <w:color w:val="auto"/>
              </w:rPr>
            </w:pPr>
          </w:p>
        </w:tc>
      </w:tr>
      <w:tr>
        <w:trPr>
          <w:trHeight w:val="196"/>
        </w:trPr>
        <w:tc>
          <w:tcPr>
            <w:tcW w:w="1040" w:type="dxa"/>
            <w:vAlign w:val="bottom"/>
          </w:tcPr>
          <w:p>
            <w:pPr>
              <w:jc w:val="right"/>
              <w:ind w:right="630"/>
              <w:spacing w:after="0" w:line="196" w:lineRule="exact"/>
              <w:rPr>
                <w:sz w:val="20"/>
                <w:szCs w:val="20"/>
                <w:color w:val="auto"/>
              </w:rPr>
            </w:pPr>
            <w:r>
              <w:rPr>
                <w:rFonts w:ascii="Arial" w:cs="Arial" w:eastAsia="Arial" w:hAnsi="Arial"/>
                <w:sz w:val="18"/>
                <w:szCs w:val="18"/>
                <w:color w:val="auto"/>
                <w:w w:val="85"/>
              </w:rPr>
              <w:t>99.2</w:t>
            </w:r>
          </w:p>
        </w:tc>
        <w:tc>
          <w:tcPr>
            <w:tcW w:w="102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First Amendment to the Harrow Health, Inc. 2017 Incentive Stock and Awards Plan (incorporated herein by reference to Appendix A to the</w:t>
              </w:r>
            </w:hyperlink>
          </w:p>
        </w:tc>
      </w:tr>
      <w:tr>
        <w:trPr>
          <w:trHeight w:val="196"/>
        </w:trPr>
        <w:tc>
          <w:tcPr>
            <w:tcW w:w="1040" w:type="dxa"/>
            <w:vAlign w:val="bottom"/>
          </w:tcPr>
          <w:p>
            <w:pPr>
              <w:spacing w:after="0"/>
              <w:rPr>
                <w:sz w:val="17"/>
                <w:szCs w:val="17"/>
                <w:color w:val="auto"/>
              </w:rPr>
            </w:pPr>
          </w:p>
        </w:tc>
        <w:tc>
          <w:tcPr>
            <w:tcW w:w="56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Registrant’s Definitive Proxy Statement filed with the SEC on April 23, 2021).</w:t>
              </w:r>
            </w:hyperlink>
          </w:p>
        </w:tc>
        <w:tc>
          <w:tcPr>
            <w:tcW w:w="4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078"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81"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660" w:firstLine="644"/>
        <w:spacing w:after="0" w:line="277" w:lineRule="auto"/>
        <w:tabs>
          <w:tab w:leader="none" w:pos="1629"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(a)(l)(i) and (a)(l)(ii)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15(d) of the Exchange Act that are incorporated by reference in the registration statement.</w:t>
      </w:r>
    </w:p>
    <w:p>
      <w:pPr>
        <w:spacing w:after="0" w:line="184" w:lineRule="exact"/>
        <w:rPr>
          <w:sz w:val="20"/>
          <w:szCs w:val="20"/>
          <w:color w:val="auto"/>
        </w:rPr>
      </w:pPr>
    </w:p>
    <w:p>
      <w:pPr>
        <w:jc w:val="both"/>
        <w:ind w:firstLine="656"/>
        <w:spacing w:after="0" w:line="263" w:lineRule="auto"/>
        <w:tabs>
          <w:tab w:leader="none" w:pos="91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firstLine="656"/>
        <w:spacing w:after="0" w:line="277" w:lineRule="auto"/>
        <w:tabs>
          <w:tab w:leader="none" w:pos="93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8"/>
        <w:spacing w:after="0" w:line="257" w:lineRule="auto"/>
        <w:tabs>
          <w:tab w:leader="none" w:pos="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jc w:val="both"/>
        <w:ind w:firstLine="8"/>
        <w:spacing w:after="0" w:line="29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Nashville, state of Tennessee, on June 25, 2021.</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Mark L. Baum and Andrew R. Boll, and each of them individually, as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Signature</w:t>
            </w:r>
          </w:p>
        </w:tc>
        <w:tc>
          <w:tcPr>
            <w:tcW w:w="220" w:type="dxa"/>
            <w:vAlign w:val="bottom"/>
          </w:tcPr>
          <w:p>
            <w:pPr>
              <w:spacing w:after="0"/>
              <w:rPr>
                <w:sz w:val="21"/>
                <w:szCs w:val="21"/>
                <w:color w:val="auto"/>
              </w:rPr>
            </w:pPr>
          </w:p>
        </w:tc>
        <w:tc>
          <w:tcPr>
            <w:tcW w:w="506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8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Mark L. Baum</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25, 2021</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4"/>
              </w:rPr>
              <w:t>Mark L. Baum</w:t>
            </w:r>
          </w:p>
        </w:tc>
        <w:tc>
          <w:tcPr>
            <w:tcW w:w="5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r>
      <w:tr>
        <w:trPr>
          <w:trHeight w:val="43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Andrew R. Boll</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Secretary</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25, 2021</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5"/>
              </w:rPr>
              <w:t>Andrew R. Boll</w:t>
            </w:r>
          </w:p>
        </w:tc>
        <w:tc>
          <w:tcPr>
            <w:tcW w:w="5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0"/>
                <w:szCs w:val="20"/>
                <w:color w:val="auto"/>
              </w:rPr>
            </w:pPr>
          </w:p>
        </w:tc>
      </w:tr>
      <w:tr>
        <w:trPr>
          <w:trHeight w:val="43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Robert J. Kammer</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25, 2021</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1"/>
              </w:rPr>
              <w:t>Robert J. Kammer</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Richard L. Lindstrom</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25, 2021</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5"/>
              </w:rPr>
              <w:t>Richard L. Lindstrom</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5"/>
              </w:rPr>
              <w:t>/s/ Teresa F. Sparks</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25, 2021</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85"/>
              </w:rPr>
              <w:t>Teresa F. Sparks</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R. Lawrence Van Horn</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25, 2021</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1"/>
              </w:rPr>
              <w:t>R. Lawrence Van Horn</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511 Union Street, Suite 2700</w:t>
            </w:r>
          </w:p>
        </w:tc>
        <w:tc>
          <w:tcPr>
            <w:tcW w:w="1820" w:type="dxa"/>
            <w:vAlign w:val="bottom"/>
          </w:tcPr>
          <w:p>
            <w:pPr>
              <w:ind w:left="640"/>
              <w:spacing w:after="0"/>
              <w:rPr>
                <w:sz w:val="20"/>
                <w:szCs w:val="20"/>
                <w:color w:val="auto"/>
              </w:rPr>
            </w:pPr>
            <w:r>
              <w:rPr>
                <w:rFonts w:ascii="Arial" w:cs="Arial" w:eastAsia="Arial" w:hAnsi="Arial"/>
                <w:sz w:val="18"/>
                <w:szCs w:val="18"/>
                <w:color w:val="auto"/>
              </w:rPr>
              <w:t>615.244.6380</w:t>
            </w:r>
          </w:p>
        </w:tc>
        <w:tc>
          <w:tcPr>
            <w:tcW w:w="480" w:type="dxa"/>
            <w:vAlign w:val="bottom"/>
          </w:tcPr>
          <w:p>
            <w:pPr>
              <w:ind w:left="120"/>
              <w:spacing w:after="0"/>
              <w:rPr>
                <w:sz w:val="20"/>
                <w:szCs w:val="20"/>
                <w:color w:val="auto"/>
              </w:rPr>
            </w:pPr>
            <w:r>
              <w:rPr>
                <w:rFonts w:ascii="Arial" w:cs="Arial" w:eastAsia="Arial" w:hAnsi="Arial"/>
                <w:sz w:val="18"/>
                <w:szCs w:val="18"/>
                <w:color w:val="auto"/>
                <w:w w:val="87"/>
              </w:rPr>
              <w:t>main</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P.O. Box 198966</w:t>
            </w:r>
          </w:p>
        </w:tc>
        <w:tc>
          <w:tcPr>
            <w:tcW w:w="1820" w:type="dxa"/>
            <w:vAlign w:val="bottom"/>
          </w:tcPr>
          <w:p>
            <w:pPr>
              <w:ind w:left="640"/>
              <w:spacing w:after="0"/>
              <w:rPr>
                <w:sz w:val="20"/>
                <w:szCs w:val="20"/>
                <w:color w:val="auto"/>
              </w:rPr>
            </w:pPr>
            <w:r>
              <w:rPr>
                <w:rFonts w:ascii="Arial" w:cs="Arial" w:eastAsia="Arial" w:hAnsi="Arial"/>
                <w:sz w:val="18"/>
                <w:szCs w:val="18"/>
                <w:color w:val="auto"/>
              </w:rPr>
              <w:t>615.244.6804</w:t>
            </w:r>
          </w:p>
        </w:tc>
        <w:tc>
          <w:tcPr>
            <w:tcW w:w="480" w:type="dxa"/>
            <w:vAlign w:val="bottom"/>
          </w:tcPr>
          <w:p>
            <w:pPr>
              <w:ind w:left="120"/>
              <w:spacing w:after="0"/>
              <w:rPr>
                <w:sz w:val="20"/>
                <w:szCs w:val="20"/>
                <w:color w:val="auto"/>
              </w:rPr>
            </w:pPr>
            <w:r>
              <w:rPr>
                <w:rFonts w:ascii="Arial" w:cs="Arial" w:eastAsia="Arial" w:hAnsi="Arial"/>
                <w:sz w:val="18"/>
                <w:szCs w:val="18"/>
                <w:color w:val="auto"/>
              </w:rPr>
              <w:t>fax</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Nashville, TN 37219-8966</w:t>
            </w:r>
          </w:p>
        </w:tc>
        <w:tc>
          <w:tcPr>
            <w:tcW w:w="1820" w:type="dxa"/>
            <w:vAlign w:val="bottom"/>
          </w:tcPr>
          <w:p>
            <w:pPr>
              <w:ind w:left="640"/>
              <w:spacing w:after="0"/>
              <w:rPr>
                <w:sz w:val="20"/>
                <w:szCs w:val="20"/>
                <w:color w:val="auto"/>
              </w:rPr>
            </w:pPr>
            <w:r>
              <w:rPr>
                <w:rFonts w:ascii="Arial" w:cs="Arial" w:eastAsia="Arial" w:hAnsi="Arial"/>
                <w:sz w:val="18"/>
                <w:szCs w:val="18"/>
                <w:color w:val="auto"/>
              </w:rPr>
              <w:t>wallerlaw.com</w:t>
            </w:r>
          </w:p>
        </w:tc>
        <w:tc>
          <w:tcPr>
            <w:tcW w:w="4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-445135</wp:posOffset>
            </wp:positionV>
            <wp:extent cx="171450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714500" cy="4629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acted as counsel to Harrow Health, Inc., a Delaware corporation (the “Company”), in connection with the preparation of a Registration Statement on Form S-8 to be filed by the Company under the Securities Act of 1933, as amended (the “Act”), on June 25, 2021 (the “Registration Statement”) relating to the registration of an aggregate of 4,000,000 additional shares of the Company’s common stock, par value $0.001 per share (the “Shares”), for issuance by the Company pursuant to the Company’s 2017 Incentive Stock and Awards Plan (the “Plan”) as set forth in the Registration Statement.</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opinion,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upon the foregoing, we are of the opinion that the Shares, when issued in the manner and on the terms described in the Plan, will be validly issued, fully paid and non-assessable.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hereby admit that we come within the category of persons whose consent is required under Section 7 of the Act or the rules and regulations of the Securities and Exchange Commission promulgated thereunder.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8, 2021, relating to the consolidated financial statements of Harrow Health, Inc. and subsidiaries, appearing in the Annual Report on Form 10-K of Harrow Health, Inc.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2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2"/>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jpeg"/><Relationship Id="rId35" Type="http://schemas.openxmlformats.org/officeDocument/2006/relationships/image" Target="media/image19.png"/><Relationship Id="rId36" Type="http://schemas.openxmlformats.org/officeDocument/2006/relationships/image" Target="media/image20.png"/><Relationship Id="rId21" Type="http://schemas.openxmlformats.org/officeDocument/2006/relationships/hyperlink" Target="https://www.sec.gov/Archives/edgar/data/1360214/000149315215000811/ex3-1.htm" TargetMode="External"/><Relationship Id="rId22" Type="http://schemas.openxmlformats.org/officeDocument/2006/relationships/hyperlink" Target="https://www.sec.gov/Archives/edgar/data/1360214/000149315218009586/ex3-1.htm" TargetMode="External"/><Relationship Id="rId23" Type="http://schemas.openxmlformats.org/officeDocument/2006/relationships/hyperlink" Target="https://www.sec.gov/Archives/edgar/data/1360214/000149315218018103/ex3-1.htm" TargetMode="External"/><Relationship Id="rId24" Type="http://schemas.openxmlformats.org/officeDocument/2006/relationships/hyperlink" Target="https://www.sec.gov/Archives/edgar/data/1360214/000107878211003672/f8k121911_ex3z1.htm" TargetMode="External"/><Relationship Id="rId25" Type="http://schemas.openxmlformats.org/officeDocument/2006/relationships/hyperlink" Target="https://www.sec.gov/Archives/edgar/data/1360214/000149315221010520/ex3-1.htm" TargetMode="External"/><Relationship Id="rId26" Type="http://schemas.openxmlformats.org/officeDocument/2006/relationships/hyperlink" Target="https://www.sec.gov/Archives/edgar/data/1360214/000149315214000878/ex3-2.htm" TargetMode="External"/><Relationship Id="rId27" Type="http://schemas.openxmlformats.org/officeDocument/2006/relationships/hyperlink" Target="https://www.sec.gov/Archives/edgar/data/1360214/000149315221005583/ex4-1.htm" TargetMode="External"/><Relationship Id="rId28" Type="http://schemas.openxmlformats.org/officeDocument/2006/relationships/hyperlink" Target="https://www.sec.gov/Archives/edgar/data/1360214/000149315217009907/ex10-1.htm" TargetMode="External"/><Relationship Id="rId29" Type="http://schemas.openxmlformats.org/officeDocument/2006/relationships/hyperlink" Target="https://www.sec.gov/Archives/edgar/data/1360214/000149315221009572/formdef14a.htm#a_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2021-06-25T15:18:22Z</dcterms:created>
  <dcterms:modified xsi:type="dcterms:W3CDTF">2021-06-25T15:18:22Z</dcterms:modified>
</cp:coreProperties>
</file>