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 INFORMATION</w:t>
      </w:r>
    </w:p>
    <w:p>
      <w:pPr>
        <w:spacing w:after="0" w:line="2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54" w:lineRule="exact"/>
        <w:rPr>
          <w:sz w:val="24"/>
          <w:szCs w:val="24"/>
          <w:color w:val="auto"/>
        </w:rPr>
      </w:pPr>
    </w:p>
    <w:p>
      <w:pPr>
        <w:spacing w:after="0" w:line="196" w:lineRule="exact"/>
        <w:tabs>
          <w:tab w:leader="none" w:pos="3920" w:val="left"/>
        </w:tabs>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08"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4"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6" w:lineRule="exact"/>
        <w:rPr>
          <w:rFonts w:ascii="MS PGothic" w:cs="MS PGothic" w:eastAsia="MS PGothic" w:hAnsi="MS PGothic"/>
          <w:sz w:val="17"/>
          <w:szCs w:val="17"/>
          <w:color w:val="auto"/>
        </w:rPr>
      </w:pPr>
    </w:p>
    <w:p>
      <w:pPr>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6"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6"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HARROW, INC.</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9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08" w:lineRule="exact"/>
        <w:rPr>
          <w:sz w:val="24"/>
          <w:szCs w:val="24"/>
          <w:color w:val="auto"/>
        </w:rPr>
      </w:pPr>
    </w:p>
    <w:p>
      <w:pPr>
        <w:ind w:left="300" w:hanging="299"/>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8" w:lineRule="exact"/>
        <w:rPr>
          <w:sz w:val="24"/>
          <w:szCs w:val="24"/>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below per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206375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527050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141210" cy="8422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422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ABOUT HARROW</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Harrow, Inc. (“Harrow” or the “Company”) is a leading provider of ophthalmic disease management solutions in North America, founded with a commitment to deliver safe, effective, accessible and affordable medications that enhance patient compliance and improve clinical outcomes. For over a decade, we have partnered with U.S. eyecare professionals to build a comprehensive portfolio of high-quality products used to manage ophthalmic conditions affecting both the front and back of the eye, including dry eye disease, wet age-related macular degeneration, cataracts, refractive errors, glaucoma, ocular surface conditions and retina diseases. We have expanded our branded ophthalmic portfolio through acquisitions, licensing transactions and internal investment, and we continue to advance a pipeline of differentiated therapies designed to address unmet needs in eyecare. By prioritizing clinical value for both providers and patients, Harrow seeks to enhance patient outcomes and preserve vision. By combining creativity, entrepreneurship and innovation with operational discipline and strong financial performance, we are building a future where life-changing ophthalmic treatments are within reach for 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Proxy Statement contains “forward-looking statements” within the meaning of the federal securities laws. All statements contained in this Proxy Statement other than statements of historical fact are forward-looking statements, including statements regarding our expectations, beliefs, plans, objectives, assumptions or future events or performance.</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some cases, forward-looking statements may be identified by words such as “anticipate,” “believe,” “continue,” “could,” “estimate,” “expect,” “intend,” “may,” “plan,” “potential,” “predict,” “project,” “should,” “will,” “would” and similar expressions, although not all forward-looking statements contain these identifying words. These statements are based on management’s current expectations, assumptions, estimates and beliefs and are subject to known and unknown risks, uncertainties and other factors, many of which are beyond our control, that could cause actual results or outcomes to differ materially from those expressed in, or implied by, the forward-looking statements.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These risks, uncertainties and other factors include, among others, risks related to our business, financial condition, results of operations, strategy, product commercialization, regulatory matters, supply and manufacturing arrangements, intellectual property, litigation, indebtedness, cybersecurity, and other risks described under the caption “Risk Factors” and elsewhere in Harrow, Inc.’s Annual Report on Form 10-K for the year ended December 31, 2025, filed with the Securities and Exchange Commission (the “SEC”) on March 2, 2026, and in our other filings with the SEC.</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All forward-looking statements in this Proxy Statement are expressly qualified in their entirety by these cautionary statements. You should not place undue reliance on these forward-looking statements, which speak only as of the date of this Proxy Statement. Except as required by law, we undertake no obligation to update or revise any forward-looking statements to reflect events or circumstances after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126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265" cy="9126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2957830</wp:posOffset>
            </wp:positionH>
            <wp:positionV relativeFrom="page">
              <wp:posOffset>408940</wp:posOffset>
            </wp:positionV>
            <wp:extent cx="1601470" cy="840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01470" cy="840740"/>
                    </a:xfrm>
                    <a:prstGeom prst="rect">
                      <a:avLst/>
                    </a:prstGeom>
                    <a:noFill/>
                  </pic:spPr>
                </pic:pic>
              </a:graphicData>
            </a:graphic>
          </wp:anchor>
        </w:drawing>
      </w: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April 24,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Stockholder:</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You are cordially invited to attend the 2026 Annual Meeting of Stockholders of Harrow, Inc. (the “Annual Meeting”), which will be held at our corporate office located at 1A Burton Hills Blvd., Suite 200, Nashville, TN 37215, on June 18, 2026, at 8:00 a.m. (Central Time).</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accordance with rules adopted by the Securities and Exchange Commission, we are mailing to many of our stockholders a Notice of Internet Availability of Proxy Materials instead of a paper copy of the Proxy Statement and our Annual Report for the fiscal year ended December 31, 2025 (the “Annual Report”). The Notice of Internet Availability of Proxy Materials contains instructions on how stockholders can access the proxy documents over the Internet as well as how stockholders can receive a paper copy of our proxy materials, including the Proxy Statement, the Annual Report and a form of proxy card.</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notice of meeting and Proxy Statement describe the matters to be acted upon at the Annual Meeting. If you plan to attend the Annual Meeting and your shares are held in street name (by a broker, for example), you should ask the record holder for a legal proxy and bring it with you to the Annual Meeting, so that we can verify your ownership of Harrow, Inc. stock. Please note that if your shares are held in street name and you do not bring a legal proxy from the record holder, although you will be able to attend the Annual Meeting, you will not be able to vote at the Annual Meeting.</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Whether or not you plan to attend the Annual Meeting personally, and regardless of the number of shares you own, it is important that your shares be represented at the Annual Meeting. Accordingly, we urge you to promptly complete the proxy card and return it to our Corporate Secretary at 1A Burton Hills Blvd., Suite 200, Nashville, TN 37215, or to promptly use the telephone or Internet voting system. If you do attend the Annual Meeting and wish to vote in person, you may withdraw a previously submitted proxy at that time.</w:t>
      </w:r>
    </w:p>
    <w:p>
      <w:pPr>
        <w:spacing w:after="0" w:line="1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Sincerely,</w:t>
      </w: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Mark L. Baum</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520" w:type="dxa"/>
            <w:vAlign w:val="bottom"/>
            <w:tcBorders>
              <w:bottom w:val="single" w:sz="8" w:color="0000EE"/>
            </w:tcBorders>
            <w:gridSpan w:val="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6"/>
              </w:rPr>
              <w:t>PROXY SUMMARY</w:t>
            </w:r>
          </w:p>
        </w:tc>
        <w:tc>
          <w:tcPr>
            <w:tcW w:w="3040" w:type="dxa"/>
            <w:vAlign w:val="bottom"/>
            <w:tcBorders>
              <w:bottom w:val="single" w:sz="8" w:color="CCEEFF"/>
            </w:tcBorders>
            <w:gridSpan w:val="21"/>
            <w:shd w:val="clear" w:color="auto" w:fill="CCEEFF"/>
          </w:tcPr>
          <w:p>
            <w:pPr>
              <w:spacing w:after="0"/>
              <w:rPr>
                <w:sz w:val="15"/>
                <w:szCs w:val="15"/>
                <w:color w:val="auto"/>
              </w:rPr>
            </w:pPr>
          </w:p>
        </w:tc>
        <w:tc>
          <w:tcPr>
            <w:tcW w:w="6660" w:type="dxa"/>
            <w:vAlign w:val="bottom"/>
            <w:tcBorders>
              <w:bottom w:val="single" w:sz="8" w:color="CCEEFF"/>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20" w:type="dxa"/>
            <w:vAlign w:val="bottom"/>
            <w:gridSpan w:val="25"/>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2026 Annual Meeting at a Glance</w:t>
            </w: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top w:val="single" w:sz="8" w:color="0000EE"/>
              <w:bottom w:val="single" w:sz="8" w:color="0000EE"/>
              <w:right w:val="single" w:sz="8" w:color="CCEEFF"/>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w w:val="95"/>
              </w:rPr>
              <w:t>Matters To Be Voted On</w:t>
            </w:r>
          </w:p>
        </w:tc>
        <w:tc>
          <w:tcPr>
            <w:tcW w:w="640" w:type="dxa"/>
            <w:vAlign w:val="bottom"/>
            <w:tcBorders>
              <w:top w:val="single" w:sz="8" w:color="0000EE"/>
              <w:bottom w:val="single" w:sz="8" w:color="CCEEFF"/>
            </w:tcBorders>
            <w:gridSpan w:val="7"/>
            <w:shd w:val="clear" w:color="auto" w:fill="CCEEFF"/>
          </w:tcPr>
          <w:p>
            <w:pPr>
              <w:spacing w:after="0"/>
              <w:rPr>
                <w:sz w:val="17"/>
                <w:szCs w:val="17"/>
                <w:color w:val="auto"/>
              </w:rPr>
            </w:pPr>
          </w:p>
        </w:tc>
        <w:tc>
          <w:tcPr>
            <w:tcW w:w="2020" w:type="dxa"/>
            <w:vAlign w:val="bottom"/>
            <w:tcBorders>
              <w:bottom w:val="single" w:sz="8" w:color="CCEEFF"/>
            </w:tcBorders>
            <w:gridSpan w:val="12"/>
            <w:shd w:val="clear" w:color="auto" w:fill="CCEEFF"/>
          </w:tcPr>
          <w:p>
            <w:pPr>
              <w:spacing w:after="0"/>
              <w:rPr>
                <w:sz w:val="17"/>
                <w:szCs w:val="17"/>
                <w:color w:val="auto"/>
              </w:rPr>
            </w:pPr>
          </w:p>
        </w:tc>
        <w:tc>
          <w:tcPr>
            <w:tcW w:w="6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20" w:type="dxa"/>
            <w:vAlign w:val="bottom"/>
            <w:gridSpan w:val="25"/>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Proposal 1 Summary – Board of Directors</w:t>
            </w: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0000EE"/>
            </w:tcBorders>
            <w:gridSpan w:val="23"/>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w w:val="98"/>
              </w:rPr>
              <w:t>Proposal 2 Summary – Executive Compensation Highlights</w:t>
            </w: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6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80" w:type="dxa"/>
            <w:vAlign w:val="bottom"/>
            <w:tcBorders>
              <w:bottom w:val="single" w:sz="8" w:color="0000EE"/>
            </w:tcBorders>
            <w:gridSpan w:val="24"/>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8"/>
              </w:rPr>
              <w:t>Proposal 3 Summary – Ratification of Independent Auditor</w:t>
            </w:r>
          </w:p>
        </w:tc>
        <w:tc>
          <w:tcPr>
            <w:tcW w:w="140" w:type="dxa"/>
            <w:vAlign w:val="bottom"/>
          </w:tcPr>
          <w:p>
            <w:pPr>
              <w:spacing w:after="0"/>
              <w:rPr>
                <w:sz w:val="14"/>
                <w:szCs w:val="14"/>
                <w:color w:val="auto"/>
              </w:rPr>
            </w:pP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22"/>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w w:val="98"/>
              </w:rPr>
              <w:t>Why The Board Recommends a Vote for Each Proposal</w:t>
            </w:r>
          </w:p>
        </w:tc>
        <w:tc>
          <w:tcPr>
            <w:tcW w:w="420" w:type="dxa"/>
            <w:vAlign w:val="bottom"/>
            <w:tcBorders>
              <w:bottom w:val="single" w:sz="8" w:color="CCEEFF"/>
            </w:tcBorders>
            <w:gridSpan w:val="3"/>
            <w:shd w:val="clear" w:color="auto" w:fill="CCEEFF"/>
          </w:tcPr>
          <w:p>
            <w:pPr>
              <w:spacing w:after="0"/>
              <w:rPr>
                <w:sz w:val="17"/>
                <w:szCs w:val="17"/>
                <w:color w:val="auto"/>
              </w:rPr>
            </w:pPr>
          </w:p>
        </w:tc>
        <w:tc>
          <w:tcPr>
            <w:tcW w:w="6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00" w:type="dxa"/>
            <w:vAlign w:val="bottom"/>
            <w:tcBorders>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6"/>
              </w:rPr>
              <w:t>PROXY STATEMENT</w:t>
            </w:r>
          </w:p>
        </w:tc>
        <w:tc>
          <w:tcPr>
            <w:tcW w:w="2860" w:type="dxa"/>
            <w:vAlign w:val="bottom"/>
            <w:gridSpan w:val="20"/>
          </w:tcPr>
          <w:p>
            <w:pPr>
              <w:spacing w:after="0"/>
              <w:rPr>
                <w:sz w:val="14"/>
                <w:szCs w:val="14"/>
                <w:color w:val="auto"/>
              </w:rPr>
            </w:pP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20" w:type="dxa"/>
            <w:vAlign w:val="bottom"/>
            <w:gridSpan w:val="25"/>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General</w:t>
            </w:r>
          </w:p>
        </w:tc>
        <w:tc>
          <w:tcPr>
            <w:tcW w:w="6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00" w:type="dxa"/>
            <w:vAlign w:val="bottom"/>
            <w:tcBorders>
              <w:left w:val="single" w:sz="8" w:color="CCEEFF"/>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Borders>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5"/>
              </w:rPr>
              <w:t>Solicitation of Proxies</w:t>
            </w:r>
          </w:p>
        </w:tc>
        <w:tc>
          <w:tcPr>
            <w:tcW w:w="2860" w:type="dxa"/>
            <w:vAlign w:val="bottom"/>
            <w:gridSpan w:val="20"/>
          </w:tcPr>
          <w:p>
            <w:pPr>
              <w:spacing w:after="0"/>
              <w:rPr>
                <w:sz w:val="14"/>
                <w:szCs w:val="14"/>
                <w:color w:val="auto"/>
              </w:rPr>
            </w:pP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20" w:type="dxa"/>
            <w:vAlign w:val="bottom"/>
            <w:gridSpan w:val="25"/>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Stockholders of Record</w:t>
            </w:r>
          </w:p>
        </w:tc>
        <w:tc>
          <w:tcPr>
            <w:tcW w:w="6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20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tcBorders>
              <w:bottom w:val="single" w:sz="8" w:color="0000EE"/>
            </w:tcBorders>
            <w:gridSpan w:val="19"/>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7"/>
              </w:rPr>
              <w:t>Vote Required and Method of Counting Votes</w:t>
            </w:r>
          </w:p>
        </w:tc>
        <w:tc>
          <w:tcPr>
            <w:tcW w:w="1140" w:type="dxa"/>
            <w:vAlign w:val="bottom"/>
            <w:gridSpan w:val="6"/>
          </w:tcPr>
          <w:p>
            <w:pPr>
              <w:spacing w:after="0"/>
              <w:rPr>
                <w:sz w:val="14"/>
                <w:szCs w:val="14"/>
                <w:color w:val="auto"/>
              </w:rPr>
            </w:pP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20" w:type="dxa"/>
            <w:vAlign w:val="bottom"/>
            <w:gridSpan w:val="25"/>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How to Vote</w:t>
            </w:r>
          </w:p>
        </w:tc>
        <w:tc>
          <w:tcPr>
            <w:tcW w:w="6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00" w:type="dxa"/>
            <w:vAlign w:val="bottom"/>
            <w:tcBorders>
              <w:left w:val="single" w:sz="8" w:color="CCEEFF"/>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20" w:type="dxa"/>
            <w:vAlign w:val="bottom"/>
            <w:gridSpan w:val="25"/>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Revocation of Proxies</w:t>
            </w: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20" w:type="dxa"/>
            <w:vAlign w:val="bottom"/>
            <w:gridSpan w:val="25"/>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Cost and Method of Solicitation</w:t>
            </w:r>
          </w:p>
        </w:tc>
        <w:tc>
          <w:tcPr>
            <w:tcW w:w="6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0" w:type="dxa"/>
            <w:vAlign w:val="bottom"/>
            <w:tcBorders>
              <w:top w:val="single" w:sz="8" w:color="0000EE"/>
              <w:bottom w:val="single" w:sz="8" w:color="0000EE"/>
            </w:tcBorders>
            <w:gridSpan w:val="3"/>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7"/>
              </w:rPr>
              <w:t>Stockholder List</w:t>
            </w:r>
          </w:p>
        </w:tc>
        <w:tc>
          <w:tcPr>
            <w:tcW w:w="1080" w:type="dxa"/>
            <w:vAlign w:val="bottom"/>
            <w:tcBorders>
              <w:top w:val="single" w:sz="8" w:color="0000EE"/>
            </w:tcBorders>
            <w:gridSpan w:val="8"/>
          </w:tcPr>
          <w:p>
            <w:pPr>
              <w:spacing w:after="0"/>
              <w:rPr>
                <w:sz w:val="14"/>
                <w:szCs w:val="14"/>
                <w:color w:val="auto"/>
              </w:rPr>
            </w:pPr>
          </w:p>
        </w:tc>
        <w:tc>
          <w:tcPr>
            <w:tcW w:w="2140" w:type="dxa"/>
            <w:vAlign w:val="bottom"/>
            <w:tcBorders>
              <w:top w:val="single" w:sz="8" w:color="CCEEFF"/>
            </w:tcBorders>
            <w:gridSpan w:val="14"/>
          </w:tcPr>
          <w:p>
            <w:pPr>
              <w:spacing w:after="0"/>
              <w:rPr>
                <w:sz w:val="14"/>
                <w:szCs w:val="14"/>
                <w:color w:val="auto"/>
              </w:rPr>
            </w:pPr>
          </w:p>
        </w:tc>
        <w:tc>
          <w:tcPr>
            <w:tcW w:w="6660" w:type="dxa"/>
            <w:vAlign w:val="bottom"/>
            <w:tcBorders>
              <w:top w:val="single" w:sz="8" w:color="CCEEFF"/>
            </w:tcBorders>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gridSpan w:val="26"/>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PROPOSAL 1 - ELECTION OF DIRECTORS</w:t>
            </w:r>
          </w:p>
        </w:tc>
        <w:tc>
          <w:tcPr>
            <w:tcW w:w="6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Borders>
              <w:top w:val="single" w:sz="8" w:color="0000EE"/>
            </w:tcBorders>
            <w:gridSpan w:val="19"/>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DIRECTOR COMPENSATION</w:t>
            </w:r>
          </w:p>
        </w:tc>
        <w:tc>
          <w:tcPr>
            <w:tcW w:w="1200" w:type="dxa"/>
            <w:vAlign w:val="bottom"/>
            <w:tcBorders>
              <w:top w:val="single" w:sz="8" w:color="CCEEFF"/>
            </w:tcBorders>
            <w:gridSpan w:val="7"/>
          </w:tcPr>
          <w:p>
            <w:pPr>
              <w:spacing w:after="0"/>
              <w:rPr>
                <w:sz w:val="14"/>
                <w:szCs w:val="14"/>
                <w:color w:val="auto"/>
              </w:rPr>
            </w:pPr>
          </w:p>
        </w:tc>
        <w:tc>
          <w:tcPr>
            <w:tcW w:w="6660" w:type="dxa"/>
            <w:vAlign w:val="bottom"/>
            <w:tcBorders>
              <w:top w:val="single" w:sz="8" w:color="CCEEFF"/>
            </w:tcBorders>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11"/>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w w:val="96"/>
              </w:rPr>
              <w:t>CORPORATE GOVERNANCE</w:t>
            </w:r>
          </w:p>
        </w:tc>
        <w:tc>
          <w:tcPr>
            <w:tcW w:w="2260" w:type="dxa"/>
            <w:vAlign w:val="bottom"/>
            <w:tcBorders>
              <w:bottom w:val="single" w:sz="8" w:color="CCEEFF"/>
            </w:tcBorders>
            <w:gridSpan w:val="15"/>
            <w:shd w:val="clear" w:color="auto" w:fill="CCEEFF"/>
          </w:tcPr>
          <w:p>
            <w:pPr>
              <w:spacing w:after="0"/>
              <w:rPr>
                <w:sz w:val="17"/>
                <w:szCs w:val="17"/>
                <w:color w:val="auto"/>
              </w:rPr>
            </w:pPr>
          </w:p>
        </w:tc>
        <w:tc>
          <w:tcPr>
            <w:tcW w:w="6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Borders>
              <w:bottom w:val="single" w:sz="8" w:color="0000EE"/>
            </w:tcBorders>
            <w:gridSpan w:val="14"/>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8"/>
              </w:rPr>
              <w:t>Corporate Governance Guidelines</w:t>
            </w:r>
          </w:p>
        </w:tc>
        <w:tc>
          <w:tcPr>
            <w:tcW w:w="1940" w:type="dxa"/>
            <w:vAlign w:val="bottom"/>
            <w:gridSpan w:val="11"/>
          </w:tcPr>
          <w:p>
            <w:pPr>
              <w:spacing w:after="0"/>
              <w:rPr>
                <w:sz w:val="14"/>
                <w:szCs w:val="14"/>
                <w:color w:val="auto"/>
              </w:rPr>
            </w:pP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0000EE"/>
              <w:right w:val="single" w:sz="8" w:color="CCEEFF"/>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Director Independence</w:t>
            </w:r>
          </w:p>
        </w:tc>
        <w:tc>
          <w:tcPr>
            <w:tcW w:w="2660" w:type="dxa"/>
            <w:vAlign w:val="bottom"/>
            <w:tcBorders>
              <w:bottom w:val="single" w:sz="8" w:color="CCEEFF"/>
            </w:tcBorders>
            <w:gridSpan w:val="19"/>
            <w:shd w:val="clear" w:color="auto" w:fill="CCEEFF"/>
          </w:tcPr>
          <w:p>
            <w:pPr>
              <w:spacing w:after="0"/>
              <w:rPr>
                <w:sz w:val="17"/>
                <w:szCs w:val="17"/>
                <w:color w:val="auto"/>
              </w:rPr>
            </w:pPr>
          </w:p>
        </w:tc>
        <w:tc>
          <w:tcPr>
            <w:tcW w:w="6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20" w:type="dxa"/>
            <w:vAlign w:val="bottom"/>
            <w:gridSpan w:val="25"/>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Board Leadership Structure</w:t>
            </w: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20" w:type="dxa"/>
            <w:vAlign w:val="bottom"/>
            <w:gridSpan w:val="25"/>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Board Role in Risk Management</w:t>
            </w:r>
          </w:p>
        </w:tc>
        <w:tc>
          <w:tcPr>
            <w:tcW w:w="6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360" w:type="dxa"/>
            <w:vAlign w:val="bottom"/>
            <w:tcBorders>
              <w:top w:val="single" w:sz="8" w:color="0000EE"/>
            </w:tcBorders>
            <w:gridSpan w:val="12"/>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Cybersecurity Risk Oversight</w:t>
            </w:r>
          </w:p>
        </w:tc>
        <w:tc>
          <w:tcPr>
            <w:tcW w:w="2060" w:type="dxa"/>
            <w:vAlign w:val="bottom"/>
            <w:tcBorders>
              <w:top w:val="single" w:sz="8" w:color="CCEEFF"/>
            </w:tcBorders>
            <w:gridSpan w:val="13"/>
          </w:tcPr>
          <w:p>
            <w:pPr>
              <w:spacing w:after="0"/>
              <w:rPr>
                <w:sz w:val="14"/>
                <w:szCs w:val="14"/>
                <w:color w:val="auto"/>
              </w:rPr>
            </w:pPr>
          </w:p>
        </w:tc>
        <w:tc>
          <w:tcPr>
            <w:tcW w:w="6660" w:type="dxa"/>
            <w:vAlign w:val="bottom"/>
            <w:tcBorders>
              <w:top w:val="single" w:sz="8" w:color="CCEEFF"/>
            </w:tcBorders>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0000EE"/>
              <w:right w:val="single" w:sz="8" w:color="CCEEFF"/>
            </w:tcBorders>
            <w:gridSpan w:val="15"/>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w w:val="97"/>
              </w:rPr>
              <w:t>Committees of the Board of Directors</w:t>
            </w:r>
          </w:p>
        </w:tc>
        <w:tc>
          <w:tcPr>
            <w:tcW w:w="1720" w:type="dxa"/>
            <w:vAlign w:val="bottom"/>
            <w:tcBorders>
              <w:bottom w:val="single" w:sz="8" w:color="CCEEFF"/>
            </w:tcBorders>
            <w:gridSpan w:val="10"/>
            <w:shd w:val="clear" w:color="auto" w:fill="CCEEFF"/>
          </w:tcPr>
          <w:p>
            <w:pPr>
              <w:spacing w:after="0"/>
              <w:rPr>
                <w:sz w:val="17"/>
                <w:szCs w:val="17"/>
                <w:color w:val="auto"/>
              </w:rPr>
            </w:pPr>
          </w:p>
        </w:tc>
        <w:tc>
          <w:tcPr>
            <w:tcW w:w="6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Borders>
              <w:bottom w:val="single" w:sz="8" w:color="0000EE"/>
            </w:tcBorders>
            <w:gridSpan w:val="16"/>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8"/>
              </w:rPr>
              <w:t>Meetings of the Board and Committees</w:t>
            </w:r>
          </w:p>
        </w:tc>
        <w:tc>
          <w:tcPr>
            <w:tcW w:w="1600" w:type="dxa"/>
            <w:vAlign w:val="bottom"/>
            <w:gridSpan w:val="9"/>
          </w:tcPr>
          <w:p>
            <w:pPr>
              <w:spacing w:after="0"/>
              <w:rPr>
                <w:sz w:val="14"/>
                <w:szCs w:val="14"/>
                <w:color w:val="auto"/>
              </w:rPr>
            </w:pP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20" w:type="dxa"/>
            <w:vAlign w:val="bottom"/>
            <w:gridSpan w:val="25"/>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Meeting Attendance</w:t>
            </w:r>
          </w:p>
        </w:tc>
        <w:tc>
          <w:tcPr>
            <w:tcW w:w="6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tcBorders>
              <w:right w:val="single" w:sz="8" w:color="CCEEFF"/>
            </w:tcBorders>
            <w:shd w:val="clear" w:color="auto" w:fill="0000EE"/>
          </w:tcPr>
          <w:p>
            <w:pPr>
              <w:spacing w:after="0"/>
              <w:rPr>
                <w:sz w:val="3"/>
                <w:szCs w:val="3"/>
                <w:color w:val="auto"/>
              </w:rPr>
            </w:pPr>
          </w:p>
        </w:tc>
        <w:tc>
          <w:tcPr>
            <w:tcW w:w="200" w:type="dxa"/>
            <w:vAlign w:val="bottom"/>
            <w:tcBorders>
              <w:left w:val="single" w:sz="8" w:color="CCEEFF"/>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20" w:type="dxa"/>
            <w:vAlign w:val="bottom"/>
            <w:gridSpan w:val="25"/>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Policy on Hedging, Pledging and Similar Activities</w:t>
            </w: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20" w:type="dxa"/>
            <w:vAlign w:val="bottom"/>
            <w:tcBorders>
              <w:top w:val="single" w:sz="8" w:color="0000EE"/>
            </w:tcBorders>
            <w:gridSpan w:val="20"/>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Code of Business Conduct and Ethics</w:t>
            </w:r>
          </w:p>
        </w:tc>
        <w:tc>
          <w:tcPr>
            <w:tcW w:w="800" w:type="dxa"/>
            <w:vAlign w:val="bottom"/>
            <w:gridSpan w:val="5"/>
            <w:shd w:val="clear" w:color="auto" w:fill="CCEEFF"/>
          </w:tcPr>
          <w:p>
            <w:pPr>
              <w:spacing w:after="0"/>
              <w:rPr>
                <w:sz w:val="15"/>
                <w:szCs w:val="15"/>
                <w:color w:val="auto"/>
              </w:rPr>
            </w:pPr>
          </w:p>
        </w:tc>
        <w:tc>
          <w:tcPr>
            <w:tcW w:w="6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20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tcBorders>
              <w:bottom w:val="single" w:sz="8" w:color="0000EE"/>
            </w:tcBorders>
            <w:gridSpan w:val="18"/>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8"/>
              </w:rPr>
              <w:t>Stockholder Communications with Directors</w:t>
            </w:r>
          </w:p>
        </w:tc>
        <w:tc>
          <w:tcPr>
            <w:tcW w:w="1200" w:type="dxa"/>
            <w:vAlign w:val="bottom"/>
            <w:gridSpan w:val="7"/>
          </w:tcPr>
          <w:p>
            <w:pPr>
              <w:spacing w:after="0"/>
              <w:rPr>
                <w:sz w:val="14"/>
                <w:szCs w:val="14"/>
                <w:color w:val="auto"/>
              </w:rPr>
            </w:pP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920" w:type="dxa"/>
            <w:vAlign w:val="bottom"/>
            <w:tcBorders>
              <w:bottom w:val="single" w:sz="8" w:color="0000EE"/>
            </w:tcBorders>
            <w:gridSpan w:val="21"/>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w w:val="98"/>
              </w:rPr>
              <w:t>Reporting of Concerns Regarding Accounting Matters</w:t>
            </w:r>
          </w:p>
        </w:tc>
        <w:tc>
          <w:tcPr>
            <w:tcW w:w="500" w:type="dxa"/>
            <w:vAlign w:val="bottom"/>
            <w:tcBorders>
              <w:bottom w:val="single" w:sz="8" w:color="CCEEFF"/>
            </w:tcBorders>
            <w:gridSpan w:val="4"/>
            <w:shd w:val="clear" w:color="auto" w:fill="CCEEFF"/>
          </w:tcPr>
          <w:p>
            <w:pPr>
              <w:spacing w:after="0"/>
              <w:rPr>
                <w:sz w:val="17"/>
                <w:szCs w:val="17"/>
                <w:color w:val="auto"/>
              </w:rPr>
            </w:pPr>
          </w:p>
        </w:tc>
        <w:tc>
          <w:tcPr>
            <w:tcW w:w="6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Borders>
              <w:bottom w:val="single" w:sz="8" w:color="0000EE"/>
            </w:tcBorders>
            <w:gridSpan w:val="7"/>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8"/>
              </w:rPr>
              <w:t>Nominations for Directors</w:t>
            </w:r>
          </w:p>
        </w:tc>
        <w:tc>
          <w:tcPr>
            <w:tcW w:w="2520" w:type="dxa"/>
            <w:vAlign w:val="bottom"/>
            <w:gridSpan w:val="18"/>
          </w:tcPr>
          <w:p>
            <w:pPr>
              <w:spacing w:after="0"/>
              <w:rPr>
                <w:sz w:val="14"/>
                <w:szCs w:val="14"/>
                <w:color w:val="auto"/>
              </w:rPr>
            </w:pPr>
          </w:p>
        </w:tc>
        <w:tc>
          <w:tcPr>
            <w:tcW w:w="6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gridSpan w:val="26"/>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EXECUTIVE OFFICERS</w:t>
            </w:r>
          </w:p>
        </w:tc>
        <w:tc>
          <w:tcPr>
            <w:tcW w:w="6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6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5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rPr>
              <w:t>EXECUTIVE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64"/>
        </w:trPr>
        <w:tc>
          <w:tcPr>
            <w:tcW w:w="160" w:type="dxa"/>
            <w:vAlign w:val="bottom"/>
          </w:tcPr>
          <w:p>
            <w:pPr>
              <w:spacing w:after="0"/>
              <w:rPr>
                <w:sz w:val="14"/>
                <w:szCs w:val="14"/>
                <w:color w:val="auto"/>
              </w:rPr>
            </w:pPr>
          </w:p>
        </w:tc>
        <w:tc>
          <w:tcPr>
            <w:tcW w:w="1042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Compensation Discussion and Analysis</w:t>
            </w: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16</w:t>
            </w:r>
          </w:p>
        </w:tc>
      </w:tr>
      <w:tr>
        <w:trPr>
          <w:trHeight w:val="200"/>
        </w:trPr>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1760" w:type="dxa"/>
            <w:vAlign w:val="bottom"/>
            <w:tcBorders>
              <w:top w:val="single" w:sz="8" w:color="0000EE"/>
              <w:bottom w:val="single" w:sz="8" w:color="0000EE"/>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i w:val="1"/>
                <w:iCs w:val="1"/>
                <w:color w:val="0000EE"/>
                <w:w w:val="97"/>
              </w:rPr>
              <w:t>Named Executive Officers</w:t>
            </w:r>
          </w:p>
        </w:tc>
        <w:tc>
          <w:tcPr>
            <w:tcW w:w="860" w:type="dxa"/>
            <w:vAlign w:val="bottom"/>
            <w:tcBorders>
              <w:top w:val="single" w:sz="8" w:color="0000EE"/>
              <w:bottom w:val="single" w:sz="8" w:color="CCEEFF"/>
            </w:tcBorders>
            <w:gridSpan w:val="8"/>
            <w:shd w:val="clear" w:color="auto" w:fill="CCEEFF"/>
          </w:tcPr>
          <w:p>
            <w:pPr>
              <w:spacing w:after="0"/>
              <w:rPr>
                <w:sz w:val="17"/>
                <w:szCs w:val="17"/>
                <w:color w:val="auto"/>
              </w:rPr>
            </w:pPr>
          </w:p>
        </w:tc>
        <w:tc>
          <w:tcPr>
            <w:tcW w:w="7620" w:type="dxa"/>
            <w:vAlign w:val="bottom"/>
            <w:tcBorders>
              <w:bottom w:val="single" w:sz="8" w:color="CCEEFF"/>
            </w:tcBorders>
            <w:gridSpan w:val="16"/>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16</w:t>
            </w:r>
          </w:p>
        </w:tc>
      </w:tr>
      <w:tr>
        <w:trPr>
          <w:trHeight w:val="164"/>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40" w:type="dxa"/>
            <w:vAlign w:val="bottom"/>
            <w:gridSpan w:val="28"/>
          </w:tcPr>
          <w:p>
            <w:pPr>
              <w:spacing w:after="0" w:line="164" w:lineRule="exact"/>
              <w:rPr>
                <w:sz w:val="20"/>
                <w:szCs w:val="20"/>
                <w:color w:val="auto"/>
              </w:rPr>
            </w:pPr>
            <w:r>
              <w:rPr>
                <w:rFonts w:ascii="Times New Roman" w:cs="Times New Roman" w:eastAsia="Times New Roman" w:hAnsi="Times New Roman"/>
                <w:sz w:val="17"/>
                <w:szCs w:val="17"/>
                <w:i w:val="1"/>
                <w:iCs w:val="1"/>
                <w:color w:val="0000EE"/>
              </w:rPr>
              <w:t>Overview</w:t>
            </w: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16</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0"/>
        </w:trPr>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0000EE"/>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7"/>
                <w:szCs w:val="17"/>
                <w:i w:val="1"/>
                <w:iCs w:val="1"/>
                <w:color w:val="0000EE"/>
                <w:w w:val="97"/>
              </w:rPr>
              <w:t>Pay-for-Performance Alignment</w:t>
            </w:r>
          </w:p>
        </w:tc>
        <w:tc>
          <w:tcPr>
            <w:tcW w:w="8060" w:type="dxa"/>
            <w:vAlign w:val="bottom"/>
            <w:tcBorders>
              <w:bottom w:val="single" w:sz="8" w:color="CCEEFF"/>
            </w:tcBorders>
            <w:gridSpan w:val="21"/>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17</w:t>
            </w:r>
          </w:p>
        </w:tc>
      </w:tr>
      <w:tr>
        <w:trPr>
          <w:trHeight w:val="164"/>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40" w:type="dxa"/>
            <w:vAlign w:val="bottom"/>
            <w:gridSpan w:val="28"/>
          </w:tcPr>
          <w:p>
            <w:pPr>
              <w:spacing w:after="0" w:line="164" w:lineRule="exact"/>
              <w:rPr>
                <w:sz w:val="20"/>
                <w:szCs w:val="20"/>
                <w:color w:val="auto"/>
              </w:rPr>
            </w:pPr>
            <w:r>
              <w:rPr>
                <w:rFonts w:ascii="Times New Roman" w:cs="Times New Roman" w:eastAsia="Times New Roman" w:hAnsi="Times New Roman"/>
                <w:sz w:val="17"/>
                <w:szCs w:val="17"/>
                <w:i w:val="1"/>
                <w:iCs w:val="1"/>
                <w:color w:val="0000EE"/>
              </w:rPr>
              <w:t>Compensation Risk Assessment</w:t>
            </w: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17</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0"/>
        </w:trPr>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82" w:lineRule="exact"/>
              <w:rPr>
                <w:sz w:val="20"/>
                <w:szCs w:val="20"/>
                <w:color w:val="auto"/>
              </w:rPr>
            </w:pPr>
            <w:r>
              <w:rPr>
                <w:rFonts w:ascii="Times New Roman" w:cs="Times New Roman" w:eastAsia="Times New Roman" w:hAnsi="Times New Roman"/>
                <w:sz w:val="17"/>
                <w:szCs w:val="17"/>
                <w:i w:val="1"/>
                <w:iCs w:val="1"/>
                <w:color w:val="0000EE"/>
              </w:rPr>
              <w:t>Roles in Determining Executive Officer Compensation</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17</w:t>
            </w:r>
          </w:p>
        </w:tc>
      </w:tr>
      <w:tr>
        <w:trPr>
          <w:trHeight w:val="164"/>
        </w:trPr>
        <w:tc>
          <w:tcPr>
            <w:tcW w:w="16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300" w:type="dxa"/>
            <w:vAlign w:val="bottom"/>
            <w:tcBorders>
              <w:top w:val="single" w:sz="8" w:color="0000EE"/>
              <w:bottom w:val="single" w:sz="8" w:color="0000EE"/>
            </w:tcBorders>
            <w:gridSpan w:val="9"/>
          </w:tcPr>
          <w:p>
            <w:pPr>
              <w:spacing w:after="0" w:line="164" w:lineRule="exact"/>
              <w:rPr>
                <w:sz w:val="20"/>
                <w:szCs w:val="20"/>
                <w:color w:val="auto"/>
              </w:rPr>
            </w:pPr>
            <w:r>
              <w:rPr>
                <w:rFonts w:ascii="Times New Roman" w:cs="Times New Roman" w:eastAsia="Times New Roman" w:hAnsi="Times New Roman"/>
                <w:sz w:val="17"/>
                <w:szCs w:val="17"/>
                <w:i w:val="1"/>
                <w:iCs w:val="1"/>
                <w:color w:val="0000EE"/>
                <w:w w:val="97"/>
              </w:rPr>
              <w:t>Compensation Program Overview</w:t>
            </w:r>
          </w:p>
        </w:tc>
        <w:tc>
          <w:tcPr>
            <w:tcW w:w="1360" w:type="dxa"/>
            <w:vAlign w:val="bottom"/>
            <w:tcBorders>
              <w:top w:val="single" w:sz="8" w:color="0000EE"/>
            </w:tcBorders>
            <w:gridSpan w:val="9"/>
          </w:tcPr>
          <w:p>
            <w:pPr>
              <w:spacing w:after="0"/>
              <w:rPr>
                <w:sz w:val="14"/>
                <w:szCs w:val="14"/>
                <w:color w:val="auto"/>
              </w:rPr>
            </w:pPr>
          </w:p>
        </w:tc>
        <w:tc>
          <w:tcPr>
            <w:tcW w:w="6580" w:type="dxa"/>
            <w:vAlign w:val="bottom"/>
            <w:tcBorders>
              <w:top w:val="single" w:sz="8" w:color="CCEEFF"/>
            </w:tcBorders>
            <w:gridSpan w:val="10"/>
          </w:tcPr>
          <w:p>
            <w:pPr>
              <w:spacing w:after="0"/>
              <w:rPr>
                <w:sz w:val="14"/>
                <w:szCs w:val="14"/>
                <w:color w:val="auto"/>
              </w:rPr>
            </w:pPr>
          </w:p>
        </w:tc>
        <w:tc>
          <w:tcPr>
            <w:tcW w:w="660" w:type="dxa"/>
            <w:vAlign w:val="bottom"/>
            <w:tcBorders>
              <w:top w:val="single" w:sz="8" w:color="CCEEFF"/>
            </w:tcBorders>
          </w:tcPr>
          <w:p>
            <w:pPr>
              <w:jc w:val="right"/>
              <w:spacing w:after="0" w:line="164" w:lineRule="exact"/>
              <w:rPr>
                <w:sz w:val="20"/>
                <w:szCs w:val="20"/>
                <w:color w:val="auto"/>
              </w:rPr>
            </w:pPr>
            <w:r>
              <w:rPr>
                <w:rFonts w:ascii="Times New Roman" w:cs="Times New Roman" w:eastAsia="Times New Roman" w:hAnsi="Times New Roman"/>
                <w:sz w:val="17"/>
                <w:szCs w:val="17"/>
                <w:color w:val="auto"/>
              </w:rPr>
              <w:t>18</w:t>
            </w:r>
          </w:p>
        </w:tc>
      </w:tr>
      <w:tr>
        <w:trPr>
          <w:trHeight w:val="200"/>
        </w:trPr>
        <w:tc>
          <w:tcPr>
            <w:tcW w:w="160" w:type="dxa"/>
            <w:vAlign w:val="bottom"/>
            <w:shd w:val="clear" w:color="auto" w:fill="CCEEFF"/>
          </w:tcPr>
          <w:p>
            <w:pPr>
              <w:spacing w:after="0"/>
              <w:rPr>
                <w:sz w:val="17"/>
                <w:szCs w:val="17"/>
                <w:color w:val="auto"/>
              </w:rPr>
            </w:pPr>
          </w:p>
        </w:tc>
        <w:tc>
          <w:tcPr>
            <w:tcW w:w="1042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Compensation Committee Interlocks and Insider Participation</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21</w:t>
            </w:r>
          </w:p>
        </w:tc>
      </w:tr>
      <w:tr>
        <w:trPr>
          <w:trHeight w:val="164"/>
        </w:trPr>
        <w:tc>
          <w:tcPr>
            <w:tcW w:w="160" w:type="dxa"/>
            <w:vAlign w:val="bottom"/>
            <w:tcBorders>
              <w:top w:val="single" w:sz="8" w:color="CCEEFF"/>
            </w:tcBorders>
          </w:tcPr>
          <w:p>
            <w:pPr>
              <w:spacing w:after="0"/>
              <w:rPr>
                <w:sz w:val="14"/>
                <w:szCs w:val="14"/>
                <w:color w:val="auto"/>
              </w:rPr>
            </w:pPr>
          </w:p>
        </w:tc>
        <w:tc>
          <w:tcPr>
            <w:tcW w:w="4500" w:type="dxa"/>
            <w:vAlign w:val="bottom"/>
            <w:tcBorders>
              <w:top w:val="single" w:sz="8" w:color="0000EE"/>
            </w:tcBorders>
            <w:gridSpan w:val="21"/>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Compensation Committee Report</w:t>
            </w:r>
          </w:p>
        </w:tc>
        <w:tc>
          <w:tcPr>
            <w:tcW w:w="5920" w:type="dxa"/>
            <w:vAlign w:val="bottom"/>
            <w:tcBorders>
              <w:top w:val="single" w:sz="8" w:color="CCEEFF"/>
            </w:tcBorders>
            <w:gridSpan w:val="8"/>
          </w:tcPr>
          <w:p>
            <w:pPr>
              <w:spacing w:after="0"/>
              <w:rPr>
                <w:sz w:val="14"/>
                <w:szCs w:val="14"/>
                <w:color w:val="auto"/>
              </w:rPr>
            </w:pPr>
          </w:p>
        </w:tc>
        <w:tc>
          <w:tcPr>
            <w:tcW w:w="660" w:type="dxa"/>
            <w:vAlign w:val="bottom"/>
            <w:tcBorders>
              <w:top w:val="single" w:sz="8" w:color="CCEEFF"/>
            </w:tcBorders>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21</w:t>
            </w:r>
          </w:p>
        </w:tc>
      </w:tr>
      <w:tr>
        <w:trPr>
          <w:trHeight w:val="200"/>
        </w:trPr>
        <w:tc>
          <w:tcPr>
            <w:tcW w:w="16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top w:val="single" w:sz="8" w:color="0000EE"/>
              <w:bottom w:val="single" w:sz="8" w:color="0000EE"/>
              <w:right w:val="single" w:sz="8" w:color="CCEEFF"/>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w w:val="97"/>
              </w:rPr>
              <w:t>Summary Compensation Table</w:t>
            </w:r>
          </w:p>
        </w:tc>
        <w:tc>
          <w:tcPr>
            <w:tcW w:w="180" w:type="dxa"/>
            <w:vAlign w:val="bottom"/>
            <w:tcBorders>
              <w:top w:val="single" w:sz="8" w:color="0000EE"/>
              <w:left w:val="single" w:sz="8" w:color="CCEEFF"/>
              <w:bottom w:val="single" w:sz="8" w:color="CCEEFF"/>
            </w:tcBorders>
            <w:gridSpan w:val="2"/>
            <w:shd w:val="clear" w:color="auto" w:fill="CCEEFF"/>
          </w:tcPr>
          <w:p>
            <w:pPr>
              <w:spacing w:after="0"/>
              <w:rPr>
                <w:sz w:val="17"/>
                <w:szCs w:val="17"/>
                <w:color w:val="auto"/>
              </w:rPr>
            </w:pPr>
          </w:p>
        </w:tc>
        <w:tc>
          <w:tcPr>
            <w:tcW w:w="8000" w:type="dxa"/>
            <w:vAlign w:val="bottom"/>
            <w:tcBorders>
              <w:bottom w:val="single" w:sz="8" w:color="CCEEFF"/>
            </w:tcBorders>
            <w:gridSpan w:val="20"/>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22</w:t>
            </w:r>
          </w:p>
        </w:tc>
      </w:tr>
      <w:tr>
        <w:trPr>
          <w:trHeight w:val="164"/>
        </w:trPr>
        <w:tc>
          <w:tcPr>
            <w:tcW w:w="160" w:type="dxa"/>
            <w:vAlign w:val="bottom"/>
          </w:tcPr>
          <w:p>
            <w:pPr>
              <w:spacing w:after="0"/>
              <w:rPr>
                <w:sz w:val="14"/>
                <w:szCs w:val="14"/>
                <w:color w:val="auto"/>
              </w:rPr>
            </w:pPr>
          </w:p>
        </w:tc>
        <w:tc>
          <w:tcPr>
            <w:tcW w:w="2140" w:type="dxa"/>
            <w:vAlign w:val="bottom"/>
            <w:tcBorders>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7"/>
              </w:rPr>
              <w:t>Grants of Plan-Based Awards</w:t>
            </w:r>
          </w:p>
        </w:tc>
        <w:tc>
          <w:tcPr>
            <w:tcW w:w="8280" w:type="dxa"/>
            <w:vAlign w:val="bottom"/>
            <w:gridSpan w:val="23"/>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23</w:t>
            </w:r>
          </w:p>
        </w:tc>
      </w:tr>
      <w:tr>
        <w:trPr>
          <w:trHeight w:val="200"/>
        </w:trPr>
        <w:tc>
          <w:tcPr>
            <w:tcW w:w="16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0000EE"/>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w w:val="97"/>
              </w:rPr>
              <w:t>Outstanding Equity Awards at Fiscal Year-End</w:t>
            </w:r>
          </w:p>
        </w:tc>
        <w:tc>
          <w:tcPr>
            <w:tcW w:w="7020" w:type="dxa"/>
            <w:vAlign w:val="bottom"/>
            <w:tcBorders>
              <w:bottom w:val="single" w:sz="8" w:color="CCEEFF"/>
            </w:tcBorders>
            <w:gridSpan w:val="1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24</w:t>
            </w:r>
          </w:p>
        </w:tc>
      </w:tr>
      <w:tr>
        <w:trPr>
          <w:trHeight w:val="164"/>
        </w:trPr>
        <w:tc>
          <w:tcPr>
            <w:tcW w:w="160" w:type="dxa"/>
            <w:vAlign w:val="bottom"/>
          </w:tcPr>
          <w:p>
            <w:pPr>
              <w:spacing w:after="0"/>
              <w:rPr>
                <w:sz w:val="14"/>
                <w:szCs w:val="14"/>
                <w:color w:val="auto"/>
              </w:rPr>
            </w:pPr>
          </w:p>
        </w:tc>
        <w:tc>
          <w:tcPr>
            <w:tcW w:w="2500" w:type="dxa"/>
            <w:vAlign w:val="bottom"/>
            <w:tcBorders>
              <w:bottom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7"/>
              </w:rPr>
              <w:t>Option Exercises and Stock Vested</w:t>
            </w:r>
          </w:p>
        </w:tc>
        <w:tc>
          <w:tcPr>
            <w:tcW w:w="7920" w:type="dxa"/>
            <w:vAlign w:val="bottom"/>
            <w:gridSpan w:val="18"/>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26</w:t>
            </w:r>
          </w:p>
        </w:tc>
      </w:tr>
      <w:tr>
        <w:trPr>
          <w:trHeight w:val="182"/>
        </w:trPr>
        <w:tc>
          <w:tcPr>
            <w:tcW w:w="160" w:type="dxa"/>
            <w:vAlign w:val="bottom"/>
            <w:shd w:val="clear" w:color="auto" w:fill="CCEEFF"/>
          </w:tcPr>
          <w:p>
            <w:pPr>
              <w:spacing w:after="0"/>
              <w:rPr>
                <w:sz w:val="15"/>
                <w:szCs w:val="15"/>
                <w:color w:val="auto"/>
              </w:rPr>
            </w:pPr>
          </w:p>
        </w:tc>
        <w:tc>
          <w:tcPr>
            <w:tcW w:w="1042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Pension Benefits</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26</w:t>
            </w:r>
          </w:p>
        </w:tc>
      </w:tr>
      <w:tr>
        <w:trPr>
          <w:trHeight w:val="38"/>
        </w:trPr>
        <w:tc>
          <w:tcPr>
            <w:tcW w:w="16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64"/>
        </w:trPr>
        <w:tc>
          <w:tcPr>
            <w:tcW w:w="160" w:type="dxa"/>
            <w:vAlign w:val="bottom"/>
          </w:tcPr>
          <w:p>
            <w:pPr>
              <w:spacing w:after="0"/>
              <w:rPr>
                <w:sz w:val="14"/>
                <w:szCs w:val="14"/>
                <w:color w:val="auto"/>
              </w:rPr>
            </w:pPr>
          </w:p>
        </w:tc>
        <w:tc>
          <w:tcPr>
            <w:tcW w:w="1042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Nonqualified Deferred Compensation</w:t>
            </w: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26</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2"/>
        </w:trPr>
        <w:tc>
          <w:tcPr>
            <w:tcW w:w="160" w:type="dxa"/>
            <w:vAlign w:val="bottom"/>
            <w:shd w:val="clear" w:color="auto" w:fill="CCEEFF"/>
          </w:tcPr>
          <w:p>
            <w:pPr>
              <w:spacing w:after="0"/>
              <w:rPr>
                <w:sz w:val="15"/>
                <w:szCs w:val="15"/>
                <w:color w:val="auto"/>
              </w:rPr>
            </w:pPr>
          </w:p>
        </w:tc>
        <w:tc>
          <w:tcPr>
            <w:tcW w:w="1042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Compensation Arrangements with Mark L. Baum</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26</w:t>
            </w:r>
          </w:p>
        </w:tc>
      </w:tr>
      <w:tr>
        <w:trPr>
          <w:trHeight w:val="38"/>
        </w:trPr>
        <w:tc>
          <w:tcPr>
            <w:tcW w:w="16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00" w:type="dxa"/>
            <w:vAlign w:val="bottom"/>
            <w:tcBorders>
              <w:right w:val="single" w:sz="8" w:color="CCEEFF"/>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64"/>
        </w:trPr>
        <w:tc>
          <w:tcPr>
            <w:tcW w:w="160" w:type="dxa"/>
            <w:vAlign w:val="bottom"/>
          </w:tcPr>
          <w:p>
            <w:pPr>
              <w:spacing w:after="0"/>
              <w:rPr>
                <w:sz w:val="14"/>
                <w:szCs w:val="14"/>
                <w:color w:val="auto"/>
              </w:rPr>
            </w:pPr>
          </w:p>
        </w:tc>
        <w:tc>
          <w:tcPr>
            <w:tcW w:w="3700" w:type="dxa"/>
            <w:vAlign w:val="bottom"/>
            <w:tcBorders>
              <w:bottom w:val="single" w:sz="8" w:color="0000EE"/>
            </w:tcBorders>
            <w:gridSpan w:val="18"/>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9"/>
              </w:rPr>
              <w:t>Compensation Arrangements with Andrew R. Boll</w:t>
            </w:r>
          </w:p>
        </w:tc>
        <w:tc>
          <w:tcPr>
            <w:tcW w:w="6720" w:type="dxa"/>
            <w:vAlign w:val="bottom"/>
            <w:gridSpan w:val="11"/>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27</w:t>
            </w:r>
          </w:p>
        </w:tc>
      </w:tr>
      <w:tr>
        <w:trPr>
          <w:trHeight w:val="182"/>
        </w:trPr>
        <w:tc>
          <w:tcPr>
            <w:tcW w:w="160" w:type="dxa"/>
            <w:vAlign w:val="bottom"/>
            <w:shd w:val="clear" w:color="auto" w:fill="CCEEFF"/>
          </w:tcPr>
          <w:p>
            <w:pPr>
              <w:spacing w:after="0"/>
              <w:rPr>
                <w:sz w:val="15"/>
                <w:szCs w:val="15"/>
                <w:color w:val="auto"/>
              </w:rPr>
            </w:pPr>
          </w:p>
        </w:tc>
        <w:tc>
          <w:tcPr>
            <w:tcW w:w="1042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Compensation Arrangements with John P. Saharek</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28</w:t>
            </w:r>
          </w:p>
        </w:tc>
      </w:tr>
      <w:tr>
        <w:trPr>
          <w:trHeight w:val="38"/>
        </w:trPr>
        <w:tc>
          <w:tcPr>
            <w:tcW w:w="16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64"/>
        </w:trPr>
        <w:tc>
          <w:tcPr>
            <w:tcW w:w="160" w:type="dxa"/>
            <w:vAlign w:val="bottom"/>
          </w:tcPr>
          <w:p>
            <w:pPr>
              <w:spacing w:after="0"/>
              <w:rPr>
                <w:sz w:val="14"/>
                <w:szCs w:val="14"/>
                <w:color w:val="auto"/>
              </w:rPr>
            </w:pPr>
          </w:p>
        </w:tc>
        <w:tc>
          <w:tcPr>
            <w:tcW w:w="1042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Compensation Arrangements with Francis W. Mullery</w:t>
            </w: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28</w:t>
            </w:r>
          </w:p>
        </w:tc>
      </w:tr>
      <w:tr>
        <w:trPr>
          <w:trHeight w:val="200"/>
        </w:trPr>
        <w:tc>
          <w:tcPr>
            <w:tcW w:w="160" w:type="dxa"/>
            <w:vAlign w:val="bottom"/>
            <w:tcBorders>
              <w:bottom w:val="single" w:sz="8" w:color="CCEEFF"/>
            </w:tcBorders>
            <w:shd w:val="clear" w:color="auto" w:fill="CCEEFF"/>
          </w:tcPr>
          <w:p>
            <w:pPr>
              <w:spacing w:after="0"/>
              <w:rPr>
                <w:sz w:val="17"/>
                <w:szCs w:val="17"/>
                <w:color w:val="auto"/>
              </w:rPr>
            </w:pPr>
          </w:p>
        </w:tc>
        <w:tc>
          <w:tcPr>
            <w:tcW w:w="3700" w:type="dxa"/>
            <w:vAlign w:val="bottom"/>
            <w:tcBorders>
              <w:top w:val="single" w:sz="8" w:color="0000EE"/>
              <w:bottom w:val="single" w:sz="8" w:color="0000EE"/>
              <w:right w:val="single" w:sz="8" w:color="CCEEFF"/>
            </w:tcBorders>
            <w:gridSpan w:val="18"/>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w w:val="98"/>
              </w:rPr>
              <w:t>Compensation Arrangements with Amir H. Shojaei</w:t>
            </w:r>
          </w:p>
        </w:tc>
        <w:tc>
          <w:tcPr>
            <w:tcW w:w="22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6500" w:type="dxa"/>
            <w:vAlign w:val="bottom"/>
            <w:tcBorders>
              <w:bottom w:val="single" w:sz="8" w:color="CCEEFF"/>
            </w:tcBorders>
            <w:gridSpan w:val="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29</w:t>
            </w:r>
          </w:p>
        </w:tc>
      </w:tr>
      <w:tr>
        <w:trPr>
          <w:trHeight w:val="164"/>
        </w:trPr>
        <w:tc>
          <w:tcPr>
            <w:tcW w:w="160" w:type="dxa"/>
            <w:vAlign w:val="bottom"/>
          </w:tcPr>
          <w:p>
            <w:pPr>
              <w:spacing w:after="0"/>
              <w:rPr>
                <w:sz w:val="14"/>
                <w:szCs w:val="14"/>
                <w:color w:val="auto"/>
              </w:rPr>
            </w:pPr>
          </w:p>
        </w:tc>
        <w:tc>
          <w:tcPr>
            <w:tcW w:w="10420" w:type="dxa"/>
            <w:vAlign w:val="bottom"/>
            <w:gridSpan w:val="29"/>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Potential Payments Upon Termination or Change in Control as of December 31, 2025</w:t>
            </w: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30</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2"/>
        </w:trPr>
        <w:tc>
          <w:tcPr>
            <w:tcW w:w="10580" w:type="dxa"/>
            <w:vAlign w:val="bottom"/>
            <w:gridSpan w:val="30"/>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CEO PAY RATIO</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31</w:t>
            </w: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360" w:type="dxa"/>
            <w:vAlign w:val="bottom"/>
            <w:tcBorders>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64"/>
        </w:trPr>
        <w:tc>
          <w:tcPr>
            <w:tcW w:w="10580" w:type="dxa"/>
            <w:vAlign w:val="bottom"/>
            <w:gridSpan w:val="30"/>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PAY-VERSUS-PERFORMANCE</w:t>
            </w: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32</w:t>
            </w: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0"/>
        </w:trPr>
        <w:tc>
          <w:tcPr>
            <w:tcW w:w="6860" w:type="dxa"/>
            <w:vAlign w:val="bottom"/>
            <w:tcBorders>
              <w:bottom w:val="single" w:sz="8" w:color="0000EE"/>
            </w:tcBorders>
            <w:gridSpan w:val="27"/>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w w:val="98"/>
              </w:rPr>
              <w:t>SECURITIES AUTHORIZED FOR ISSUANCE UNDER EQUITY COMPENSATION PLANS</w:t>
            </w:r>
          </w:p>
        </w:tc>
        <w:tc>
          <w:tcPr>
            <w:tcW w:w="372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35</w:t>
            </w:r>
          </w:p>
        </w:tc>
      </w:tr>
      <w:tr>
        <w:trPr>
          <w:trHeight w:val="164"/>
        </w:trPr>
        <w:tc>
          <w:tcPr>
            <w:tcW w:w="10580" w:type="dxa"/>
            <w:vAlign w:val="bottom"/>
            <w:gridSpan w:val="30"/>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SECURITY OWNERSHIP OF CERTAIN BENEFICIAL OWNERS AND MANAGEMENT AND RELATED STOCKHOLDER MATTERS</w:t>
            </w: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36</w:t>
            </w:r>
          </w:p>
        </w:tc>
      </w:tr>
      <w:tr>
        <w:trPr>
          <w:trHeight w:val="200"/>
        </w:trPr>
        <w:tc>
          <w:tcPr>
            <w:tcW w:w="10080" w:type="dxa"/>
            <w:vAlign w:val="bottom"/>
            <w:tcBorders>
              <w:top w:val="single" w:sz="8" w:color="0000EE"/>
            </w:tcBorders>
            <w:gridSpan w:val="29"/>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DELINQUENT SECTION 16(a) REPORTS</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37</w:t>
            </w:r>
          </w:p>
        </w:tc>
      </w:tr>
      <w:tr>
        <w:trPr>
          <w:trHeight w:val="164"/>
        </w:trPr>
        <w:tc>
          <w:tcPr>
            <w:tcW w:w="3080" w:type="dxa"/>
            <w:vAlign w:val="bottom"/>
            <w:tcBorders>
              <w:top w:val="single" w:sz="8" w:color="0000EE"/>
              <w:bottom w:val="single" w:sz="8" w:color="0000EE"/>
            </w:tcBorders>
            <w:gridSpan w:val="15"/>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8"/>
              </w:rPr>
              <w:t>REPORT OF THE AUDIT COMMITTEE</w:t>
            </w:r>
          </w:p>
        </w:tc>
        <w:tc>
          <w:tcPr>
            <w:tcW w:w="80" w:type="dxa"/>
            <w:vAlign w:val="bottom"/>
            <w:tcBorders>
              <w:top w:val="single" w:sz="8" w:color="0000EE"/>
            </w:tcBorders>
          </w:tcPr>
          <w:p>
            <w:pPr>
              <w:spacing w:after="0"/>
              <w:rPr>
                <w:sz w:val="14"/>
                <w:szCs w:val="14"/>
                <w:color w:val="auto"/>
              </w:rPr>
            </w:pPr>
          </w:p>
        </w:tc>
        <w:tc>
          <w:tcPr>
            <w:tcW w:w="7420" w:type="dxa"/>
            <w:vAlign w:val="bottom"/>
            <w:tcBorders>
              <w:top w:val="single" w:sz="8" w:color="CCEEFF"/>
            </w:tcBorders>
            <w:gridSpan w:val="14"/>
          </w:tcPr>
          <w:p>
            <w:pPr>
              <w:spacing w:after="0"/>
              <w:rPr>
                <w:sz w:val="14"/>
                <w:szCs w:val="14"/>
                <w:color w:val="auto"/>
              </w:rPr>
            </w:pPr>
          </w:p>
        </w:tc>
        <w:tc>
          <w:tcPr>
            <w:tcW w:w="660" w:type="dxa"/>
            <w:vAlign w:val="bottom"/>
            <w:tcBorders>
              <w:top w:val="single" w:sz="8" w:color="CCEEFF"/>
            </w:tcBorders>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38</w:t>
            </w:r>
          </w:p>
        </w:tc>
      </w:tr>
      <w:tr>
        <w:trPr>
          <w:trHeight w:val="200"/>
        </w:trPr>
        <w:tc>
          <w:tcPr>
            <w:tcW w:w="6820" w:type="dxa"/>
            <w:vAlign w:val="bottom"/>
            <w:tcBorders>
              <w:bottom w:val="single" w:sz="8" w:color="0000EE"/>
            </w:tcBorders>
            <w:gridSpan w:val="26"/>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w w:val="98"/>
              </w:rPr>
              <w:t>PROPOSAL 2 - ADVISORY VOTE ON NAMED EXECUTIVE OFFICER COMPENSATION</w:t>
            </w:r>
          </w:p>
        </w:tc>
        <w:tc>
          <w:tcPr>
            <w:tcW w:w="3760" w:type="dxa"/>
            <w:vAlign w:val="bottom"/>
            <w:tcBorders>
              <w:bottom w:val="single" w:sz="8" w:color="CCEEFF"/>
            </w:tcBorders>
            <w:gridSpan w:val="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39</w:t>
            </w:r>
          </w:p>
        </w:tc>
      </w:tr>
      <w:tr>
        <w:trPr>
          <w:trHeight w:val="164"/>
        </w:trPr>
        <w:tc>
          <w:tcPr>
            <w:tcW w:w="8780" w:type="dxa"/>
            <w:vAlign w:val="bottom"/>
            <w:tcBorders>
              <w:bottom w:val="single" w:sz="8" w:color="0000EE"/>
            </w:tcBorders>
            <w:gridSpan w:val="28"/>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8"/>
              </w:rPr>
              <w:t>PROPOSAL 3 - RATIFICATION OF SELECTION OF INDEPENDENT REGISTERED PUBLIC ACCOUNTING FIRM</w:t>
            </w:r>
          </w:p>
        </w:tc>
        <w:tc>
          <w:tcPr>
            <w:tcW w:w="1800" w:type="dxa"/>
            <w:vAlign w:val="bottom"/>
            <w:gridSpan w:val="2"/>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40</w:t>
            </w:r>
          </w:p>
        </w:tc>
      </w:tr>
      <w:tr>
        <w:trPr>
          <w:trHeight w:val="200"/>
        </w:trPr>
        <w:tc>
          <w:tcPr>
            <w:tcW w:w="5400" w:type="dxa"/>
            <w:vAlign w:val="bottom"/>
            <w:tcBorders>
              <w:bottom w:val="single" w:sz="8" w:color="0000EE"/>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w w:val="97"/>
              </w:rPr>
              <w:t>CERTAIN RELATIONSHIPS AND RELATED PARTY TRANSACTIONS</w:t>
            </w:r>
          </w:p>
        </w:tc>
        <w:tc>
          <w:tcPr>
            <w:tcW w:w="5180" w:type="dxa"/>
            <w:vAlign w:val="bottom"/>
            <w:tcBorders>
              <w:bottom w:val="single" w:sz="8" w:color="CCEEFF"/>
            </w:tcBorders>
            <w:gridSpan w:val="6"/>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42</w:t>
            </w:r>
          </w:p>
        </w:tc>
      </w:tr>
      <w:tr>
        <w:trPr>
          <w:trHeight w:val="164"/>
        </w:trPr>
        <w:tc>
          <w:tcPr>
            <w:tcW w:w="10580" w:type="dxa"/>
            <w:vAlign w:val="bottom"/>
            <w:gridSpan w:val="30"/>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HOUSEHOLDING OF PROXY MATERIALS</w:t>
            </w: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43</w:t>
            </w:r>
          </w:p>
        </w:tc>
      </w:tr>
      <w:tr>
        <w:trPr>
          <w:trHeight w:val="200"/>
        </w:trPr>
        <w:tc>
          <w:tcPr>
            <w:tcW w:w="3360" w:type="dxa"/>
            <w:vAlign w:val="bottom"/>
            <w:tcBorders>
              <w:top w:val="single" w:sz="8" w:color="0000EE"/>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STOCKHOLDER PROPOSALS</w:t>
            </w:r>
          </w:p>
        </w:tc>
        <w:tc>
          <w:tcPr>
            <w:tcW w:w="7220" w:type="dxa"/>
            <w:vAlign w:val="bottom"/>
            <w:gridSpan w:val="13"/>
            <w:shd w:val="clear" w:color="auto" w:fill="CCEEFF"/>
          </w:tcPr>
          <w:p>
            <w:pPr>
              <w:spacing w:after="0"/>
              <w:rPr>
                <w:sz w:val="17"/>
                <w:szCs w:val="17"/>
                <w:color w:val="auto"/>
              </w:rPr>
            </w:pP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43</w:t>
            </w:r>
          </w:p>
        </w:tc>
      </w:tr>
      <w:tr>
        <w:trPr>
          <w:trHeight w:val="164"/>
        </w:trPr>
        <w:tc>
          <w:tcPr>
            <w:tcW w:w="1460" w:type="dxa"/>
            <w:vAlign w:val="bottom"/>
            <w:tcBorders>
              <w:top w:val="single" w:sz="8" w:color="0000EE"/>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7"/>
              </w:rPr>
              <w:t>ANNUAL REPORT</w:t>
            </w:r>
          </w:p>
        </w:tc>
        <w:tc>
          <w:tcPr>
            <w:tcW w:w="940" w:type="dxa"/>
            <w:vAlign w:val="bottom"/>
            <w:tcBorders>
              <w:top w:val="single" w:sz="8" w:color="0000EE"/>
            </w:tcBorders>
            <w:gridSpan w:val="3"/>
          </w:tcPr>
          <w:p>
            <w:pPr>
              <w:spacing w:after="0"/>
              <w:rPr>
                <w:sz w:val="14"/>
                <w:szCs w:val="14"/>
                <w:color w:val="auto"/>
              </w:rPr>
            </w:pPr>
          </w:p>
        </w:tc>
        <w:tc>
          <w:tcPr>
            <w:tcW w:w="8180" w:type="dxa"/>
            <w:vAlign w:val="bottom"/>
            <w:tcBorders>
              <w:top w:val="single" w:sz="8" w:color="CCEEFF"/>
            </w:tcBorders>
            <w:gridSpan w:val="22"/>
          </w:tcPr>
          <w:p>
            <w:pPr>
              <w:spacing w:after="0"/>
              <w:rPr>
                <w:sz w:val="14"/>
                <w:szCs w:val="14"/>
                <w:color w:val="auto"/>
              </w:rPr>
            </w:pPr>
          </w:p>
        </w:tc>
        <w:tc>
          <w:tcPr>
            <w:tcW w:w="660" w:type="dxa"/>
            <w:vAlign w:val="bottom"/>
            <w:tcBorders>
              <w:top w:val="single" w:sz="8" w:color="CCEEFF"/>
            </w:tcBorders>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44</w:t>
            </w:r>
          </w:p>
        </w:tc>
      </w:tr>
      <w:tr>
        <w:trPr>
          <w:trHeight w:val="182"/>
        </w:trPr>
        <w:tc>
          <w:tcPr>
            <w:tcW w:w="10580" w:type="dxa"/>
            <w:vAlign w:val="bottom"/>
            <w:gridSpan w:val="30"/>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0000EE"/>
              </w:rPr>
              <w:t>OTHER MATTERS</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44</w:t>
            </w: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64"/>
        </w:trPr>
        <w:tc>
          <w:tcPr>
            <w:tcW w:w="10580" w:type="dxa"/>
            <w:vAlign w:val="bottom"/>
            <w:gridSpan w:val="30"/>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Q&amp;A ABOUT THE PROXY MATERIALS AND ANNUAL MEETING</w:t>
            </w:r>
          </w:p>
        </w:tc>
        <w:tc>
          <w:tcPr>
            <w:tcW w:w="6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b w:val="1"/>
                <w:bCs w:val="1"/>
                <w:color w:val="auto"/>
              </w:rPr>
              <w:t>45</w:t>
            </w:r>
          </w:p>
        </w:tc>
      </w:tr>
      <w:tr>
        <w:trPr>
          <w:trHeight w:val="421"/>
        </w:trPr>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PROXY SUMMARY</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Board of Directors (the “Board” or “Board of Directors”) of Harrow, Inc. (the “Company”) is committed to strong corporate governance, independent oversight, and an executive compensation program designed to align management incentives with long-term stockholder value creation. As reflected in the Company’s Annual Report on Form 10-K for the year ended December 31, 2025 (the “Annual Report”), the Company is now subject to the expanded disclosure and internal control requirements applicable to a large accelerated filer that is no longer a smaller reporting company, and this proxy statement (this “Proxy Statement”) reflects that broader governance and executive compensation disclosure framework.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2026 Annual Meeting at a Glance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b w:val="1"/>
                <w:bCs w:val="1"/>
                <w:color w:val="auto"/>
              </w:rPr>
              <w:t>Item</w:t>
            </w:r>
          </w:p>
        </w:tc>
        <w:tc>
          <w:tcPr>
            <w:tcW w:w="220" w:type="dxa"/>
            <w:vAlign w:val="bottom"/>
            <w:tcBorders>
              <w:bottom w:val="single" w:sz="8" w:color="CCEEFF"/>
            </w:tcBorders>
          </w:tcPr>
          <w:p>
            <w:pPr>
              <w:spacing w:after="0"/>
              <w:rPr>
                <w:sz w:val="19"/>
                <w:szCs w:val="19"/>
                <w:color w:val="auto"/>
              </w:rPr>
            </w:pPr>
          </w:p>
        </w:tc>
        <w:tc>
          <w:tcPr>
            <w:tcW w:w="8760" w:type="dxa"/>
            <w:vAlign w:val="bottom"/>
            <w:tcBorders>
              <w:bottom w:val="single" w:sz="8" w:color="auto"/>
            </w:tcBorders>
          </w:tcPr>
          <w:p>
            <w:pPr>
              <w:ind w:left="4140"/>
              <w:spacing w:after="0"/>
              <w:rPr>
                <w:sz w:val="20"/>
                <w:szCs w:val="20"/>
                <w:color w:val="auto"/>
              </w:rPr>
            </w:pPr>
            <w:r>
              <w:rPr>
                <w:rFonts w:ascii="Times New Roman" w:cs="Times New Roman" w:eastAsia="Times New Roman" w:hAnsi="Times New Roman"/>
                <w:sz w:val="17"/>
                <w:szCs w:val="17"/>
                <w:b w:val="1"/>
                <w:bCs w:val="1"/>
                <w:color w:val="auto"/>
              </w:rPr>
              <w:t>Details</w:t>
            </w:r>
          </w:p>
        </w:tc>
      </w:tr>
      <w:tr>
        <w:trPr>
          <w:trHeight w:val="195"/>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w:t>
            </w:r>
          </w:p>
        </w:tc>
        <w:tc>
          <w:tcPr>
            <w:tcW w:w="220" w:type="dxa"/>
            <w:vAlign w:val="bottom"/>
            <w:shd w:val="clear" w:color="auto" w:fill="CCEEFF"/>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18, 2026</w:t>
            </w:r>
          </w:p>
        </w:tc>
      </w:tr>
      <w:tr>
        <w:trPr>
          <w:trHeight w:val="202"/>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Time</w:t>
            </w:r>
          </w:p>
        </w:tc>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8:00 a.m. Central Time</w:t>
            </w:r>
          </w:p>
        </w:tc>
      </w:tr>
      <w:tr>
        <w:trPr>
          <w:trHeight w:val="202"/>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Location</w:t>
            </w:r>
          </w:p>
        </w:tc>
        <w:tc>
          <w:tcPr>
            <w:tcW w:w="8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Harrow Corporate Headquarters, 1A Burton Hills Blvd., Suite 200, Nashville, Tennessee</w:t>
            </w:r>
          </w:p>
        </w:tc>
      </w:tr>
      <w:tr>
        <w:trPr>
          <w:trHeight w:val="218"/>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Record Date</w:t>
            </w:r>
          </w:p>
        </w:tc>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April 21, 2026</w:t>
            </w:r>
          </w:p>
        </w:tc>
      </w:tr>
    </w:tbl>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Only holders of record of shares of our common stock at the close of business on the record date, April 21, 2026, will be entitled to vote at the Annual Meeting of Stockholders (the “Annual Meeting”). For additional information regarding voting procedures, attendance at the Annual Meeting, proxy revocation and the availability of proxy materials, see “Q&amp;A About the Proxy Materials and Annual Meeting” beginning on page 45.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Matters To Be Voted 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This summary highlights selected information contained elsewhere in this Proxy Statement and is intended to assist stockholders in evaluating the matters to be voted on at the 2026 Annual Meeting of Stockholders of Harrow, Inc.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60" w:type="dxa"/>
            <w:vAlign w:val="bottom"/>
          </w:tcPr>
          <w:p>
            <w:pPr>
              <w:ind w:left="820"/>
              <w:spacing w:after="0"/>
              <w:rPr>
                <w:sz w:val="20"/>
                <w:szCs w:val="20"/>
                <w:color w:val="auto"/>
              </w:rPr>
            </w:pPr>
            <w:r>
              <w:rPr>
                <w:rFonts w:ascii="Times New Roman" w:cs="Times New Roman" w:eastAsia="Times New Roman" w:hAnsi="Times New Roman"/>
                <w:sz w:val="17"/>
                <w:szCs w:val="17"/>
                <w:b w:val="1"/>
                <w:bCs w:val="1"/>
                <w:color w:val="auto"/>
              </w:rPr>
              <w:t>Proposal</w:t>
            </w:r>
          </w:p>
        </w:tc>
        <w:tc>
          <w:tcPr>
            <w:tcW w:w="220" w:type="dxa"/>
            <w:vAlign w:val="bottom"/>
          </w:tcPr>
          <w:p>
            <w:pPr>
              <w:spacing w:after="0"/>
              <w:rPr>
                <w:sz w:val="19"/>
                <w:szCs w:val="19"/>
                <w:color w:val="auto"/>
              </w:rPr>
            </w:pPr>
          </w:p>
        </w:tc>
        <w:tc>
          <w:tcPr>
            <w:tcW w:w="6520" w:type="dxa"/>
            <w:vAlign w:val="bottom"/>
            <w:gridSpan w:val="2"/>
          </w:tcPr>
          <w:p>
            <w:pPr>
              <w:ind w:left="27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24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Board Recommendation</w:t>
            </w:r>
          </w:p>
        </w:tc>
      </w:tr>
      <w:tr>
        <w:trPr>
          <w:trHeight w:val="195"/>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Proposal 1</w:t>
            </w:r>
          </w:p>
        </w:tc>
        <w:tc>
          <w:tcPr>
            <w:tcW w:w="220" w:type="dxa"/>
            <w:vAlign w:val="bottom"/>
            <w:tcBorders>
              <w:top w:val="single" w:sz="8" w:color="CCEEFF"/>
            </w:tcBorders>
            <w:shd w:val="clear" w:color="auto" w:fill="CCEEFF"/>
          </w:tcPr>
          <w:p>
            <w:pPr>
              <w:spacing w:after="0"/>
              <w:rPr>
                <w:sz w:val="16"/>
                <w:szCs w:val="16"/>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Election of four directors</w:t>
            </w: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 each director nominee</w:t>
            </w:r>
          </w:p>
        </w:tc>
      </w:tr>
      <w:tr>
        <w:trPr>
          <w:trHeight w:val="202"/>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Proposal 2</w:t>
            </w: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Advisory (non-binding) vote to approve named executive officer compensation</w:t>
            </w:r>
          </w:p>
        </w:tc>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FOR</w:t>
            </w:r>
          </w:p>
        </w:tc>
      </w:tr>
      <w:tr>
        <w:trPr>
          <w:trHeight w:val="185"/>
        </w:trPr>
        <w:tc>
          <w:tcPr>
            <w:tcW w:w="2260" w:type="dxa"/>
            <w:vAlign w:val="bottom"/>
            <w:shd w:val="clear" w:color="auto" w:fill="CCEEFF"/>
          </w:tcPr>
          <w:p>
            <w:pPr>
              <w:spacing w:after="0"/>
              <w:rPr>
                <w:sz w:val="16"/>
                <w:szCs w:val="16"/>
                <w:color w:val="auto"/>
              </w:rPr>
            </w:pPr>
          </w:p>
        </w:tc>
        <w:tc>
          <w:tcPr>
            <w:tcW w:w="6740" w:type="dxa"/>
            <w:vAlign w:val="bottom"/>
            <w:gridSpan w:val="3"/>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Ratification of the appointment of Deloitte &amp; Touche LLP as the Company’s independent</w:t>
            </w:r>
          </w:p>
        </w:tc>
        <w:tc>
          <w:tcPr>
            <w:tcW w:w="2240" w:type="dxa"/>
            <w:vAlign w:val="bottom"/>
            <w:shd w:val="clear" w:color="auto" w:fill="CCEEFF"/>
          </w:tcPr>
          <w:p>
            <w:pPr>
              <w:spacing w:after="0"/>
              <w:rPr>
                <w:sz w:val="16"/>
                <w:szCs w:val="16"/>
                <w:color w:val="auto"/>
              </w:rPr>
            </w:pPr>
          </w:p>
        </w:tc>
      </w:tr>
      <w:tr>
        <w:trPr>
          <w:trHeight w:val="218"/>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Proposal 3</w:t>
            </w: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registered public accounting firm for the fiscal year ending December 31, 2026</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 1 Summary – Board of Directors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Board currently consists of four directors. The Board believes its composition reflects a balanced mix of leadership, financial expertise, industry knowledge, and governance experience aligned with the Company’s strategic priorities.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jc w:val="center"/>
              <w:ind w:right="716"/>
              <w:spacing w:after="0"/>
              <w:rPr>
                <w:sz w:val="20"/>
                <w:szCs w:val="20"/>
                <w:color w:val="auto"/>
              </w:rPr>
            </w:pPr>
            <w:r>
              <w:rPr>
                <w:rFonts w:ascii="Times New Roman" w:cs="Times New Roman" w:eastAsia="Times New Roman" w:hAnsi="Times New Roman"/>
                <w:sz w:val="17"/>
                <w:szCs w:val="17"/>
                <w:b w:val="1"/>
                <w:bCs w:val="1"/>
                <w:color w:val="auto"/>
                <w:w w:val="99"/>
              </w:rPr>
              <w:t>Committee Membership</w:t>
            </w:r>
          </w:p>
        </w:tc>
      </w:tr>
      <w:tr>
        <w:trPr>
          <w:trHeight w:val="174"/>
        </w:trPr>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w w:val="97"/>
              </w:rPr>
              <w:t>Nomination</w:t>
            </w:r>
          </w:p>
        </w:tc>
      </w:tr>
      <w:tr>
        <w:trPr>
          <w:trHeight w:val="202"/>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and</w:t>
            </w:r>
          </w:p>
        </w:tc>
      </w:tr>
      <w:tr>
        <w:trPr>
          <w:trHeight w:val="202"/>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Director</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Corporate</w:t>
            </w:r>
          </w:p>
        </w:tc>
      </w:tr>
      <w:tr>
        <w:trPr>
          <w:trHeight w:val="222"/>
        </w:trPr>
        <w:tc>
          <w:tcPr>
            <w:tcW w:w="170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Director</w:t>
            </w:r>
          </w:p>
        </w:tc>
        <w:tc>
          <w:tcPr>
            <w:tcW w:w="220" w:type="dxa"/>
            <w:vAlign w:val="bottom"/>
          </w:tcPr>
          <w:p>
            <w:pPr>
              <w:spacing w:after="0"/>
              <w:rPr>
                <w:sz w:val="19"/>
                <w:szCs w:val="19"/>
                <w:color w:val="auto"/>
              </w:rPr>
            </w:pPr>
          </w:p>
        </w:tc>
        <w:tc>
          <w:tcPr>
            <w:tcW w:w="3380" w:type="dxa"/>
            <w:vAlign w:val="bottom"/>
            <w:gridSpan w:val="2"/>
          </w:tcPr>
          <w:p>
            <w:pPr>
              <w:ind w:left="128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Since</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Independent</w:t>
            </w:r>
          </w:p>
        </w:tc>
        <w:tc>
          <w:tcPr>
            <w:tcW w:w="800" w:type="dxa"/>
            <w:vAlign w:val="bottom"/>
          </w:tcPr>
          <w:p>
            <w:pPr>
              <w:jc w:val="center"/>
              <w:ind w:left="116"/>
              <w:spacing w:after="0"/>
              <w:rPr>
                <w:sz w:val="20"/>
                <w:szCs w:val="20"/>
                <w:color w:val="auto"/>
              </w:rPr>
            </w:pPr>
            <w:r>
              <w:rPr>
                <w:rFonts w:ascii="Times New Roman" w:cs="Times New Roman" w:eastAsia="Times New Roman" w:hAnsi="Times New Roman"/>
                <w:sz w:val="17"/>
                <w:szCs w:val="17"/>
                <w:b w:val="1"/>
                <w:bCs w:val="1"/>
                <w:color w:val="auto"/>
                <w:w w:val="96"/>
              </w:rPr>
              <w:t>Audit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Governance</w:t>
            </w:r>
          </w:p>
        </w:tc>
      </w:tr>
      <w:tr>
        <w:trPr>
          <w:trHeight w:val="178"/>
        </w:trPr>
        <w:tc>
          <w:tcPr>
            <w:tcW w:w="1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14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Chairman of the Board and Chief Executive</w:t>
            </w: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18"/>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L. Baum</w:t>
            </w:r>
          </w:p>
        </w:tc>
        <w:tc>
          <w:tcPr>
            <w:tcW w:w="3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Officer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6"/>
              </w:rPr>
              <w:t>No</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58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Adrienne L. Graves</w:t>
            </w: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Independent Director</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2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0"/>
              </w:rPr>
              <w:t>Yes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7"/>
              </w:rPr>
              <w:t>(Chair)</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(Chair)</w:t>
            </w:r>
          </w:p>
        </w:tc>
      </w:tr>
      <w:tr>
        <w:trPr>
          <w:trHeight w:val="387"/>
        </w:trPr>
        <w:tc>
          <w:tcPr>
            <w:tcW w:w="1700" w:type="dxa"/>
            <w:vAlign w:val="bottom"/>
            <w:shd w:val="clear" w:color="auto" w:fill="CCEEFF"/>
          </w:tcPr>
          <w:p>
            <w:pPr>
              <w:spacing w:after="0"/>
              <w:rPr>
                <w:sz w:val="24"/>
                <w:szCs w:val="24"/>
                <w:color w:val="auto"/>
              </w:rPr>
            </w:pPr>
          </w:p>
        </w:tc>
        <w:tc>
          <w:tcPr>
            <w:tcW w:w="3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Independent Director / Audit Committee</w:t>
            </w: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18"/>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Lauren P. Silvernail</w:t>
            </w:r>
          </w:p>
        </w:tc>
        <w:tc>
          <w:tcPr>
            <w:tcW w:w="3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Financial Expert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0"/>
              </w:rPr>
              <w:t>Yes</w:t>
            </w:r>
          </w:p>
        </w:tc>
        <w:tc>
          <w:tcPr>
            <w:tcW w:w="8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7"/>
                <w:szCs w:val="17"/>
                <w:color w:val="auto"/>
                <w:w w:val="97"/>
              </w:rPr>
              <w:t>(Chair)</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37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Perry J. Sternberg</w:t>
            </w: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Lead Independent Director</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2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0"/>
              </w:rPr>
              <w:t>Yes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5916930</wp:posOffset>
            </wp:positionH>
            <wp:positionV relativeFrom="paragraph">
              <wp:posOffset>-991870</wp:posOffset>
            </wp:positionV>
            <wp:extent cx="24003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-991870</wp:posOffset>
            </wp:positionV>
            <wp:extent cx="24003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-863600</wp:posOffset>
            </wp:positionV>
            <wp:extent cx="304165" cy="496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4165" cy="496570"/>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-495300</wp:posOffset>
            </wp:positionV>
            <wp:extent cx="1849120" cy="496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9120" cy="496570"/>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-495300</wp:posOffset>
            </wp:positionV>
            <wp:extent cx="1849120" cy="496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9120" cy="496570"/>
                    </a:xfrm>
                    <a:prstGeom prst="rect">
                      <a:avLst/>
                    </a:prstGeom>
                    <a:noFill/>
                  </pic:spPr>
                </pic:pic>
              </a:graphicData>
            </a:graphic>
          </wp:anchor>
        </w:drawing>
      </w:r>
    </w:p>
    <w:p>
      <w:pPr>
        <w:spacing w:after="0" w:line="16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Board believes its current leadership structure supports effective oversight of the Company’s strategy, operations, and risk management. Because the roles of Chairman of the Board and Chief Executive Officer are currently combined, the Board believes that strong independent oversight is important and is supported by the role of the Lead Independent Director and the fully independent standing committees of the Board.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bl>
    <w:p>
      <w:pPr>
        <w:sectPr>
          <w:pgSz w:w="11900" w:h="16838" w:orient="portrait"/>
          <w:cols w:equalWidth="0" w:num="1">
            <w:col w:w="11240"/>
          </w:cols>
          <w:pgMar w:left="320" w:top="6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i w:val="1"/>
          <w:iCs w:val="1"/>
          <w:color w:val="auto"/>
        </w:rPr>
        <w:t>Board and Governance Highlights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We believe our governance framework and leadership structure support accountability, independent oversight, and long-term alignment with stockholder interests. Key features of our governance framework include:</w:t>
      </w:r>
    </w:p>
    <w:p>
      <w:pPr>
        <w:spacing w:after="0" w:line="155" w:lineRule="exact"/>
        <w:rPr>
          <w:sz w:val="20"/>
          <w:szCs w:val="20"/>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Independent Board Oversight. </w:t>
      </w:r>
      <w:r>
        <w:rPr>
          <w:rFonts w:ascii="Times New Roman" w:cs="Times New Roman" w:eastAsia="Times New Roman" w:hAnsi="Times New Roman"/>
          <w:sz w:val="17"/>
          <w:szCs w:val="17"/>
          <w:color w:val="auto"/>
        </w:rPr>
        <w:t>Three of our four director nominees are independent under Nasdaq listing standards.</w:t>
      </w:r>
    </w:p>
    <w:p>
      <w:pPr>
        <w:spacing w:after="0" w:line="2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Fully Independent Standing Committees. </w:t>
      </w:r>
      <w:r>
        <w:rPr>
          <w:rFonts w:ascii="Times New Roman" w:cs="Times New Roman" w:eastAsia="Times New Roman" w:hAnsi="Times New Roman"/>
          <w:sz w:val="17"/>
          <w:szCs w:val="17"/>
          <w:color w:val="auto"/>
        </w:rPr>
        <w:t>Each of the Audit Committee, Compensation Committee, and Nomination and Corporate Governance Committee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composed entirely of independent directors.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Lead Independent Director. </w:t>
      </w:r>
      <w:r>
        <w:rPr>
          <w:rFonts w:ascii="Times New Roman" w:cs="Times New Roman" w:eastAsia="Times New Roman" w:hAnsi="Times New Roman"/>
          <w:sz w:val="17"/>
          <w:szCs w:val="17"/>
          <w:color w:val="auto"/>
        </w:rPr>
        <w:t>Our Board has appointed a Lead Independent Director to support effective and independent Board oversight.</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Board Risk Oversight. </w:t>
      </w:r>
      <w:r>
        <w:rPr>
          <w:rFonts w:ascii="Times New Roman" w:cs="Times New Roman" w:eastAsia="Times New Roman" w:hAnsi="Times New Roman"/>
          <w:sz w:val="17"/>
          <w:szCs w:val="17"/>
          <w:color w:val="auto"/>
        </w:rPr>
        <w:t>The Board and its committees oversee the Company’s strategic, operational, financial, legal, regulatory, and cybersecurity risks.</w:t>
      </w:r>
    </w:p>
    <w:p>
      <w:pPr>
        <w:spacing w:after="0" w:line="6"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Strong Governance Policies. </w:t>
      </w:r>
      <w:r>
        <w:rPr>
          <w:rFonts w:ascii="Times New Roman" w:cs="Times New Roman" w:eastAsia="Times New Roman" w:hAnsi="Times New Roman"/>
          <w:sz w:val="17"/>
          <w:szCs w:val="17"/>
          <w:color w:val="auto"/>
        </w:rPr>
        <w:t>We maintain a Code of Business Conduct and Ethics and an insider trading policy addressing short sales, pledging, margin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accounts, and hedging or monetization transactions, among other topics.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Board Committees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Each of the Board’s standing committees is composed entirely of independent directors: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2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7"/>
                <w:szCs w:val="17"/>
                <w:b w:val="1"/>
                <w:bCs w:val="1"/>
                <w:color w:val="auto"/>
              </w:rPr>
              <w:t>Committee</w:t>
            </w:r>
          </w:p>
        </w:tc>
        <w:tc>
          <w:tcPr>
            <w:tcW w:w="220" w:type="dxa"/>
            <w:vAlign w:val="bottom"/>
            <w:tcBorders>
              <w:bottom w:val="single" w:sz="8" w:color="CCEEFF"/>
            </w:tcBorders>
          </w:tcPr>
          <w:p>
            <w:pPr>
              <w:spacing w:after="0"/>
              <w:rPr>
                <w:sz w:val="19"/>
                <w:szCs w:val="19"/>
                <w:color w:val="auto"/>
              </w:rPr>
            </w:pPr>
          </w:p>
        </w:tc>
        <w:tc>
          <w:tcPr>
            <w:tcW w:w="550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7"/>
                <w:szCs w:val="17"/>
                <w:b w:val="1"/>
                <w:bCs w:val="1"/>
                <w:color w:val="auto"/>
              </w:rPr>
              <w:t>Members</w:t>
            </w:r>
          </w:p>
        </w:tc>
      </w:tr>
      <w:tr>
        <w:trPr>
          <w:trHeight w:val="19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Committee</w:t>
            </w:r>
          </w:p>
        </w:tc>
        <w:tc>
          <w:tcPr>
            <w:tcW w:w="220" w:type="dxa"/>
            <w:vAlign w:val="bottom"/>
            <w:shd w:val="clear" w:color="auto" w:fill="CCEEFF"/>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Lauren P. Silvernail (Chair), Adrienne L. Graves, Perry J. Sternberg</w:t>
            </w:r>
          </w:p>
        </w:tc>
      </w:tr>
      <w:tr>
        <w:trPr>
          <w:trHeight w:val="202"/>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Committee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Adrienne L. Graves (Chair), Lauren P. Silvernail, Perry J. Sternberg</w:t>
            </w:r>
          </w:p>
        </w:tc>
      </w:tr>
      <w:tr>
        <w:trPr>
          <w:trHeight w:val="20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Nomination and Corporate Governance Committee</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Adrienne L. Graves (Chair), Lauren P. Silvernail, Perry J. Sternberg</w:t>
            </w:r>
          </w:p>
        </w:tc>
      </w:tr>
    </w:tbl>
    <w:p>
      <w:pPr>
        <w:spacing w:after="0" w:line="18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These committees assist the Board in overseeing key areas of the Company’s governance and operations, including financial reporting and internal controls, executive compensation, Board composition and governance practices, and risk oversight.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 2 Summary – Executive Compensation Highlights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Company’s executive compensation program is designed to align pay with performance and long-term stockholder value creation. For 2025, the Compensation Committee considered Company performance based on factors that included revenue, adjusted EBITDA, specified product performance and debt refinancing, and approved annual cash incentive awards at 100% of target for Messrs. Baum and Boll. In addition, the Compensation Committee granted performance stock unit awards to Messrs. Baum and Boll in 2025 that are subject to a three-year continued service requirement and stock price targets ranging from $50 to $100 per share over a five-year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Key Features of Our Executive Compensation Program</w:t>
      </w:r>
    </w:p>
    <w:p>
      <w:pPr>
        <w:spacing w:after="0" w:line="208" w:lineRule="exact"/>
        <w:rPr>
          <w:sz w:val="20"/>
          <w:szCs w:val="20"/>
          <w:color w:val="auto"/>
        </w:rPr>
      </w:pPr>
    </w:p>
    <w:p>
      <w:pPr>
        <w:ind w:left="600" w:hanging="297"/>
        <w:spacing w:after="0"/>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Pay-for-Performance Philosophy. </w:t>
      </w:r>
      <w:r>
        <w:rPr>
          <w:rFonts w:ascii="Times New Roman" w:cs="Times New Roman" w:eastAsia="Times New Roman" w:hAnsi="Times New Roman"/>
          <w:sz w:val="17"/>
          <w:szCs w:val="17"/>
          <w:color w:val="auto"/>
        </w:rPr>
        <w:t>A significant portion of named executive officer compensation is variable and tied to Company performance.</w:t>
      </w:r>
    </w:p>
    <w:p>
      <w:pPr>
        <w:spacing w:after="0" w:line="2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Performance-Based Incentives. </w:t>
      </w:r>
      <w:r>
        <w:rPr>
          <w:rFonts w:ascii="Times New Roman" w:cs="Times New Roman" w:eastAsia="Times New Roman" w:hAnsi="Times New Roman"/>
          <w:sz w:val="17"/>
          <w:szCs w:val="17"/>
          <w:color w:val="auto"/>
        </w:rPr>
        <w:t>Annual incentive compensation is designed to reflect Company performance, including financial and operational results.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Long-Term Alignment. </w:t>
      </w:r>
      <w:r>
        <w:rPr>
          <w:rFonts w:ascii="Times New Roman" w:cs="Times New Roman" w:eastAsia="Times New Roman" w:hAnsi="Times New Roman"/>
          <w:sz w:val="17"/>
          <w:szCs w:val="17"/>
          <w:color w:val="auto"/>
        </w:rPr>
        <w:t>Equity compensation is intended to support retention and align executives’ interests with long-term stockholder value creation.</w:t>
      </w:r>
    </w:p>
    <w:p>
      <w:pPr>
        <w:spacing w:after="0" w:line="6"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Independent Compensation Oversight</w:t>
      </w:r>
      <w:r>
        <w:rPr>
          <w:rFonts w:ascii="Times New Roman" w:cs="Times New Roman" w:eastAsia="Times New Roman" w:hAnsi="Times New Roman"/>
          <w:sz w:val="17"/>
          <w:szCs w:val="17"/>
          <w:color w:val="auto"/>
        </w:rPr>
        <w:t>. The Compensation Committee oversees executive compensation decisions and regularly retains an independent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consultant.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Performance Outcomes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Compensation Committee determined that Company performance achieved target levels in 2025. As described in the Compensation Discussion and Analysis section of this Proxy Statement, the Compensation Committee considered, among other things, the Company’s year-over-year revenue growth, improved profitability and adjusted EBITDA results, execution against product and commercialization objectives, and our debt refinancing process during the year, along with other business development initiatives. Based on this performance, annual incentive bonuses were paid at target levels for certain executives, and equity awards were granted to reinforce long-term alignment with stockholder value creation.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bl>
    <w:p>
      <w:pPr>
        <w:sectPr>
          <w:pgSz w:w="11900" w:h="16838" w:orient="portrait"/>
          <w:cols w:equalWidth="0" w:num="1">
            <w:col w:w="11240"/>
          </w:cols>
          <w:pgMar w:left="320" w:top="6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Disclosure Included in This Proxy Statement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Proxy Statement includes Compensation Discussion and Analysis, executive compensation tables, CEO pay ratio disclosure, and pay-versus-performance disclosure. These disclosures are intended to provide stockholders with additional transparency regarding the Company’s compensation philosophy, compensation decisions, and the relationship between executive compensation and Company performance.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 3 Summary – Ratification of Independent Auditor</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Audit Committee has selected Deloitte &amp; Touche LLP to serve as the Company’s independent registered public accounting firm for the fiscal year ending December 31, 2026, and has directed that the appointment be submitted to stockholders for ratification at the Annual Meeting. Deloitte served as the Company’s independent registered public accounting firm for the fiscal year ended December 31, 2025, and continues to serve in that capacity. Representatives of Deloitte are expected to be present at the Annual Meeting, will have an opportunity to make a statement if they desire, and will be available to respond to appropriate questions. The Audit Committee is directly responsible for the appointment, compensation, retention, and oversight of the independent auditor and evaluates the auditor’s qualifications, performance, and independence.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The Board Recommends a Vote for Each Proposal</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Board recommends that stockholders vote:</w:t>
      </w:r>
    </w:p>
    <w:p>
      <w:pPr>
        <w:spacing w:after="0" w:line="204" w:lineRule="exact"/>
        <w:rPr>
          <w:sz w:val="20"/>
          <w:szCs w:val="20"/>
          <w:color w:val="auto"/>
        </w:rPr>
      </w:pPr>
    </w:p>
    <w:p>
      <w:pPr>
        <w:ind w:left="600" w:hanging="297"/>
        <w:spacing w:after="0" w:line="259"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 each director nominee named in Proposal 1</w:t>
      </w:r>
      <w:r>
        <w:rPr>
          <w:rFonts w:ascii="Times New Roman" w:cs="Times New Roman" w:eastAsia="Times New Roman" w:hAnsi="Times New Roman"/>
          <w:sz w:val="17"/>
          <w:szCs w:val="17"/>
          <w:color w:val="auto"/>
        </w:rPr>
        <w:t>, because the Board believes that each director nominee contributes valuable leadership, industry,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and governance expertise;</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 Proposal 2</w:t>
      </w:r>
      <w:r>
        <w:rPr>
          <w:rFonts w:ascii="Times New Roman" w:cs="Times New Roman" w:eastAsia="Times New Roman" w:hAnsi="Times New Roman"/>
          <w:sz w:val="17"/>
          <w:szCs w:val="17"/>
          <w:color w:val="auto"/>
        </w:rPr>
        <w:t>, because the Board believes that the Company’s executive compensation program appropriately aligns pay with performance and long-term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 interests; and</w:t>
      </w:r>
    </w:p>
    <w:p>
      <w:pPr>
        <w:spacing w:after="0" w:line="1"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 Proposal 3</w:t>
      </w:r>
      <w:r>
        <w:rPr>
          <w:rFonts w:ascii="Times New Roman" w:cs="Times New Roman" w:eastAsia="Times New Roman" w:hAnsi="Times New Roman"/>
          <w:sz w:val="17"/>
          <w:szCs w:val="17"/>
          <w:color w:val="auto"/>
        </w:rPr>
        <w:t>, because the Board and the Audit Committee believe that Deloitte &amp; Touche LLP is well qualified to continue serving as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registered public accounting firm.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bl>
    <w:p>
      <w:pPr>
        <w:sectPr>
          <w:pgSz w:w="11900" w:h="16838" w:orient="portrait"/>
          <w:cols w:equalWidth="0" w:num="1">
            <w:col w:w="11240"/>
          </w:cols>
          <w:pgMar w:left="320" w:top="62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Annual Meeting of Stockholders to be held on June 18,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This Proxy Statement is furnished in connection with the solicitation by the Company’s Board of Directors of proxies for use at the Annual Meeting to be held at the Company’s corporate office located at 1A Burton Hills Blvd., Suite 200, Nashville, Tennessee 37215, on June 18, 2026, at 8:00 a.m. (Central Time), or at any adjournment or postponement thereof, for the purposes set forth herein and in the accompanying Notice of Annual Meeting of Stockholders (the “Notice”). We expect to mail or make available this Proxy Statement and the accompanying materials, including our Annual Report, the Notice and a proxy card, to our stockholders on or about April 24, 2026.</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references to “us,” “we,” “our,” and the “Company” refer to Harrow, Inc.</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Copies of this Proxy Statement, the Notice and the Annual Report can be accessed electronically at </w:t>
      </w:r>
      <w:r>
        <w:rPr>
          <w:rFonts w:ascii="Times New Roman" w:cs="Times New Roman" w:eastAsia="Times New Roman" w:hAnsi="Times New Roman"/>
          <w:sz w:val="17"/>
          <w:szCs w:val="17"/>
          <w:u w:val="single" w:color="auto"/>
          <w:color w:val="auto"/>
        </w:rPr>
        <w:t>www.proxyvote.com</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Board is soliciting proxies to vote at the Annual Meeting. In accordance with unanimous recommendations of our Board, the individuals named in the proxy card will vote all shares represented by proxies in the manner designated, or if no designation is made, they will vote the proxies FOR the election of all of the director nominees named in Proposal 1 and FOR Proposals 2 and 3.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card are authorized to vote on any other matters that may properly come before the Annual Meeting and at any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Stockholders of Record</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Only holders of record of shares of our common stock at the close of business on the record date, April 21, 2026, will be entitled to notice of and to vote at the Annual Meeting and any postponement or adjournment thereof. At the close of business on April 21, 2026, the Company had 37,273,420 shares of common stock outstanding and entitled to vote, held by 56 stockholders of record. Each holder of record of shares of our common stock on the record date will be entitled to one vote for each share held on all matters to be voted upon at the Annual Meeting.</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bl>
    <w:p>
      <w:pPr>
        <w:sectPr>
          <w:pgSz w:w="11900" w:h="16838" w:orient="portrait"/>
          <w:cols w:equalWidth="0" w:num="1">
            <w:col w:w="11240"/>
          </w:cols>
          <w:pgMar w:left="320" w:top="6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Vote Required and Method of Counting Votes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Broker Discretionary</w:t>
            </w:r>
          </w:p>
        </w:tc>
      </w:tr>
      <w:tr>
        <w:trPr>
          <w:trHeight w:val="222"/>
        </w:trPr>
        <w:tc>
          <w:tcPr>
            <w:tcW w:w="740" w:type="dxa"/>
            <w:vAlign w:val="bottom"/>
          </w:tcPr>
          <w:p>
            <w:pPr>
              <w:spacing w:after="0"/>
              <w:rPr>
                <w:sz w:val="19"/>
                <w:szCs w:val="19"/>
                <w:color w:val="auto"/>
              </w:rPr>
            </w:pPr>
          </w:p>
        </w:tc>
        <w:tc>
          <w:tcPr>
            <w:tcW w:w="5800" w:type="dxa"/>
            <w:vAlign w:val="bottom"/>
            <w:gridSpan w:val="2"/>
          </w:tcPr>
          <w:p>
            <w:pPr>
              <w:ind w:left="2100"/>
              <w:spacing w:after="0"/>
              <w:rPr>
                <w:sz w:val="20"/>
                <w:szCs w:val="20"/>
                <w:color w:val="auto"/>
              </w:rPr>
            </w:pPr>
            <w:r>
              <w:rPr>
                <w:rFonts w:ascii="Times New Roman" w:cs="Times New Roman" w:eastAsia="Times New Roman" w:hAnsi="Times New Roman"/>
                <w:sz w:val="17"/>
                <w:szCs w:val="17"/>
                <w:b w:val="1"/>
                <w:bCs w:val="1"/>
                <w:color w:val="auto"/>
              </w:rPr>
              <w:t>Proposal</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Vote Required</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Voting Allowed</w:t>
            </w:r>
          </w:p>
        </w:tc>
      </w:tr>
      <w:tr>
        <w:trPr>
          <w:trHeight w:val="195"/>
        </w:trPr>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Proposal 1</w:t>
            </w:r>
          </w:p>
        </w:tc>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–Election of directors</w:t>
            </w:r>
          </w:p>
        </w:tc>
        <w:tc>
          <w:tcPr>
            <w:tcW w:w="24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Plurality of Votes Cast</w:t>
            </w: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r>
      <w:tr>
        <w:trPr>
          <w:trHeight w:val="185"/>
        </w:trPr>
        <w:tc>
          <w:tcPr>
            <w:tcW w:w="7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Proposal 2</w:t>
            </w:r>
          </w:p>
        </w:tc>
        <w:tc>
          <w:tcPr>
            <w:tcW w:w="580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–Non-binding, advisory vote on compensation of the Company’s named executive</w:t>
            </w: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officers</w:t>
            </w:r>
          </w:p>
        </w:tc>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7"/>
              </w:rPr>
              <w:t>Majority of Votes Cast</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r>
      <w:tr>
        <w:trPr>
          <w:trHeight w:val="186"/>
        </w:trPr>
        <w:tc>
          <w:tcPr>
            <w:tcW w:w="7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9"/>
              </w:rPr>
              <w:t>Proposal 3</w:t>
            </w:r>
          </w:p>
        </w:tc>
        <w:tc>
          <w:tcPr>
            <w:tcW w:w="580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 Ratification of selection of independent registered public accounting firm for the</w:t>
            </w:r>
          </w:p>
        </w:tc>
        <w:tc>
          <w:tcPr>
            <w:tcW w:w="2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r>
      <w:tr>
        <w:trPr>
          <w:trHeight w:val="218"/>
        </w:trPr>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 fiscal year</w:t>
            </w: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7"/>
              </w:rPr>
              <w:t>Majority of Votes Cast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Yes</w:t>
            </w:r>
          </w:p>
        </w:tc>
      </w:tr>
    </w:tbl>
    <w:p>
      <w:pPr>
        <w:spacing w:after="0" w:line="185" w:lineRule="exact"/>
        <w:rPr>
          <w:sz w:val="20"/>
          <w:szCs w:val="20"/>
          <w:color w:val="auto"/>
        </w:rPr>
      </w:pPr>
    </w:p>
    <w:p>
      <w:pPr>
        <w:jc w:val="both"/>
        <w:ind w:firstLine="617"/>
        <w:spacing w:after="0" w:line="261" w:lineRule="auto"/>
        <w:rPr>
          <w:sz w:val="20"/>
          <w:szCs w:val="20"/>
          <w:color w:val="auto"/>
        </w:rPr>
      </w:pPr>
      <w:r>
        <w:rPr>
          <w:rFonts w:ascii="Times New Roman" w:cs="Times New Roman" w:eastAsia="Times New Roman" w:hAnsi="Times New Roman"/>
          <w:sz w:val="17"/>
          <w:szCs w:val="17"/>
          <w:color w:val="auto"/>
        </w:rPr>
        <w:t>With respect to Proposal 1, you may vote FOR or WITHHOLD for any or all director nominees. With respect to Proposals 2 and 3, you may vote FOR, AGAINST or ABSTAIN. As specified in our Amended and Restated Bylaws (“Bylaws”), abstentions and broker non-votes are not considered to be a vote cast. Accordingly, abstentions and broker non-votes will have no effect on the outcome of Proposals 1, 2 or 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to Vote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1A Burton Hills Blvd., Suite 200, Nashville, TN 37215 or by using the telephone or Internet voting systems set forth in the proxy card or Notice of Internet Availability.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If you plan to attend the Annual Meeting and wish to vote in person, you will be given a ballot at the Annual Meeting. Please note that if your shares are held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Revocation of Proxies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You are a stockholder of record if, at the close of business on the record date, your shares were registered directly in your name with Securities Transfer Corporation, our transfer agent. If you are a stockholder of record and submit your vote by proxy, you may revoke it at any time before its use, either by:</w:t>
      </w:r>
    </w:p>
    <w:p>
      <w:pPr>
        <w:spacing w:after="0" w:line="159" w:lineRule="exact"/>
        <w:rPr>
          <w:sz w:val="20"/>
          <w:szCs w:val="20"/>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revoking it in person at the Annual Meeting;</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a written notice to our Corporate Secretary at 1A Burton Hills Blvd., Suite 200, Nashville, TN 37215 before the proxy is used; or</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a later dated proxy card to us at the address noted above before the proxy is used.</w:t>
      </w:r>
    </w:p>
    <w:p>
      <w:pPr>
        <w:spacing w:after="0" w:line="19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Your presence at the Annual Meeting will not revoke your proxy, but if you attend the meeting and cast a ballot, your proxy will be revoked as to the matters on which the ballot is cast.</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and Method of Solicitation</w:t>
      </w:r>
    </w:p>
    <w:p>
      <w:pPr>
        <w:spacing w:after="0" w:line="212"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We will bear the entire cost of solicitation of proxies, including preparation, assembly, printing and mailing of this Proxy Statement, the Notice, the proxy card and any additional information furnished to our stockholders. Solicitation of proxies by mail may be supplemented by telephone or personal solicitation by our directors, officers or other employees. No additional compensation will be paid to directors, officers or other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List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 complete list of registered stockholders entitled to vote at the Annual Meeting will be available for examination by any stockholder for any purpose related to the Annual Meeting during the ten days prior to the Annual Meeting during ordinary business hours at our principal offices located at 1A Burton Hills Blvd., Suite 200, Nashville, TN 37215.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bl>
    <w:p>
      <w:pPr>
        <w:sectPr>
          <w:pgSz w:w="11900" w:h="16838" w:orient="portrait"/>
          <w:cols w:equalWidth="0" w:num="1">
            <w:col w:w="11240"/>
          </w:cols>
          <w:pgMar w:left="320" w:top="62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PROPOSAL 1 - ELECTION OF DIRECTORS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Upon the recommendation of the Company’s Nomination and Corporate Governance Committee, the Board has nominated the four current directors for election at the Annual Meeting. Each nominee currently serves on the Board and was elected or re-elected by our stockholders at our 2025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Nominees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Board has selected the four persons listed below as nominees for election to the Board at the Annual Meeting. Each of these nominees has indicated that he or she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table sets forth information regarding the nominees for directors and such persons, if elected at the Annual Meeting, will serve as directors until the earlier of the 2027 Annual Meeting of Stockholders (the “2027 Annual Meeting”) or until their successors are duly elected and qualified.</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222"/>
        </w:trPr>
        <w:tc>
          <w:tcPr>
            <w:tcW w:w="2120" w:type="dxa"/>
            <w:vAlign w:val="bottom"/>
            <w:gridSpan w:val="2"/>
          </w:tcPr>
          <w:p>
            <w:pPr>
              <w:ind w:left="7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6500" w:type="dxa"/>
            <w:vAlign w:val="bottom"/>
          </w:tcPr>
          <w:p>
            <w:pPr>
              <w:ind w:left="2420"/>
              <w:spacing w:after="0"/>
              <w:rPr>
                <w:sz w:val="20"/>
                <w:szCs w:val="20"/>
                <w:color w:val="auto"/>
              </w:rPr>
            </w:pPr>
            <w:r>
              <w:rPr>
                <w:rFonts w:ascii="Times New Roman" w:cs="Times New Roman" w:eastAsia="Times New Roman" w:hAnsi="Times New Roman"/>
                <w:sz w:val="17"/>
                <w:szCs w:val="17"/>
                <w:b w:val="1"/>
                <w:bCs w:val="1"/>
                <w:color w:val="auto"/>
              </w:rPr>
              <w:t>Position &amp; Committees</w:t>
            </w:r>
          </w:p>
        </w:tc>
      </w:tr>
      <w:tr>
        <w:trPr>
          <w:trHeight w:val="195"/>
        </w:trPr>
        <w:tc>
          <w:tcPr>
            <w:tcW w:w="1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L. Baum</w:t>
            </w: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180" w:type="dxa"/>
            <w:vAlign w:val="bottom"/>
            <w:tcBorders>
              <w:top w:val="single" w:sz="8" w:color="CCEEFF"/>
            </w:tcBorders>
            <w:shd w:val="clear" w:color="auto" w:fill="CCEEFF"/>
          </w:tcPr>
          <w:p>
            <w:pPr>
              <w:spacing w:after="0"/>
              <w:rPr>
                <w:sz w:val="16"/>
                <w:szCs w:val="16"/>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 of the Board and Chief Executive Officer</w:t>
            </w:r>
          </w:p>
        </w:tc>
      </w:tr>
      <w:tr>
        <w:trPr>
          <w:trHeight w:val="185"/>
        </w:trPr>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5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Independent Director, Audit Committee, Compensation Committee (chair), Nomination and</w:t>
            </w:r>
          </w:p>
        </w:tc>
      </w:tr>
      <w:tr>
        <w:trPr>
          <w:trHeight w:val="218"/>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Adrienne L. Graves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72</w:t>
            </w:r>
          </w:p>
        </w:tc>
        <w:tc>
          <w:tcPr>
            <w:tcW w:w="1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Corporate Governance Committee (chair)</w:t>
            </w:r>
          </w:p>
        </w:tc>
      </w:tr>
      <w:tr>
        <w:trPr>
          <w:trHeight w:val="185"/>
        </w:trPr>
        <w:tc>
          <w:tcPr>
            <w:tcW w:w="1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5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Independent Director, Audit Committee (chair), Compensation Committee, Nomination and</w:t>
            </w:r>
          </w:p>
        </w:tc>
      </w:tr>
      <w:tr>
        <w:trPr>
          <w:trHeight w:val="218"/>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Lauren P. Silvernail</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67</w:t>
            </w:r>
          </w:p>
        </w:tc>
        <w:tc>
          <w:tcPr>
            <w:tcW w:w="1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Governance Committee</w:t>
            </w:r>
          </w:p>
        </w:tc>
      </w:tr>
      <w:tr>
        <w:trPr>
          <w:trHeight w:val="185"/>
        </w:trPr>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5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Lead Independent Director, Audit Committee, Compensation Committee, Nomination and</w:t>
            </w:r>
          </w:p>
        </w:tc>
      </w:tr>
      <w:tr>
        <w:trPr>
          <w:trHeight w:val="218"/>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Perry J. Sternberg</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c>
          <w:tcPr>
            <w:tcW w:w="1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Corporate Governance Committee</w:t>
            </w:r>
          </w:p>
        </w:tc>
      </w:tr>
    </w:tbl>
    <w:p>
      <w:pPr>
        <w:spacing w:after="0" w:line="18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Board believes these nominees collectively provide a balanced mix of executive leadership, public company governance, financial, commercial, regulatory, and ophthalmic industry experience relevant to the Company’s strategy and risk oversight.</w:t>
      </w:r>
    </w:p>
    <w:p>
      <w:pPr>
        <w:spacing w:after="0" w:line="155"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Mark L. Baum </w:t>
      </w:r>
      <w:r>
        <w:rPr>
          <w:rFonts w:ascii="Times New Roman" w:cs="Times New Roman" w:eastAsia="Times New Roman" w:hAnsi="Times New Roman"/>
          <w:sz w:val="16"/>
          <w:szCs w:val="16"/>
          <w:color w:val="auto"/>
        </w:rPr>
        <w:t>is a founder, Chairman of the Board of Directors and Chief Executive Officer of the Company. In 2011, Mr. Baum led the restructuring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reorganization of the Company and since that time has directed the key operational and strategic activities of the Company. Mr. Baum was appointed as a director of the Company in December 2011, served as the Chairman of the Board of Directors from December 2011 to April 2012, was appointed Chief Executive Officer in April 2012, and was again appointed and has served as the Chairman of the Board since August 2021. Mr. Baum is also a founder and former board member of Melt Pharmaceuticals, Inc., Surface Ophthalmics, Inc., and Eton Pharmaceuticals, Inc. Before Harrow, as the founder of TBLF, LLC, a private investment fund manager, Mr. Baum made more than 200 investments in, and provided advisory and board service to, more than 40 private and public companies. In 1999, Mr. Baum founded YesRx, an HIV-focused pharmacy business. Mr. Baum actively advocates for patient and physician pharmaceutical accessibility issues, including being featured in Op-Ed contributions for the Wall Street Journal and appearances on national and international media outlets and other forums. Mr. Baum was named by Ernst &amp; Young</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LLP as the 2017 Entrepreneur of the Year</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in the life sciences category for the San Diego region. Mr. Baum serves on the board of the Ophthalmology Foundation, which works with eye care professionals to professional societies to enhance and provide ophthalmic education, focusing on low-resource and underserved countries. Mr. Baum is a graduate, </w:t>
      </w:r>
      <w:r>
        <w:rPr>
          <w:rFonts w:ascii="Times New Roman" w:cs="Times New Roman" w:eastAsia="Times New Roman" w:hAnsi="Times New Roman"/>
          <w:sz w:val="17"/>
          <w:szCs w:val="17"/>
          <w:i w:val="1"/>
          <w:iCs w:val="1"/>
          <w:color w:val="auto"/>
        </w:rPr>
        <w:t>cum laude</w:t>
      </w:r>
      <w:r>
        <w:rPr>
          <w:rFonts w:ascii="Times New Roman" w:cs="Times New Roman" w:eastAsia="Times New Roman" w:hAnsi="Times New Roman"/>
          <w:sz w:val="17"/>
          <w:szCs w:val="17"/>
          <w:color w:val="auto"/>
        </w:rPr>
        <w:t>, of The University of Texas at Arlington and a graduate of California Western School of Law. The Board believes that Mr. Baum is qualified to serve as a director as a result of his years of public company executive and board experience, including knowledge of securities laws, reporting requirements, and public company finance-related issues.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bl>
    <w:p>
      <w:pPr>
        <w:sectPr>
          <w:pgSz w:w="11900" w:h="16838" w:orient="portrait"/>
          <w:cols w:equalWidth="0" w:num="1">
            <w:col w:w="11240"/>
          </w:cols>
          <w:pgMar w:left="320" w:top="623" w:right="339" w:bottom="1440" w:gutter="0" w:footer="0" w:header="0"/>
        </w:sectPr>
      </w:pPr>
    </w:p>
    <w:bookmarkStart w:id="13" w:name="page14"/>
    <w:bookmarkEnd w:id="13"/>
    <w:p>
      <w:pPr>
        <w:jc w:val="both"/>
        <w:ind w:firstLine="605"/>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Adrienne L. Graves </w:t>
      </w:r>
      <w:r>
        <w:rPr>
          <w:rFonts w:ascii="Times New Roman" w:cs="Times New Roman" w:eastAsia="Times New Roman" w:hAnsi="Times New Roman"/>
          <w:sz w:val="17"/>
          <w:szCs w:val="17"/>
          <w:color w:val="auto"/>
        </w:rPr>
        <w:t>has served as a director of the Company since January 2024. She previously served as President and Chief Executive Officer of Santen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 the United States subsidiary of a publicly traded Japanese pharmaceutical company, from 2002 to 2010 and as Senior Vice President of Worldwide Clinical Development (U.S., Europe, and Japan) from 1995 to 2002. Ms. Graves has served as a member of the boards of directors of Ocular Therapeutix, Inc., a publicly traded biopharmaceutical company, since July 2023; Opus Genetics, Inc., a public ophthalmic biotech company, since 2024; NVasc, Inc., a private retina biotech company, since 2023; Osanni Bio, Inc., a private ophthalmic biotech company, since 2024; JelliSee Ophthalmics, Inc., a private IOL device company, since 2023; and Qlaris Bio, Inc., a private glaucoma pharmaceutical company, since 2019. Previously, Ms. Graves served as a member of the board of directors of Surface Ophthalmics, Inc., a development-stage ophthalmology pharmaceutical company and former subsidiary of the Company, from 2018 to 2024; Nicox S.A., a French ophthalmology company, from 2014 to 2024; IVERIC bio, Inc., a biopharmaceutical company, from 2018 to 2021, and as the chairman of IVERIC’s board from 2021 to 2023; Greenbrook TMS Inc., a Canadian neurology and medical device company, from 2018 to 2023; Oxurion NV, a Belgian biopharmaceutical company, from 2018 until 2023; Akorn Inc., a pharmaceutical company, from 2012 to 2018; and TearLab Corporation (now Trukera Medical), a biopharmaceutical company, from 2005 to 2018. Ms. Graves received a Bachelor of Arts degree in Psychology from Brown University and a Ph.D. in Psychobiology from the University of Michigan and completed a Postdoctoral Fellowship in Visual Neuroscience at the University of Paris. The Board believes that Ms. Graves is qualified to serve as a director as a result of her Board leadership skills and pharmaceutical development and operational expertise across the pharmaceutical industry, including having contributed to bringing multiple ophthalmic products through development to approval and commercialization as well as having been responsible for numerous successful acquisitions and partnerships.</w:t>
      </w:r>
    </w:p>
    <w:p>
      <w:pPr>
        <w:spacing w:after="0" w:line="185"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Lauren P. Silvernail </w:t>
      </w:r>
      <w:r>
        <w:rPr>
          <w:rFonts w:ascii="Times New Roman" w:cs="Times New Roman" w:eastAsia="Times New Roman" w:hAnsi="Times New Roman"/>
          <w:sz w:val="16"/>
          <w:szCs w:val="16"/>
          <w:color w:val="auto"/>
        </w:rPr>
        <w:t>has served as a director of the Company since January 2024. From 2018 until her retirement in 2022, she was Chief Financial Officer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Executive Vice President, Corporate Development of Evolus, Inc., an aesthetic medicines company. Prior to that time, Ms. Silvernail served as the Chief Financial Officer and Chief Business Officer of Revance Therapeutics, Inc., a development stage aesthetic medicine company, from 2015 to 2018 and as Chief Financial Officer and Executive Vice President, Corporate Development from 2013 to 2015. From 2003 to 2012, Ms. Silvernail was Chief Financial Officer and Vice President of Corporate Development at ISTA Pharmaceuticals, Inc., a commercial pharmaceutical company that was acquired by Bausch &amp; Lomb. From 1995 to 2003, Ms. Silvernail served in various operating and corporate development positions at Allergan, a pharmaceutical company, including Vice President, Business Development. Prior to joining Allergan, Ms. Silvernail worked at Glenwood Ventures, an investment firm, as a General Partner. She previously served on the board of directors and as chair of the audit committee of Dynavax, a commercial-stage biopharmaceutical company developing and commercializing vaccines, which was acquired by Sanofi. Ms. Silvernail previously served on the board of directors and as chair of the audit committee at Harpoon Therapeutics, Inc., an immuno-oncology company that was acquired by Merck &amp; Co., Inc., and on the board of directors, as a member of the audit and compensation committees and as the chair of the corporate governance committee of Nicox S.A. from 2017 to 2024. Ms. Silvernail holds a Bachelor of Arts degree in Biophysics from the University of California, Berkeley and a Master of Business Administration degree from the Anderson Graduate School of Management at the University of California, Los Angeles. The Board believes that Ms. Silvernail is qualified to serve as a director as a result of her track record in operational, financial, and business development within the life sciences industry.</w:t>
      </w:r>
    </w:p>
    <w:p>
      <w:pPr>
        <w:spacing w:after="0" w:line="163"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Perry J. Sternberg </w:t>
      </w:r>
      <w:r>
        <w:rPr>
          <w:rFonts w:ascii="Times New Roman" w:cs="Times New Roman" w:eastAsia="Times New Roman" w:hAnsi="Times New Roman"/>
          <w:sz w:val="17"/>
          <w:szCs w:val="17"/>
          <w:color w:val="auto"/>
        </w:rPr>
        <w:t>has served as a member of our Board of Directors since March 2022. In 2024, Mr. Sternberg was appointed as Chief Executive Officer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Sydnexis, a pre-commercial stage biopharmaceutical company focused on the treatment of progression of pediatric myopia. Prior to joining Sydnexis, Mr. Sternberg was the President and Chief Executive Officer of Corium, Inc., a commercial stage biopharmaceutical company leading the development and commercialization of novel central nervous system (“CNS”) therapies, since 2019. Prior to joining Corium, he served from 2013 to 2019 as Executive Vice President and Head of U.S. Commercial for Shire Plc’s ophthalmology business unit as well as six other Shire business units, which, during his tenure, in the aggregate, generated more than $8 billion in annual revenues. Mr. Sternberg also served as Chief Commercial Officer and Global Head of Shire’s CNS Business. Mr. Sternberg previously served as Vice President and General Manager, U.S. and Canada Pharmaceuticals at Bausch &amp; Lomb, as well as various leadership roles at Novartis Ophthalmics, Novartis Pharmaceuticals and Merck &amp; Co., Inc. In his 25 years of experience in biotechnology and pharmaceuticals, Mr. Sternberg has had direct responsibility for the launch and commercialization of more than 20 products across a wide range of therapeutic areas in diverse markets, including ophthalmic pharmaceuticals. Mr. Sternberg is also a member of the board of directors of privately held Surface Ophthalmics, Inc. He received a Bachelor of Science degree in Animal Bioscience from Penn State University in 1990. The Board believes that Mr. Sternberg is qualified to serve as a director as a result of his 25 years of experience in biotechnology and pharmaceuticals, including the development of a strategic marketing vision, implementation of tactical sales plans that drive revenue growth, and leadership of teams to achieve as well as exceed growth targets.</w:t>
      </w:r>
    </w:p>
    <w:p>
      <w:pPr>
        <w:spacing w:after="0" w:line="181"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There are no family relationships among any of our directors or executive officers, and there are no arrangements or understandings between any director or executive officer and any other person pursuant to which any such person was selected as a director or executive officer.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bl>
    <w:p>
      <w:pPr>
        <w:sectPr>
          <w:pgSz w:w="11900" w:h="16838" w:orient="portrait"/>
          <w:cols w:equalWidth="0" w:num="1">
            <w:col w:w="11240"/>
          </w:cols>
          <w:pgMar w:left="320" w:top="6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Board Skill Matrix</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Each of our directors’ specific skills and experience are included in the table below and described more fully in their individual biographies. Even though a specific skill may not be indicated below, our directors often have some level of experience in each of the areas listed. The Board believes that its members collectively possess a balanced mix of skills, experience and perspectives that support effective oversight of the Company’s strategy, operations, and risk profile.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5180" w:type="dxa"/>
            <w:vAlign w:val="bottom"/>
            <w:gridSpan w:val="2"/>
          </w:tcPr>
          <w:p>
            <w:pPr>
              <w:ind w:left="600"/>
              <w:spacing w:after="0"/>
              <w:rPr>
                <w:sz w:val="20"/>
                <w:szCs w:val="20"/>
                <w:color w:val="auto"/>
              </w:rPr>
            </w:pPr>
            <w:r>
              <w:rPr>
                <w:rFonts w:ascii="Times New Roman" w:cs="Times New Roman" w:eastAsia="Times New Roman" w:hAnsi="Times New Roman"/>
                <w:sz w:val="17"/>
                <w:szCs w:val="17"/>
                <w:b w:val="1"/>
                <w:bCs w:val="1"/>
                <w:color w:val="auto"/>
              </w:rPr>
              <w:t>Business or Professional Experience/Skills/Attributes</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Baum</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Graves</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Silvernail</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Sternberg</w:t>
            </w:r>
          </w:p>
        </w:tc>
      </w:tr>
      <w:tr>
        <w:trPr>
          <w:trHeight w:val="195"/>
        </w:trPr>
        <w:tc>
          <w:tcPr>
            <w:tcW w:w="840" w:type="dxa"/>
            <w:vAlign w:val="bottom"/>
          </w:tcPr>
          <w:p>
            <w:pPr>
              <w:spacing w:after="0"/>
              <w:rPr>
                <w:sz w:val="16"/>
                <w:szCs w:val="16"/>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Leadership</w:t>
            </w:r>
          </w:p>
        </w:tc>
        <w:tc>
          <w:tcPr>
            <w:tcW w:w="2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2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2"/>
        </w:trPr>
        <w:tc>
          <w:tcPr>
            <w:tcW w:w="84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Public Company Governance</w:t>
            </w:r>
          </w:p>
        </w:tc>
        <w:tc>
          <w:tcPr>
            <w:tcW w:w="116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11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114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2"/>
        </w:trPr>
        <w:tc>
          <w:tcPr>
            <w:tcW w:w="84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Financial/Accounting Expertise</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shd w:val="clear" w:color="auto" w:fill="CCEEFF"/>
          </w:tcPr>
          <w:p>
            <w:pPr>
              <w:spacing w:after="0"/>
              <w:rPr>
                <w:sz w:val="17"/>
                <w:szCs w:val="17"/>
                <w:color w:val="auto"/>
              </w:rPr>
            </w:pPr>
          </w:p>
        </w:tc>
      </w:tr>
      <w:tr>
        <w:trPr>
          <w:trHeight w:val="202"/>
        </w:trPr>
        <w:tc>
          <w:tcPr>
            <w:tcW w:w="84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Pharmaceutical / Life Sciences</w:t>
            </w:r>
          </w:p>
        </w:tc>
        <w:tc>
          <w:tcPr>
            <w:tcW w:w="116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11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114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2"/>
        </w:trPr>
        <w:tc>
          <w:tcPr>
            <w:tcW w:w="84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Ophthalmology / Clinical Expertise</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2"/>
        </w:trPr>
        <w:tc>
          <w:tcPr>
            <w:tcW w:w="84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Commercialization / Market Development</w:t>
            </w:r>
          </w:p>
        </w:tc>
        <w:tc>
          <w:tcPr>
            <w:tcW w:w="116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11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114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2"/>
        </w:trPr>
        <w:tc>
          <w:tcPr>
            <w:tcW w:w="84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Regulatory &amp; Risk Management</w:t>
            </w:r>
          </w:p>
        </w:tc>
        <w:tc>
          <w:tcPr>
            <w:tcW w:w="116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114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82"/>
        </w:trPr>
        <w:tc>
          <w:tcPr>
            <w:tcW w:w="84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M&amp;A / Capital Markets</w:t>
            </w:r>
          </w:p>
        </w:tc>
        <w:tc>
          <w:tcPr>
            <w:tcW w:w="116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11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114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9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3"/>
        </w:trPr>
        <w:tc>
          <w:tcPr>
            <w:tcW w:w="6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Vote Required and Board of Directors’ Recommendation</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8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proxy card will vote the proxies they receive FOR the election of the nominees named above unless a particular proxy card withholds authorization to do so or provides contrary instructions.</w:t>
      </w:r>
    </w:p>
    <w:p>
      <w:pPr>
        <w:spacing w:after="0" w:line="172" w:lineRule="exact"/>
        <w:rPr>
          <w:sz w:val="20"/>
          <w:szCs w:val="20"/>
          <w:color w:val="auto"/>
        </w:rPr>
      </w:pPr>
    </w:p>
    <w:p>
      <w:pPr>
        <w:ind w:left="4960" w:right="120" w:hanging="4227"/>
        <w:spacing w:after="0" w:line="279"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STOCKHOLDERS VOTE “FOR” THE ELECTION OF EACH OF THE NOMINEES FOR DIRECTOR.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bl>
    <w:p>
      <w:pPr>
        <w:sectPr>
          <w:pgSz w:w="11900" w:h="16838" w:orient="portrait"/>
          <w:cols w:equalWidth="0" w:num="1">
            <w:col w:w="11240"/>
          </w:cols>
          <w:pgMar w:left="320" w:top="623"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19"/>
                <w:szCs w:val="19"/>
                <w:color w:val="auto"/>
              </w:rPr>
            </w:pPr>
          </w:p>
        </w:tc>
        <w:tc>
          <w:tcPr>
            <w:tcW w:w="6700" w:type="dxa"/>
            <w:vAlign w:val="bottom"/>
          </w:tcPr>
          <w:p>
            <w:pPr>
              <w:ind w:left="3320"/>
              <w:spacing w:after="0"/>
              <w:rPr>
                <w:sz w:val="20"/>
                <w:szCs w:val="20"/>
                <w:color w:val="auto"/>
              </w:rPr>
            </w:pPr>
            <w:r>
              <w:rPr>
                <w:rFonts w:ascii="Times New Roman" w:cs="Times New Roman" w:eastAsia="Times New Roman" w:hAnsi="Times New Roman"/>
                <w:sz w:val="17"/>
                <w:szCs w:val="17"/>
                <w:b w:val="1"/>
                <w:bCs w:val="1"/>
                <w:color w:val="auto"/>
              </w:rPr>
              <w:t>DIRECTOR COMPENSATION</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3"/>
        </w:trPr>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 Compensation Program for the Year Ended December 31, 2025</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3"/>
        </w:trPr>
        <w:tc>
          <w:tcPr>
            <w:tcW w:w="78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A summary of the non-employee director compensation arrangements for 2025 is set forth below.</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3"/>
        </w:trPr>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Cash Compensation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3"/>
        </w:trPr>
        <w:tc>
          <w:tcPr>
            <w:tcW w:w="11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Retainer and</w:t>
            </w:r>
          </w:p>
        </w:tc>
      </w:tr>
      <w:tr>
        <w:trPr>
          <w:trHeight w:val="222"/>
        </w:trPr>
        <w:tc>
          <w:tcPr>
            <w:tcW w:w="11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Meeting Fees</w:t>
            </w:r>
          </w:p>
        </w:tc>
      </w:tr>
      <w:tr>
        <w:trPr>
          <w:trHeight w:val="195"/>
        </w:trPr>
        <w:tc>
          <w:tcPr>
            <w:tcW w:w="1140" w:type="dxa"/>
            <w:vAlign w:val="bottom"/>
          </w:tcPr>
          <w:p>
            <w:pPr>
              <w:spacing w:after="0"/>
              <w:rPr>
                <w:sz w:val="16"/>
                <w:szCs w:val="16"/>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Annual Board Retainer Fee</w:t>
            </w:r>
          </w:p>
        </w:tc>
        <w:tc>
          <w:tcPr>
            <w:tcW w:w="6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114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Annual Chair Retainer Fees*: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Non-Employee Chairman of the Board or Lead Independent Director</w:t>
            </w:r>
          </w:p>
        </w:tc>
        <w:tc>
          <w:tcPr>
            <w:tcW w:w="86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80" w:type="dxa"/>
            <w:vAlign w:val="bottom"/>
            <w:shd w:val="clear" w:color="auto" w:fill="CCEEFF"/>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Audit Committee Chair</w:t>
            </w:r>
          </w:p>
        </w:tc>
        <w:tc>
          <w:tcPr>
            <w:tcW w:w="860" w:type="dxa"/>
            <w:vAlign w:val="bottom"/>
            <w:gridSpan w:val="2"/>
          </w:tcPr>
          <w:p>
            <w:pPr>
              <w:jc w:val="right"/>
              <w:ind w:right="67"/>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8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Compensation Committee Chair</w:t>
            </w:r>
          </w:p>
        </w:tc>
        <w:tc>
          <w:tcPr>
            <w:tcW w:w="86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80" w:type="dxa"/>
            <w:vAlign w:val="bottom"/>
            <w:shd w:val="clear" w:color="auto" w:fill="CCEEFF"/>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Nomination and Corporate Governance Committee Chair</w:t>
            </w:r>
          </w:p>
        </w:tc>
        <w:tc>
          <w:tcPr>
            <w:tcW w:w="860" w:type="dxa"/>
            <w:vAlign w:val="bottom"/>
            <w:gridSpan w:val="2"/>
          </w:tcPr>
          <w:p>
            <w:pPr>
              <w:jc w:val="right"/>
              <w:ind w:right="67"/>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Annual Committee Member Retainer Fees*: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Audit Committee</w:t>
            </w:r>
          </w:p>
        </w:tc>
        <w:tc>
          <w:tcPr>
            <w:tcW w:w="860" w:type="dxa"/>
            <w:vAlign w:val="bottom"/>
            <w:gridSpan w:val="2"/>
          </w:tcPr>
          <w:p>
            <w:pPr>
              <w:jc w:val="right"/>
              <w:ind w:right="67"/>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Compensation Committee</w:t>
            </w:r>
          </w:p>
        </w:tc>
        <w:tc>
          <w:tcPr>
            <w:tcW w:w="86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80" w:type="dxa"/>
            <w:vAlign w:val="bottom"/>
            <w:shd w:val="clear" w:color="auto" w:fill="CCEEFF"/>
          </w:tcPr>
          <w:p>
            <w:pPr>
              <w:spacing w:after="0"/>
              <w:rPr>
                <w:sz w:val="17"/>
                <w:szCs w:val="17"/>
                <w:color w:val="auto"/>
              </w:rPr>
            </w:pPr>
          </w:p>
        </w:tc>
      </w:tr>
      <w:tr>
        <w:trPr>
          <w:trHeight w:val="218"/>
        </w:trPr>
        <w:tc>
          <w:tcPr>
            <w:tcW w:w="114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Nomination and Corporate Governance Committee</w:t>
            </w:r>
          </w:p>
        </w:tc>
        <w:tc>
          <w:tcPr>
            <w:tcW w:w="860" w:type="dxa"/>
            <w:vAlign w:val="bottom"/>
            <w:gridSpan w:val="2"/>
          </w:tcPr>
          <w:p>
            <w:pPr>
              <w:jc w:val="right"/>
              <w:ind w:right="67"/>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80" w:type="dxa"/>
            <w:vAlign w:val="bottom"/>
          </w:tcPr>
          <w:p>
            <w:pPr>
              <w:spacing w:after="0"/>
              <w:rPr>
                <w:sz w:val="18"/>
                <w:szCs w:val="18"/>
                <w:color w:val="auto"/>
              </w:rPr>
            </w:pPr>
          </w:p>
        </w:tc>
      </w:tr>
    </w:tbl>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 These fees are in addition to the Annual Board Retainer Fee, as applicable.</w:t>
      </w:r>
    </w:p>
    <w:p>
      <w:pPr>
        <w:spacing w:after="0" w:line="24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Non-employee directors are also reimbursed for their reasonable out-of-pocket expenses incurred in connection with attending Board and committee meetings.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Compensation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Each non-employee director is eligible to receive an annual award of restricted stock units (“RSUs”) with a grant date value of $225,000, as well as an initial RSU award upon appointment to the Board. Effective in 2025, the annual award value was increased from $150,000 to $225,000. These RSUs will vest in equal quarterly installments over a one-year period subject to the director’s continued service, but the issuance and delivery of the shares subject to the RSUs are deferred until the director resigns or otherwise terminates his or her service as a director.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 Table</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following table shows the compensation earned by, awarded or paid in 2025 to the individuals who served as our non-employee directors during such period and the number of shares underlying RSUs held by each non-employee director at year-end. Martin A. Makary was a Board member until his resignation from his position on the Board in January 2025. Mr. Baum did not receive any additional compensation for his services as a director and his compensation received as an executive officer is disclosed in the Summary Compensation Table in this Proxy Statement.</w:t>
      </w: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center"/>
              <w:ind w:right="40"/>
              <w:spacing w:after="0" w:line="184" w:lineRule="exact"/>
              <w:rPr>
                <w:sz w:val="20"/>
                <w:szCs w:val="20"/>
                <w:color w:val="auto"/>
              </w:rPr>
            </w:pPr>
            <w:r>
              <w:rPr>
                <w:rFonts w:ascii="Times New Roman" w:cs="Times New Roman" w:eastAsia="Times New Roman" w:hAnsi="Times New Roman"/>
                <w:sz w:val="17"/>
                <w:szCs w:val="17"/>
                <w:b w:val="1"/>
                <w:bCs w:val="1"/>
                <w:color w:val="auto"/>
                <w:w w:val="96"/>
              </w:rPr>
              <w:t>Aggregate</w:t>
            </w:r>
          </w:p>
        </w:tc>
      </w:tr>
      <w:tr>
        <w:trPr>
          <w:trHeight w:val="202"/>
        </w:trPr>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Shares</w:t>
            </w:r>
          </w:p>
        </w:tc>
      </w:tr>
      <w:tr>
        <w:trPr>
          <w:trHeight w:val="202"/>
        </w:trPr>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Underlying</w:t>
            </w:r>
          </w:p>
        </w:tc>
      </w:tr>
      <w:tr>
        <w:trPr>
          <w:trHeight w:val="202"/>
        </w:trPr>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Fees Earned or Paid</w:t>
            </w:r>
          </w:p>
        </w:tc>
        <w:tc>
          <w:tcPr>
            <w:tcW w:w="160" w:type="dxa"/>
            <w:vAlign w:val="bottom"/>
          </w:tcPr>
          <w:p>
            <w:pPr>
              <w:spacing w:after="0"/>
              <w:rPr>
                <w:sz w:val="17"/>
                <w:szCs w:val="17"/>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RSUs</w:t>
            </w:r>
          </w:p>
        </w:tc>
      </w:tr>
      <w:tr>
        <w:trPr>
          <w:trHeight w:val="202"/>
        </w:trPr>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in Cash</w:t>
            </w:r>
          </w:p>
        </w:tc>
        <w:tc>
          <w:tcPr>
            <w:tcW w:w="160" w:type="dxa"/>
            <w:vAlign w:val="bottom"/>
          </w:tcPr>
          <w:p>
            <w:pPr>
              <w:spacing w:after="0"/>
              <w:rPr>
                <w:sz w:val="17"/>
                <w:szCs w:val="17"/>
                <w:color w:val="auto"/>
              </w:rPr>
            </w:pPr>
          </w:p>
        </w:tc>
        <w:tc>
          <w:tcPr>
            <w:tcW w:w="1300" w:type="dxa"/>
            <w:vAlign w:val="bottom"/>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Held by</w:t>
            </w:r>
          </w:p>
        </w:tc>
      </w:tr>
      <w:tr>
        <w:trPr>
          <w:trHeight w:val="222"/>
        </w:trPr>
        <w:tc>
          <w:tcPr>
            <w:tcW w:w="4500" w:type="dxa"/>
            <w:vAlign w:val="bottom"/>
          </w:tcPr>
          <w:p>
            <w:pPr>
              <w:ind w:left="204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Directors (3)</w:t>
            </w:r>
          </w:p>
        </w:tc>
      </w:tr>
      <w:tr>
        <w:trPr>
          <w:trHeight w:val="195"/>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Adrienne L. Graves</w:t>
            </w: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83,750</w:t>
            </w: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225,014</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308,764</w:t>
            </w:r>
          </w:p>
        </w:tc>
        <w:tc>
          <w:tcPr>
            <w:tcW w:w="3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18,805</w:t>
            </w:r>
          </w:p>
        </w:tc>
        <w:tc>
          <w:tcPr>
            <w:tcW w:w="40" w:type="dxa"/>
            <w:vAlign w:val="bottom"/>
            <w:tcBorders>
              <w:top w:val="single" w:sz="8" w:color="CCEEFF"/>
            </w:tcBorders>
            <w:shd w:val="clear" w:color="auto" w:fill="CCEEFF"/>
          </w:tcPr>
          <w:p>
            <w:pPr>
              <w:spacing w:after="0"/>
              <w:rPr>
                <w:sz w:val="16"/>
                <w:szCs w:val="16"/>
                <w:color w:val="auto"/>
              </w:rPr>
            </w:pPr>
          </w:p>
        </w:tc>
      </w:tr>
      <w:tr>
        <w:trPr>
          <w:trHeight w:val="202"/>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Lauren P. Silvernail</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82,500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225,014</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307,514</w:t>
            </w:r>
          </w:p>
        </w:tc>
        <w:tc>
          <w:tcPr>
            <w:tcW w:w="30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18,805</w:t>
            </w:r>
          </w:p>
        </w:tc>
      </w:tr>
      <w:tr>
        <w:trPr>
          <w:trHeight w:val="20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Perry J. Sternberg</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102,500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225,014</w:t>
            </w:r>
          </w:p>
        </w:tc>
        <w:tc>
          <w:tcPr>
            <w:tcW w:w="4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327,514</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36,553</w:t>
            </w:r>
          </w:p>
        </w:tc>
      </w:tr>
      <w:tr>
        <w:trPr>
          <w:trHeight w:val="218"/>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Martin A. Makary (4)</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7856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70" w:lineRule="exact"/>
        <w:rPr>
          <w:sz w:val="20"/>
          <w:szCs w:val="20"/>
          <w:color w:val="auto"/>
        </w:rPr>
      </w:pPr>
    </w:p>
    <w:p>
      <w:pPr>
        <w:ind w:left="300" w:right="40" w:hanging="299"/>
        <w:spacing w:after="0" w:line="255"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Reflects the grant date fair value of awards granted in 2025, measured in accordance with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(“ASC 718”) and without adjustment for estimated forfeitures. For a discussion of the assumptions used to calculate the value of equity awards, refer to Note 15 to our consolidated financial statements for the fiscal year ended December 31, 2025, included in the Annual Report.</w:t>
      </w:r>
    </w:p>
    <w:p>
      <w:pPr>
        <w:spacing w:after="0" w:line="2" w:lineRule="exact"/>
        <w:rPr>
          <w:rFonts w:ascii="Times New Roman" w:cs="Times New Roman" w:eastAsia="Times New Roman" w:hAnsi="Times New Roman"/>
          <w:sz w:val="17"/>
          <w:szCs w:val="17"/>
          <w:color w:val="auto"/>
        </w:rPr>
      </w:pPr>
    </w:p>
    <w:p>
      <w:pPr>
        <w:ind w:left="300" w:right="60" w:hanging="299"/>
        <w:spacing w:after="0" w:line="247"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exception of Mr. Makary, who resigned in January 2025, each non-employee director received an award of 7,339 RSUs during the year ended December 31, 2025.</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that have vested, but the issuance and delivery of which is deferred until the director resigns or otherwise terminates service.</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Makary resigned from the Board in January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bl>
    <w:p>
      <w:pPr>
        <w:sectPr>
          <w:pgSz w:w="11900" w:h="16838" w:orient="portrait"/>
          <w:cols w:equalWidth="0" w:num="1">
            <w:col w:w="11240"/>
          </w:cols>
          <w:pgMar w:left="320" w:top="62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Board of Directors has adopted corporate governance guidelines to assist the Board in the exercise of its responsibilities and to promote the effective governance of the Company for the benefit of the Company and its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Board of Directors currently consists of the following four members: Mark L. Baum (Chair), Adrienne L. Graves, Lauren P. Silvernail, and Perry J. Sternberg (Lead Independent Director). The Board has affirmatively determined that Ms. Graves, Ms. Silvernail, and Mr. Sternberg, who comprise a majority of our current Board, are “independent” directors, as that term is defined by Nasdaq Marketplace Rule 5605(a)(2). Mr. Baum is not independent because he currently serves as our Chief Executive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both filled by Mark L. Baum. As a result of his in-depth knowledge of the Company’s operations gained by serving as Chief Executive Officer, Mr. Baum is well positioned to identify and lead Board deliberations regarding important matters relating to the Company’s operations, strategic priorities, and overall development. The Board believes that serving as both Chief Executive Officer and Chairman of the Board enables Mr. Baum to facilitate effective communication between Company management and the Board and to ensure key issues and recommendations are brought to the attention of the Board. The Board believes that this leadership structure, in conjunction with the appointment of a Lead Independent Director, is the most effective for the Company at this time, and that our existing corporate governance practices effectively achieve independent oversight and management accountability.</w:t>
      </w:r>
    </w:p>
    <w:p>
      <w:pPr>
        <w:spacing w:after="0" w:line="18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Corporate Governance Guidelines also provide that, if the same individual serves as Chairman of the Board and Chief Executive Officer, or if the Chairman of the Board is otherwise not independent, our Board shall appoint a Lead Independent Director. Mr. Sternberg has served as our Lead Independent Director since November 2023.</w:t>
      </w:r>
    </w:p>
    <w:p>
      <w:pPr>
        <w:spacing w:after="0" w:line="169" w:lineRule="exact"/>
        <w:rPr>
          <w:sz w:val="20"/>
          <w:szCs w:val="20"/>
          <w:color w:val="auto"/>
        </w:rPr>
      </w:pPr>
    </w:p>
    <w:p>
      <w:pPr>
        <w:jc w:val="both"/>
        <w:ind w:firstLine="605"/>
        <w:spacing w:after="0" w:line="265" w:lineRule="auto"/>
        <w:rPr>
          <w:sz w:val="20"/>
          <w:szCs w:val="20"/>
          <w:color w:val="auto"/>
        </w:rPr>
      </w:pPr>
      <w:r>
        <w:rPr>
          <w:rFonts w:ascii="Times New Roman" w:cs="Times New Roman" w:eastAsia="Times New Roman" w:hAnsi="Times New Roman"/>
          <w:sz w:val="16"/>
          <w:szCs w:val="16"/>
          <w:color w:val="auto"/>
        </w:rPr>
        <w:t>The responsibilities of the Lead Independent Director include: (i) fostering processes that allow the Board to function independently of management and encouraging open and effective communication between the Board and management of the Company; (ii) providing input to the Chairman on behalf of the independent directors with respect to Board agendas; (iii) presiding at all meetings of the Board at which the Chairman is not present, as well as regularly scheduled executive sessions of independent directors; (iv) in the case of a conflict of interest involving a director, if appropriate, asking the conflicted director to leave the room during discussion concerning such matter and, if appropriate, asking such director to recuse himself or herself from voting on the relevant matter; (v) communicating with the Chairman and the Chief Executive Officer, as appropriate, regarding meetings of the independent directors and resources and information necessary for the Board to effectively carry out its duties and responsibilities; (vi) serving as liaison between the Chairman and the independent directors; (vii) being available to directors who have concerns that cannot be addressed through the Chairman; (viii) calling meetings of the independent directors, as needed or when appropriate; and</w:t>
      </w:r>
    </w:p>
    <w:p>
      <w:pPr>
        <w:spacing w:after="0" w:line="5" w:lineRule="exact"/>
        <w:rPr>
          <w:sz w:val="20"/>
          <w:szCs w:val="20"/>
          <w:color w:val="auto"/>
        </w:rPr>
      </w:pPr>
    </w:p>
    <w:p>
      <w:pPr>
        <w:ind w:firstLine="1"/>
        <w:spacing w:after="0" w:line="255" w:lineRule="auto"/>
        <w:tabs>
          <w:tab w:leader="none" w:pos="29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performing other functions as may reasonably be requested by the Board or the Chairman. In the event the Company appoints an independent Chairman of the Board, the responsibilities of the Lead Independent Director will be assumed by the independent Chairman of the Board.</w:t>
      </w:r>
    </w:p>
    <w:p>
      <w:pPr>
        <w:spacing w:after="0" w:line="174"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Board periodically reviews its leadership structure and believes that the current combined Chairman and Chief Executive Officer structure is appropriate at this time given the Company’s size, stage of development and strategic priorities. The presence of a Lead Independent Director, along with fully independent Board committees, provides effective independent oversight of management.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bl>
    <w:p>
      <w:pPr>
        <w:sectPr>
          <w:pgSz w:w="11900" w:h="16838" w:orient="portrait"/>
          <w:cols w:equalWidth="0" w:num="1">
            <w:col w:w="11240"/>
          </w:cols>
          <w:pgMar w:left="320" w:top="6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Board Role in Risk Management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40" w:type="dxa"/>
            <w:vAlign w:val="bottom"/>
            <w:gridSpan w:val="2"/>
          </w:tcPr>
          <w:p>
            <w:pPr>
              <w:ind w:left="760"/>
              <w:spacing w:after="0"/>
              <w:rPr>
                <w:sz w:val="20"/>
                <w:szCs w:val="20"/>
                <w:color w:val="auto"/>
              </w:rPr>
            </w:pPr>
            <w:r>
              <w:rPr>
                <w:rFonts w:ascii="Times New Roman" w:cs="Times New Roman" w:eastAsia="Times New Roman" w:hAnsi="Times New Roman"/>
                <w:sz w:val="17"/>
                <w:szCs w:val="17"/>
                <w:b w:val="1"/>
                <w:bCs w:val="1"/>
                <w:color w:val="auto"/>
              </w:rPr>
              <w:t>Board/Committee</w:t>
            </w:r>
          </w:p>
        </w:tc>
        <w:tc>
          <w:tcPr>
            <w:tcW w:w="8200" w:type="dxa"/>
            <w:vAlign w:val="bottom"/>
          </w:tcPr>
          <w:p>
            <w:pPr>
              <w:ind w:left="2920"/>
              <w:spacing w:after="0"/>
              <w:rPr>
                <w:sz w:val="20"/>
                <w:szCs w:val="20"/>
                <w:color w:val="auto"/>
              </w:rPr>
            </w:pPr>
            <w:r>
              <w:rPr>
                <w:rFonts w:ascii="Times New Roman" w:cs="Times New Roman" w:eastAsia="Times New Roman" w:hAnsi="Times New Roman"/>
                <w:sz w:val="17"/>
                <w:szCs w:val="17"/>
                <w:b w:val="1"/>
                <w:bCs w:val="1"/>
                <w:color w:val="auto"/>
              </w:rPr>
              <w:t>Primary Areas of Risk Oversight</w:t>
            </w:r>
          </w:p>
        </w:tc>
      </w:tr>
      <w:tr>
        <w:trPr>
          <w:trHeight w:val="178"/>
        </w:trPr>
        <w:tc>
          <w:tcPr>
            <w:tcW w:w="282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Full Board</w:t>
            </w:r>
          </w:p>
        </w:tc>
        <w:tc>
          <w:tcPr>
            <w:tcW w:w="220" w:type="dxa"/>
            <w:vAlign w:val="bottom"/>
            <w:tcBorders>
              <w:top w:val="single" w:sz="8" w:color="CCEEFF"/>
            </w:tcBorders>
            <w:shd w:val="clear" w:color="auto" w:fill="CCEEFF"/>
          </w:tcPr>
          <w:p>
            <w:pPr>
              <w:spacing w:after="0"/>
              <w:rPr>
                <w:sz w:val="15"/>
                <w:szCs w:val="15"/>
                <w:color w:val="auto"/>
              </w:rPr>
            </w:pPr>
          </w:p>
        </w:tc>
        <w:tc>
          <w:tcPr>
            <w:tcW w:w="82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Risks and exposures associated with the Company business strategy and other current matters that may present material</w:t>
            </w:r>
          </w:p>
        </w:tc>
      </w:tr>
      <w:tr>
        <w:trPr>
          <w:trHeight w:val="218"/>
        </w:trPr>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 to the Company’s financial performance, operations, prospects or reputation.</w:t>
            </w:r>
          </w:p>
        </w:tc>
      </w:tr>
      <w:tr>
        <w:trPr>
          <w:trHeight w:val="185"/>
        </w:trPr>
        <w:tc>
          <w:tcPr>
            <w:tcW w:w="30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Audit Committee</w:t>
            </w:r>
          </w:p>
        </w:tc>
        <w:tc>
          <w:tcPr>
            <w:tcW w:w="82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Risks and exposures relating to the integrity of the Company’s financial statements, financial reporting process, internal</w:t>
            </w:r>
          </w:p>
        </w:tc>
      </w:tr>
      <w:tr>
        <w:trPr>
          <w:trHeight w:val="202"/>
        </w:trPr>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control  over  financial  reporting,  compliance,  cybersecurity,  related-party  transactions,  material  pending  legal</w:t>
            </w:r>
          </w:p>
        </w:tc>
      </w:tr>
      <w:tr>
        <w:trPr>
          <w:trHeight w:val="202"/>
        </w:trPr>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proceedings, contingent liabilities, and other matters that may have a material impact on the Company’s financial</w:t>
            </w:r>
          </w:p>
        </w:tc>
      </w:tr>
      <w:tr>
        <w:trPr>
          <w:trHeight w:val="218"/>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statements.</w:t>
            </w:r>
          </w:p>
        </w:tc>
      </w:tr>
      <w:tr>
        <w:trPr>
          <w:trHeight w:val="186"/>
        </w:trPr>
        <w:tc>
          <w:tcPr>
            <w:tcW w:w="304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Compensation Committee</w:t>
            </w:r>
          </w:p>
        </w:tc>
        <w:tc>
          <w:tcPr>
            <w:tcW w:w="82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Risks and exposures associated with the Company’s compensation policies and  practices,  including  executive</w:t>
            </w:r>
          </w:p>
        </w:tc>
      </w:tr>
      <w:tr>
        <w:trPr>
          <w:trHeight w:val="202"/>
        </w:trPr>
        <w:tc>
          <w:tcPr>
            <w:tcW w:w="2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compensation programs and arrangements, incentive plans, and whether such policies and practices encourage excessive</w:t>
            </w:r>
          </w:p>
        </w:tc>
      </w:tr>
      <w:tr>
        <w:trPr>
          <w:trHeight w:val="218"/>
        </w:trPr>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 inappropriate risk-taking.</w:t>
            </w:r>
          </w:p>
        </w:tc>
      </w:tr>
      <w:tr>
        <w:trPr>
          <w:trHeight w:val="185"/>
        </w:trPr>
        <w:tc>
          <w:tcPr>
            <w:tcW w:w="30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Nomination and Corporate Governance</w:t>
            </w:r>
          </w:p>
        </w:tc>
        <w:tc>
          <w:tcPr>
            <w:tcW w:w="82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Risks and exposures associated with Board composition, director succession planning, corporate governance, and overall</w:t>
            </w:r>
          </w:p>
        </w:tc>
      </w:tr>
      <w:tr>
        <w:trPr>
          <w:trHeight w:val="218"/>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Committee</w:t>
            </w:r>
          </w:p>
        </w:tc>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Board effectiveness.</w:t>
            </w:r>
          </w:p>
        </w:tc>
      </w:tr>
      <w:tr>
        <w:trPr>
          <w:trHeight w:val="403"/>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Cybersecurity Risk Oversight</w:t>
            </w:r>
          </w:p>
        </w:tc>
        <w:tc>
          <w:tcPr>
            <w:tcW w:w="8200" w:type="dxa"/>
            <w:vAlign w:val="bottom"/>
          </w:tcPr>
          <w:p>
            <w:pPr>
              <w:spacing w:after="0"/>
              <w:rPr>
                <w:sz w:val="24"/>
                <w:szCs w:val="24"/>
                <w:color w:val="auto"/>
              </w:rPr>
            </w:pPr>
          </w:p>
        </w:tc>
      </w:tr>
    </w:tbl>
    <w:p>
      <w:pPr>
        <w:spacing w:after="0" w:line="18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Board recognizes the importance of effective cybersecurity risk management and maintains ultimate oversight of the Company’s cybersecurity and other enterprise risks. The Board has delegated primary oversight responsibility for cybersecurity and information security risks to the Audit Committee, which receives regular updates from management and, as appropriate, more frequent updates as circumstances warrant. Management personnel with relevant information security experience and certifications work with the Company’s legal, finance and corporate governance functions to identify, assess, monitor and report cybersecurity risks, including operational and data security risks associated with third-party service providers, policies and procedures, and incident response plans.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Reports to the Audit Committee address, among other things, the Company’s cybersecurity policies, processes and controls, significant developments relating to the identification, mitigation and remediation of cybersecurity risks, the Company’s ability to monitor, protect against, detect and respond to cybersecurity incidents, risk review findings and relevant industry developments. The Audit Committee also ensures that management provides the Board with a cybersecurity and information security update at least annually. In the event of a material cybersecurity incident, senior management, including the Company’s Chief Executive Officer and Vice President of Information Technology, would promptly brief the Audit Committee, which would then oversee the Board’s consideration of the incident, including its materiality and related disclosure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Board currently has three standing committees to facilitate and assist in the execution of its responsibilities: the Audit Committee, the Compensation Committee and the Nomination and Corporate Governance Committee.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During 2025, our Audit Committee was composed of Adrienne L. Graves, Martin A. Makary (until his resignation as a director in January 2025), Lauren P. Silvernail (chair), and Perry J. Sternberg. Our Board has affirmatively determined that each member who serves on the Audit Committee is independent under applicable Nasdaq Marketplace Rules and satisfies all other qualifications under Nasdaq Marketplace Rules and the applicable rules of the SEC. Our Board also affirmatively determined that Ms. Silvernail qualifies as an “audit committee financial expert,” as such term is defined in Regulation S-K under the Securities Act of 1933, as amended (the “Securities Act”). The Audit Committee held six meetings in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bl>
    <w:p>
      <w:pPr>
        <w:sectPr>
          <w:pgSz w:w="11900" w:h="16838" w:orient="portrait"/>
          <w:cols w:equalWidth="0" w:num="1">
            <w:col w:w="11240"/>
          </w:cols>
          <w:pgMar w:left="320" w:top="623" w:right="339" w:bottom="1440" w:gutter="0" w:footer="0" w:header="0"/>
        </w:sectPr>
      </w:pPr>
    </w:p>
    <w:bookmarkStart w:id="18" w:name="page19"/>
    <w:bookmarkEnd w:id="18"/>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 xml:space="preserve">The Audit Committee acts pursuant to a written charter that has been adopted by the Board, which is available for review on the Investors section of the Company’s website, </w:t>
      </w:r>
      <w:r>
        <w:rPr>
          <w:rFonts w:ascii="Times New Roman" w:cs="Times New Roman" w:eastAsia="Times New Roman" w:hAnsi="Times New Roman"/>
          <w:sz w:val="17"/>
          <w:szCs w:val="17"/>
          <w:u w:val="single" w:color="auto"/>
          <w:color w:val="auto"/>
        </w:rPr>
        <w:t>www.harrow.com</w:t>
      </w:r>
      <w:r>
        <w:rPr>
          <w:rFonts w:ascii="Times New Roman" w:cs="Times New Roman" w:eastAsia="Times New Roman" w:hAnsi="Times New Roman"/>
          <w:sz w:val="17"/>
          <w:szCs w:val="17"/>
          <w:color w:val="auto"/>
        </w:rPr>
        <w:t>, under Corporate Governance.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Audit Committee also oversees management’s assessment of the effectiveness of the Company’s internal control over financial reporting and the independent registered public accounting firm’s attestation of such assessment, as required under Section 404 of the Sarbanes-Oxley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During 2025, our Compensation Committee was composed of Adrienne L. Graves (chair), Martin A. Makary (until his resignation as a director in January 2025), Lauren P. Silvernail, and Perry J. Sternberg. Our Board has affirmatively determined that each member who serves on the Compensation Committee is independent under applicable Nasdaq Marketplace Rules and satisfies all other qualifications under Nasdaq Marketplace Rules and the applicable rules of the SEC. The Compensation Committee held four meetings in 2025.</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 xml:space="preserve">The Compensation Committee acts pursuant to a written charter that has been adopted by the Board, which is available for review on the Investors section of the Company’s website, </w:t>
      </w:r>
      <w:r>
        <w:rPr>
          <w:rFonts w:ascii="Times New Roman" w:cs="Times New Roman" w:eastAsia="Times New Roman" w:hAnsi="Times New Roman"/>
          <w:sz w:val="17"/>
          <w:szCs w:val="17"/>
          <w:u w:val="single" w:color="auto"/>
          <w:color w:val="auto"/>
        </w:rPr>
        <w:t>www.harrow.com</w:t>
      </w:r>
      <w:r>
        <w:rPr>
          <w:rFonts w:ascii="Times New Roman" w:cs="Times New Roman" w:eastAsia="Times New Roman" w:hAnsi="Times New Roman"/>
          <w:sz w:val="17"/>
          <w:szCs w:val="17"/>
          <w:color w:val="auto"/>
        </w:rPr>
        <w:t>, under Corporate Governance.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Nomination and Corporate Governance Committee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During 2025, our Nomination and Corporate Governance Committee was composed of Adrienne L. Graves (chair), Martin A. Makary (until his resignation as a director in January 2025), Lauren P. Silvernail, and Perry J. Sternberg. Our Board has affirmatively determined that each member who serves on the Nomination and Corporate Governance Committee is independent under applicable Nasdaq Marketplace Rules and satisfies all other qualifications under Nasdaq Marketplace Rules and the applicable rules of the SEC. The Nomination and Corporate Governance Committee held four meetings in 2025.</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 xml:space="preserve">The Nomination and Corporate Governance Committee acts pursuant to a written charter that has been adopted by the Board, which is available for review on the Investors section of the Company’s website, </w:t>
      </w:r>
      <w:r>
        <w:rPr>
          <w:rFonts w:ascii="Times New Roman" w:cs="Times New Roman" w:eastAsia="Times New Roman" w:hAnsi="Times New Roman"/>
          <w:sz w:val="17"/>
          <w:szCs w:val="17"/>
          <w:u w:val="single" w:color="auto"/>
          <w:color w:val="auto"/>
        </w:rPr>
        <w:t>www.harrow.com</w:t>
      </w:r>
      <w:r>
        <w:rPr>
          <w:rFonts w:ascii="Times New Roman" w:cs="Times New Roman" w:eastAsia="Times New Roman" w:hAnsi="Times New Roman"/>
          <w:sz w:val="17"/>
          <w:szCs w:val="17"/>
          <w:color w:val="auto"/>
        </w:rPr>
        <w:t>, under Corporate Governance.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Meetings of the Board and Committees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 Attendance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Board generally holds meetings on a quarterly basis, along with monthly update calls, but may hold additional meetings as required. In 2025, the Board held ten meetings. Each of our directors attended 100% of the Board meetings and of the committees on which they served during 2025. We do not have a policy requiring that directors attend our annual meeting of stockholders, but encourage attendance by each director. All of our current directors attended our 2025 Annual Meeting.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bl>
    <w:p>
      <w:pPr>
        <w:sectPr>
          <w:pgSz w:w="11900" w:h="16838" w:orient="portrait"/>
          <w:cols w:equalWidth="0" w:num="1">
            <w:col w:w="11240"/>
          </w:cols>
          <w:pgMar w:left="320" w:top="62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Policy on Hedging, Pledging and Similar Activities</w:t>
      </w:r>
    </w:p>
    <w:p>
      <w:pPr>
        <w:spacing w:after="0" w:line="212"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 xml:space="preserve">The Board has adopted an Insider Trading Policy governing, among other things, transactions in the Company’s securities by directors, officers and employees of the Company and its subsidiaries. The Company believes its insider trading policies and procedures are reasonably designed to promote compliance with applicable insider trading laws, rules and regulations, and the exchange listing standards applicable to Harrow. Under the Company’s Insider Trading Policy, directors, officers and employees are prohibited from engaging in short-selling transactions involving the Company’s securities, holding Company securities in a margin account or pledging Company securities as collateral for a loan. In addition, hedging or monetization transactions involving Company securities are strongly discouraged and may be undertaken only with prior approval in accordance with the Company’s policy. The Company’s Insider Trading Policy is available for review on the Investors section of the Company’s website, </w:t>
      </w:r>
      <w:r>
        <w:rPr>
          <w:rFonts w:ascii="Times New Roman" w:cs="Times New Roman" w:eastAsia="Times New Roman" w:hAnsi="Times New Roman"/>
          <w:sz w:val="16"/>
          <w:szCs w:val="16"/>
          <w:u w:val="single" w:color="auto"/>
          <w:color w:val="auto"/>
        </w:rPr>
        <w:t>www.harrow.com</w:t>
      </w:r>
      <w:r>
        <w:rPr>
          <w:rFonts w:ascii="Times New Roman" w:cs="Times New Roman" w:eastAsia="Times New Roman" w:hAnsi="Times New Roman"/>
          <w:sz w:val="16"/>
          <w:szCs w:val="16"/>
          <w:color w:val="auto"/>
        </w:rPr>
        <w:t>, under Corporate Governance, and is also incorporated as an exhibit to the Company’s Annual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Our Board has adopted a Code of Business Conduct and Ethics, which is available for review on the Investors section of the Company’s website, </w:t>
      </w:r>
      <w:r>
        <w:rPr>
          <w:rFonts w:ascii="Times New Roman" w:cs="Times New Roman" w:eastAsia="Times New Roman" w:hAnsi="Times New Roman"/>
          <w:sz w:val="17"/>
          <w:szCs w:val="17"/>
          <w:u w:val="single" w:color="auto"/>
          <w:color w:val="auto"/>
        </w:rPr>
        <w:t>www.harrow.com</w:t>
      </w:r>
      <w:r>
        <w:rPr>
          <w:rFonts w:ascii="Times New Roman" w:cs="Times New Roman" w:eastAsia="Times New Roman" w:hAnsi="Times New Roman"/>
          <w:sz w:val="17"/>
          <w:szCs w:val="17"/>
          <w:color w:val="auto"/>
        </w:rPr>
        <w:t>, under Corporate Governance, and is also available in print, without charge, to any stockholder who requests a copy by writing to us at Harrow, Inc., 1A Burton Hills Blvd., Suite 200, Nashville, TN 37215, Attention: Investor Relations. Each of our directors, employees and officers, including our Chief Executive Officer, President and Chief Financial Officer, and all of our other executive officers, are required to comply with the Code of Business Conduct and Ethics. There have not been any waivers of the Code of Business Conduct and Ethics relating to any of our executive officers or directors in the past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Communications with Directors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Stockholders may communicate with the Board of Directors by sending a letter to the Corporate Secretary, Harrow, Inc., 1A Burton Hills Blvd., Suite 200, Nashville, TN 37215.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of Concerns Regarding Accounting Matters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We have established a toll-free telephone number for reporting such activity, which is 877-286-0208.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bl>
    <w:p>
      <w:pPr>
        <w:sectPr>
          <w:pgSz w:w="11900" w:h="16838" w:orient="portrait"/>
          <w:cols w:equalWidth="0" w:num="1">
            <w:col w:w="11240"/>
          </w:cols>
          <w:pgMar w:left="320" w:top="6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Nominations for Directors</w:t>
      </w:r>
    </w:p>
    <w:p>
      <w:pPr>
        <w:spacing w:after="0" w:line="212"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6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the Nomination and Corporate Governance Committee believes that the Board of Directors requires additional candidates for nomination, it may explore alternative sources for identifying additional candidates. This may include engaging, as appropriate, a third-party search firm to assist in identifying qualified candidates.</w:t>
      </w:r>
    </w:p>
    <w:p>
      <w:pPr>
        <w:spacing w:after="0" w:line="176"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Exchange Act. Stockholders may obtain a copy of our Bylaws by writing to our Corporate Secretary at Harrow, Inc., c/o Corporate Secretary, 1A Burton Hills Blvd., Suite 200, Nashville, TN 37215, or by accessing the exhibits to our Annual Report filed with the SEC.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bl>
    <w:p>
      <w:pPr>
        <w:sectPr>
          <w:pgSz w:w="11900" w:h="16838" w:orient="portrait"/>
          <w:cols w:equalWidth="0" w:num="1">
            <w:col w:w="11240"/>
          </w:cols>
          <w:pgMar w:left="320" w:top="62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Executive officers are appointed by our Board and serve at its discretion. Set forth below is information regarding our executive officers as of April 21, 2026.</w:t>
      </w: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800" w:type="dxa"/>
            <w:vAlign w:val="bottom"/>
          </w:tcPr>
          <w:p>
            <w:pPr>
              <w:ind w:left="6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0" w:type="dxa"/>
            <w:vAlign w:val="bottom"/>
          </w:tcPr>
          <w:p>
            <w:pPr>
              <w:spacing w:after="0"/>
              <w:rPr>
                <w:sz w:val="19"/>
                <w:szCs w:val="19"/>
                <w:color w:val="auto"/>
              </w:rPr>
            </w:pPr>
          </w:p>
        </w:tc>
        <w:tc>
          <w:tcPr>
            <w:tcW w:w="6280" w:type="dxa"/>
            <w:vAlign w:val="bottom"/>
            <w:gridSpan w:val="2"/>
          </w:tcPr>
          <w:p>
            <w:pPr>
              <w:ind w:left="276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r>
      <w:tr>
        <w:trPr>
          <w:trHeight w:val="195"/>
        </w:trPr>
        <w:tc>
          <w:tcPr>
            <w:tcW w:w="20" w:type="dxa"/>
            <w:vAlign w:val="bottom"/>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L. Baum</w:t>
            </w:r>
          </w:p>
        </w:tc>
        <w:tc>
          <w:tcPr>
            <w:tcW w:w="180" w:type="dxa"/>
            <w:vAlign w:val="bottom"/>
            <w:tcBorders>
              <w:top w:val="single" w:sz="8" w:color="CCEEFF"/>
            </w:tcBorders>
            <w:shd w:val="clear" w:color="auto" w:fill="CCEEFF"/>
          </w:tcPr>
          <w:p>
            <w:pPr>
              <w:spacing w:after="0"/>
              <w:rPr>
                <w:sz w:val="16"/>
                <w:szCs w:val="16"/>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Andrew R. Boll</w:t>
            </w:r>
          </w:p>
        </w:tc>
        <w:tc>
          <w:tcPr>
            <w:tcW w:w="64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President, Chief Financial Officer and Corporate Secretary</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Francis W. Mullery</w:t>
            </w:r>
          </w:p>
        </w:tc>
        <w:tc>
          <w:tcPr>
            <w:tcW w:w="64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President and Chief Executive Officer, ImprimisRx Division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50</w:t>
            </w: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Amir H. Shojaei</w:t>
            </w:r>
          </w:p>
        </w:tc>
        <w:tc>
          <w:tcPr>
            <w:tcW w:w="64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Chief Scientific Officer</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Patrick W. Sullivan</w:t>
            </w:r>
          </w:p>
        </w:tc>
        <w:tc>
          <w:tcPr>
            <w:tcW w:w="64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Chief Commercial Officer</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50</w:t>
            </w: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Mr. Baum’s biographical information is included with such information for the other members of our Board.</w:t>
      </w:r>
    </w:p>
    <w:p>
      <w:pPr>
        <w:spacing w:after="0" w:line="204"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Andrew R. Boll </w:t>
      </w:r>
      <w:r>
        <w:rPr>
          <w:rFonts w:ascii="Times New Roman" w:cs="Times New Roman" w:eastAsia="Times New Roman" w:hAnsi="Times New Roman"/>
          <w:sz w:val="16"/>
          <w:szCs w:val="16"/>
          <w:color w:val="auto"/>
        </w:rPr>
        <w:t>is a founder of Harrow and has helped lead the Company since December 2011. He has served as President since August 2025 and as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Chief Financial Officer and Corporate Secretary since his promotion to those roles in February 2015. Mr. Boll helped found Eton Pharmaceuticals, Inc., Surface Ophthalmics, Inc., Melt Pharmaceuticals, Inc. and ImprimisRx. Prior to co-founding Harrow, from 2007 to 2011, Mr. Boll worked for an investment company and its series of funds where he oversaw the fund’s accounting, financial analysis, and reporting. Prior to 2007, Mr. Boll held various accounting roles at Welsh Companies,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7"/>
          <w:szCs w:val="17"/>
          <w:color w:val="auto"/>
        </w:rPr>
        <w:t>LLC, a commercial real estate company, its fund and its other subsidiaries. Mr. Boll is a CFA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charterholder, Certified Management Accountant and earned his Bachelor of Science degree, </w:t>
      </w:r>
      <w:r>
        <w:rPr>
          <w:rFonts w:ascii="Times New Roman" w:cs="Times New Roman" w:eastAsia="Times New Roman" w:hAnsi="Times New Roman"/>
          <w:sz w:val="17"/>
          <w:szCs w:val="17"/>
          <w:i w:val="1"/>
          <w:iCs w:val="1"/>
          <w:color w:val="auto"/>
        </w:rPr>
        <w:t>summa cum laude</w:t>
      </w:r>
      <w:r>
        <w:rPr>
          <w:rFonts w:ascii="Times New Roman" w:cs="Times New Roman" w:eastAsia="Times New Roman" w:hAnsi="Times New Roman"/>
          <w:sz w:val="17"/>
          <w:szCs w:val="17"/>
          <w:color w:val="auto"/>
        </w:rPr>
        <w:t>, in Corporate and Public Finance from Huron University.</w:t>
      </w:r>
    </w:p>
    <w:p>
      <w:pPr>
        <w:spacing w:after="0" w:line="183"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Francis W. Mullery </w:t>
      </w:r>
      <w:r>
        <w:rPr>
          <w:rFonts w:ascii="Times New Roman" w:cs="Times New Roman" w:eastAsia="Times New Roman" w:hAnsi="Times New Roman"/>
          <w:sz w:val="17"/>
          <w:szCs w:val="17"/>
          <w:color w:val="auto"/>
        </w:rPr>
        <w:t>has served as President and Chief Executive Officer of Harrow’s ImprimisRx Division since October 2025, and joined the Company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2025. Prior to Harrow, he served as President of Sintetica US. Previously, he served as President and Chief Commercial Officer at STI Pharma, overseeing all company operations and launching several sterile injectable products. Prior to STI, he spent more than seven years at Mylan, culminating in his role as President of Mylan Institutional. Mr. Mullery also held senior finance leadership roles at Mylan, including CFO of North America and CFO of Mylan Pharmaceuticals Inc., where he helped guide the company’s flagship generics division. He holds an Executive MBA from Villanova University and a bachelor’s degree in Accounting from King’s College.</w:t>
      </w:r>
    </w:p>
    <w:p>
      <w:pPr>
        <w:spacing w:after="0" w:line="171"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Amir H. Shojaei </w:t>
      </w:r>
      <w:r>
        <w:rPr>
          <w:rFonts w:ascii="Times New Roman" w:cs="Times New Roman" w:eastAsia="Times New Roman" w:hAnsi="Times New Roman"/>
          <w:sz w:val="17"/>
          <w:szCs w:val="17"/>
          <w:color w:val="auto"/>
        </w:rPr>
        <w:t>joined the Company as its Chief Scientific Officer in January 2025, where he has management and oversight of all development, clinical,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medical and regulatory affairs activities for Harrow’s marketed ophthalmic branded products. From 2021 to 2024, Dr. Shojaei was the Chief Scientific Officer &amp; Executive Vice President, Clinical Development of AsclepiX Therapeutics, a development-stage company developing therapeutics for various ophthalmic-related diseases. Prior to that, he held senior executive roles at leading pharmaceutical companies, including Chief Executive Officer of TherOptix Corporation, where he advanced a novel drug-eluting contact lens platform, and in various leadership roles at TearClear Corporation, Novartis Pharmaceuticals and Shire Pharmaceuticals (acquired by Takeda). In 2013, while at Shire Pharmaceuticals, Dr. Shojaei was instrumental in the clinical development and the eventual FDA approval of Xiidra®, the first product approved to treat both the signs and symptoms of dry eye disease (DED). Dr. Shojaei earned his Ph.D, Pharmaceutics and Doctor of Pharmacy </w:t>
      </w:r>
      <w:r>
        <w:rPr>
          <w:rFonts w:ascii="Times New Roman" w:cs="Times New Roman" w:eastAsia="Times New Roman" w:hAnsi="Times New Roman"/>
          <w:sz w:val="17"/>
          <w:szCs w:val="17"/>
          <w:i w:val="1"/>
          <w:iCs w:val="1"/>
          <w:color w:val="auto"/>
        </w:rPr>
        <w:t>magna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cum laude </w:t>
      </w:r>
      <w:r>
        <w:rPr>
          <w:rFonts w:ascii="Times New Roman" w:cs="Times New Roman" w:eastAsia="Times New Roman" w:hAnsi="Times New Roman"/>
          <w:sz w:val="17"/>
          <w:szCs w:val="17"/>
          <w:color w:val="auto"/>
        </w:rPr>
        <w:t>from the University of Pacific and Bachelor of Science in Biological Sciences from the University of Alberta.</w:t>
      </w:r>
    </w:p>
    <w:p>
      <w:pPr>
        <w:spacing w:after="0" w:line="173"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Patrick W. Sullivan </w:t>
      </w:r>
      <w:r>
        <w:rPr>
          <w:rFonts w:ascii="Times New Roman" w:cs="Times New Roman" w:eastAsia="Times New Roman" w:hAnsi="Times New Roman"/>
          <w:sz w:val="17"/>
          <w:szCs w:val="17"/>
          <w:color w:val="auto"/>
        </w:rPr>
        <w:t>joined the Company as Head of Commercial in August 2025 and was promoted to Chief Commercial Officer in January 2026, bringing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over 25 years of commercial leadership experience. Before joining the Company, Mr. Sullivan was Vice President of Marketing, Neurology Portfolio at Corium Therapeutics, where he led U.S. commercialization and launches in ADHD and dementia. Previously, he served as Global Commercial Head and Executive Director at AstraZeneca, directing the launch of Evrenzo® (roxadustat), a first-in-class anemia therapy. Earlier in his career, he held leadership roles at Shire, Adolor, Novartis, and Bayer. Mr. Sullivan holds a B.S. in Business Administration from Widener University.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bl>
    <w:p>
      <w:pPr>
        <w:sectPr>
          <w:pgSz w:w="11900" w:h="16838" w:orient="portrait"/>
          <w:cols w:equalWidth="0" w:num="1">
            <w:col w:w="11240"/>
          </w:cols>
          <w:pgMar w:left="320" w:top="62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This Compensation Discussion and Analysis describes the objectives of our executive compensation program and provides disclosure about the elements of compensation earned by and awarded to each of the executive officers identified in the table below, whom we refer to in this section as our “Named Executive Officers” or “NEOs.” It also describes the philosophy of, and process followed by, our Compensation Committee in making compensation decisions and setting compensation policy for our NEOs.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Named Executive Officers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named executive officers for 2025 were:</w:t>
      </w: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8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0" w:type="dxa"/>
            <w:vAlign w:val="bottom"/>
            <w:tcBorders>
              <w:bottom w:val="single" w:sz="8" w:color="CCEEFF"/>
            </w:tcBorders>
          </w:tcPr>
          <w:p>
            <w:pPr>
              <w:spacing w:after="0"/>
              <w:rPr>
                <w:sz w:val="19"/>
                <w:szCs w:val="19"/>
                <w:color w:val="auto"/>
              </w:rPr>
            </w:pPr>
          </w:p>
        </w:tc>
        <w:tc>
          <w:tcPr>
            <w:tcW w:w="700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95"/>
        </w:trPr>
        <w:tc>
          <w:tcPr>
            <w:tcW w:w="20" w:type="dxa"/>
            <w:vAlign w:val="bottom"/>
          </w:tcPr>
          <w:p>
            <w:pPr>
              <w:spacing w:after="0"/>
              <w:rPr>
                <w:sz w:val="16"/>
                <w:szCs w:val="16"/>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L. Baum</w:t>
            </w:r>
          </w:p>
        </w:tc>
        <w:tc>
          <w:tcPr>
            <w:tcW w:w="180" w:type="dxa"/>
            <w:vAlign w:val="bottom"/>
            <w:shd w:val="clear" w:color="auto" w:fill="CCEEFF"/>
          </w:tcPr>
          <w:p>
            <w:pPr>
              <w:spacing w:after="0"/>
              <w:rPr>
                <w:sz w:val="16"/>
                <w:szCs w:val="16"/>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Andrew R. Boll</w:t>
            </w: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President, Chief Financial Officer and Corporate Secretary</w:t>
            </w: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Francis W. Mullery</w:t>
            </w:r>
          </w:p>
        </w:tc>
        <w:tc>
          <w:tcPr>
            <w:tcW w:w="7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President and Chief Executive Officer, ImprimisRx Division</w:t>
            </w: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Amir H. Shojaei</w:t>
            </w: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Chief Scientific Officer</w:t>
            </w: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P. Saharek</w:t>
            </w:r>
          </w:p>
        </w:tc>
        <w:tc>
          <w:tcPr>
            <w:tcW w:w="7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Former President and Chief Executive Officer, ImprimisRx</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Company’s executive compensation program is designed to align executive pay with Company performance and the creation of long-term stockholder value. A significant portion of total compensation is variable and tied to the achievement of key financial and strategic objectives.</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For 2025, the Compensation Committee evaluated Company performance against pre-established goals focused on revenue, adjusted EBITDA, specified product performance and debt refinancing. After reviewing the Company’s 2025 results, including financial performance, commercial execution and progress across key strategic initiatives, the Compensation Committee approved annual incentive bonus payouts for named executive officers at target levels. During 2025, the Compensation Committee also approved long-term equity awards, including performance-based awards for Messrs. Baum and Boll, to reinforce alignment with sustained stockholder value creation and retention.</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Compensation Committee’s compensation decisions reflect its philosophy of pay-for-performance and its objective of balancing short-term incentives with long-term value creation.</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spacing w:after="0" w:line="169" w:lineRule="exact"/>
        <w:rPr>
          <w:sz w:val="20"/>
          <w:szCs w:val="20"/>
          <w:color w:val="auto"/>
        </w:rPr>
      </w:pPr>
    </w:p>
    <w:p>
      <w:pPr>
        <w:ind w:left="900" w:hanging="294"/>
        <w:spacing w:after="0" w:line="25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competitive total compensation package that enables the Company to attract and retain highly qualified executives with the skills and experience required for the achievement of business goals;</w:t>
      </w: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compensation elements with the Company’s annual goals and long-term business strategies and objectives;</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promote the achievement of key strategic and financial performance measures by linking short-term and long-term cash and equity incentives to the achievement of measurable corporate and individual performance goals; and</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executives’ incentives with the creation of stockholder value.</w:t>
      </w:r>
    </w:p>
    <w:p>
      <w:pPr>
        <w:spacing w:after="0" w:line="19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such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bl>
    <w:p>
      <w:pPr>
        <w:sectPr>
          <w:pgSz w:w="11900" w:h="16838" w:orient="portrait"/>
          <w:cols w:equalWidth="0" w:num="1">
            <w:col w:w="11240"/>
          </w:cols>
          <w:pgMar w:left="320" w:top="623" w:right="339" w:bottom="1440" w:gutter="0" w:footer="0" w:header="0"/>
        </w:sectPr>
      </w:pPr>
    </w:p>
    <w:bookmarkStart w:id="23" w:name="page24"/>
    <w:bookmarkEnd w:id="23"/>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Compensation Committee also has historically focused on the Company’s financial and working capital condition when making compensation decisions and approving performance objectives. Because the Company has historically sought to preserve cash,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Pay-for-Performance Alignment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Compensation Committee believes that executive compensation outcomes for 2025 were aligned with Company performance because a significant portion of named executive officer compensation consisted of variable annual cash incentives tied to Company performance and long-term equity awards. In particular, the 2025 performance stock unit awards granted to Messrs. Baum and Boll require both a minimum three-year continued service requirement and achievement of stock price targets ranging from $50 to $100 per share over a possible five-year term.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Risk Assessment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Compensation Committee has reviewed the Company’s compensation policies and practices to assess whether they create risks that are reasonably likely to have a material adverse effect on the Company. In conducting this review, the Compensation Committee considered, among other factors, the mix of fixed and variable compensation, the balance between short-term and long-term incentives, the use of performance-based metrics, and the existence of risk-mitigating features such as the Company’s clawback policy.</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Based on this assessment, the Compensation Committee determined that the Company’s compensation programs do not encourage excessive or inappropriate risk-taking and are aligned with the long-term interests of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Roles in Determining Executive Officer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accordance with its charter, the Compensation Committee is responsible for, among other things, reviewing and evaluating our executive officer compensation program, including: (i) determining the objectives of the executive officer compensation program and reviewing and recommending to the Board the program as a whole and the elements of compensation that comprise the program to be consistent with such objectives; (ii) 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 and all equity grants are made by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Compensation for the Chief Executive Officer is reviewed, evaluated and approved by the Compensation Committee without the presence or participation of the Chief Executive Officer.</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Chief Executive Officer reviews and makes recommendations to the Compensation Committee with respect to the compensation of other members of the senior management team.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bl>
    <w:p>
      <w:pPr>
        <w:sectPr>
          <w:pgSz w:w="11900" w:h="16838" w:orient="portrait"/>
          <w:cols w:equalWidth="0" w:num="1">
            <w:col w:w="11240"/>
          </w:cols>
          <w:pgMar w:left="320" w:top="62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color w:val="auto"/>
        </w:rPr>
        <w:t>Compensation Consultant</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During 2025, the Compensation Committee retained the services of an external compensation consultant, Mercer, Inc. (“Mercer”). The mandate of the consultant was to assist the Compensation Committee in its review of executive and director compensation practices, including the competitiveness of pay levels, executive compensation design (including equity grants of subsidiaries), benchmarking with the Company’s peers in the industry and other technical considerations including tax- and accounting-related matters. The Compensation Committee regularly evaluates Mercer’s performance, considers alternative compensation consultants and has the final authority to engage and terminate Mercer’s services. The decision to engage Mercer was made solely by the Compensation Committee. The Compensation Committee, after a review of the factors set forth in Section 10C-1 of the Exchange Act and Nasdaq requirements, has determined that the work performed by Mercer did not present any conflicts of interest.</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Compensation Committee intends to continue to engage with Mercer in order to assist the Compensation Committee in its ongoing review of executive and director compensation practices, including a regular review and update of the Company’s peer companies. In 2025, the Compensation Committee engaged Mercer to assist in the update of the list of peer companies and perform a review of executive and director compensation practices.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Competitive Market Benchmarking</w:t>
      </w:r>
    </w:p>
    <w:p>
      <w:pPr>
        <w:spacing w:after="0" w:line="19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Compensation Committee draws on a number of resources to assist in the evaluation of the various components of the Company’s executive compensation program including, but not limited to, industry data compiled by Mercer in its Global Life Sciences Survey, which represents a nationally based assessment of executive compensation widely used within the pharmaceutical and biotechnology industry sectors. While we do not establish compensation levels based solely on benchmarking, pay practices at other companies within such sectors are an important factor that the Compensation Committee considers in assessing the reasonableness of compensation and ensuring that our compensation practices are competitive in the marketplace. The Compensation Committee adopted an updated group of peer companies in 2025, and the Compensation Committee may in the future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More specifically, when establishing the 2025 peer group, Mercer and the Compensation Committee also gave consideration to market value, revenues, location, stage of development and ophthalmic focus. The list of peer companies identified in 2025 by the Compensation Committee was comprised of the following companies: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ANI Pharmaceuticals</w:t>
            </w:r>
          </w:p>
        </w:tc>
        <w:tc>
          <w:tcPr>
            <w:tcW w:w="1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Heron Therapeutics</w:t>
            </w:r>
          </w:p>
        </w:tc>
        <w:tc>
          <w:tcPr>
            <w:tcW w:w="1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STAAR Surgical</w:t>
            </w:r>
          </w:p>
        </w:tc>
      </w:tr>
      <w:tr>
        <w:trPr>
          <w:trHeight w:val="202"/>
        </w:trPr>
        <w:tc>
          <w:tcPr>
            <w:tcW w:w="9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Agios Pharmaceuticals</w:t>
            </w:r>
          </w:p>
        </w:tc>
        <w:tc>
          <w:tcPr>
            <w:tcW w:w="10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Ironwood Pharmaceuticals</w:t>
            </w:r>
          </w:p>
        </w:tc>
        <w:tc>
          <w:tcPr>
            <w:tcW w:w="10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7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Tarsus Pharmaceuticals</w:t>
            </w:r>
          </w:p>
        </w:tc>
      </w:tr>
      <w:tr>
        <w:trPr>
          <w:trHeight w:val="202"/>
        </w:trPr>
        <w:tc>
          <w:tcPr>
            <w:tcW w:w="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Ardelyx</w:t>
            </w:r>
          </w:p>
        </w:tc>
        <w:tc>
          <w:tcPr>
            <w:tcW w:w="1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Mirum Pharmaceuticals</w:t>
            </w:r>
          </w:p>
        </w:tc>
        <w:tc>
          <w:tcPr>
            <w:tcW w:w="1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Theravance Biopharma</w:t>
            </w:r>
          </w:p>
        </w:tc>
      </w:tr>
      <w:tr>
        <w:trPr>
          <w:trHeight w:val="202"/>
        </w:trPr>
        <w:tc>
          <w:tcPr>
            <w:tcW w:w="9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Arrowhead Pharmaceuticals</w:t>
            </w:r>
          </w:p>
        </w:tc>
        <w:tc>
          <w:tcPr>
            <w:tcW w:w="10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Ocular Therapeutix</w:t>
            </w:r>
          </w:p>
        </w:tc>
        <w:tc>
          <w:tcPr>
            <w:tcW w:w="10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7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Xeris Biopharma</w:t>
            </w:r>
          </w:p>
        </w:tc>
      </w:tr>
      <w:tr>
        <w:trPr>
          <w:trHeight w:val="202"/>
        </w:trPr>
        <w:tc>
          <w:tcPr>
            <w:tcW w:w="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Dynavax Technologies (1)</w:t>
            </w:r>
          </w:p>
        </w:tc>
        <w:tc>
          <w:tcPr>
            <w:tcW w:w="1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Rigal Pharmaceuticals</w:t>
            </w:r>
          </w:p>
        </w:tc>
        <w:tc>
          <w:tcPr>
            <w:tcW w:w="10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r>
      <w:tr>
        <w:trPr>
          <w:trHeight w:val="218"/>
        </w:trPr>
        <w:tc>
          <w:tcPr>
            <w:tcW w:w="9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Eyepoint Pharmaceuticals</w:t>
            </w:r>
          </w:p>
        </w:tc>
        <w:tc>
          <w:tcPr>
            <w:tcW w:w="10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RxSight</w:t>
            </w:r>
          </w:p>
        </w:tc>
        <w:tc>
          <w:tcPr>
            <w:tcW w:w="1040" w:type="dxa"/>
            <w:vAlign w:val="bottom"/>
          </w:tcPr>
          <w:p>
            <w:pPr>
              <w:spacing w:after="0"/>
              <w:rPr>
                <w:sz w:val="18"/>
                <w:szCs w:val="18"/>
                <w:color w:val="auto"/>
              </w:rPr>
            </w:pPr>
          </w:p>
        </w:tc>
        <w:tc>
          <w:tcPr>
            <w:tcW w:w="27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7856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Dynavax Technologies was acquired by Sanofi in February 2026 and, therefore, is no longer a public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Program Overview</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2025, our executive compensation program consisted of the following forms of compensation, each of which is described in greater detail below:</w:t>
      </w:r>
    </w:p>
    <w:p>
      <w:pPr>
        <w:spacing w:after="0" w:line="208" w:lineRule="exact"/>
        <w:rPr>
          <w:sz w:val="20"/>
          <w:szCs w:val="20"/>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Bonus (non-equity incentive compensation)</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Compensation</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Benefit Program</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Arrangements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bl>
    <w:p>
      <w:pPr>
        <w:sectPr>
          <w:pgSz w:w="11900" w:h="16838" w:orient="portrait"/>
          <w:cols w:equalWidth="0" w:num="1">
            <w:col w:w="11240"/>
          </w:cols>
          <w:pgMar w:left="320" w:top="6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color w:val="auto"/>
        </w:rPr>
        <w:t>Base Salary</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 considers our stockholders’ interests in paying what is necessary to achieve our corporate goals, while conserving cash as much as practicable, when setting base salaries. We believe that, given the industry in which we operate, our current working capital needs and our compensation philosophy and objectives, base salaries at current levels are generally sufficient to retain our current executives and to hire new executives when and as required. In determining appropriate base salary levels for a given executive officer, the Compensation Committee considers the following factors:</w:t>
      </w:r>
    </w:p>
    <w:p>
      <w:pPr>
        <w:spacing w:after="0" w:line="176" w:lineRule="exact"/>
        <w:rPr>
          <w:sz w:val="20"/>
          <w:szCs w:val="20"/>
          <w:color w:val="auto"/>
        </w:rPr>
      </w:pPr>
    </w:p>
    <w:p>
      <w:pPr>
        <w:ind w:left="900" w:hanging="29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performance of the executive, as well as our overall performance, during the prior year;</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of responsibility, including breadth, scope and complexity of the position;</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of experience and expertise of the executive;</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review of the executive’s compensation relative to other executives to ensure internal equity;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officer compensation levels at other similar companies to ensure competitiveness.</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Salaries for executive officers are determined on an individual basis at the time of hire. Adjustments to base salary are considered annually in light of the factors above. The Chief Executive Officer assists the Compensation Committee in its annual review of the base salaries of other named executive officers and members of senior management based on the foregoing criteria.</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annual base salaries for applicable NEOs for 2024, 2025 and 2026 are as follows:</w:t>
      </w:r>
    </w:p>
    <w:p>
      <w:pPr>
        <w:spacing w:after="0" w:line="204" w:lineRule="exact"/>
        <w:rPr>
          <w:sz w:val="20"/>
          <w:szCs w:val="20"/>
          <w:color w:val="auto"/>
        </w:rPr>
      </w:pPr>
    </w:p>
    <w:tbl>
      <w:tblPr>
        <w:tblLayout w:type="fixed"/>
        <w:tblInd w:w="11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2024 Base</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2025 Base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2026 Base</w:t>
            </w:r>
          </w:p>
        </w:tc>
      </w:tr>
      <w:tr>
        <w:trPr>
          <w:trHeight w:val="222"/>
        </w:trPr>
        <w:tc>
          <w:tcPr>
            <w:tcW w:w="20" w:type="dxa"/>
            <w:vAlign w:val="bottom"/>
          </w:tcPr>
          <w:p>
            <w:pPr>
              <w:spacing w:after="0"/>
              <w:rPr>
                <w:sz w:val="19"/>
                <w:szCs w:val="19"/>
                <w:color w:val="auto"/>
              </w:rPr>
            </w:pPr>
          </w:p>
        </w:tc>
        <w:tc>
          <w:tcPr>
            <w:tcW w:w="4680" w:type="dxa"/>
            <w:vAlign w:val="bottom"/>
          </w:tcPr>
          <w:p>
            <w:pPr>
              <w:ind w:left="1420"/>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Salary</w:t>
            </w:r>
          </w:p>
        </w:tc>
      </w:tr>
      <w:tr>
        <w:trPr>
          <w:trHeight w:val="195"/>
        </w:trPr>
        <w:tc>
          <w:tcPr>
            <w:tcW w:w="20" w:type="dxa"/>
            <w:vAlign w:val="bottom"/>
          </w:tcPr>
          <w:p>
            <w:pPr>
              <w:spacing w:after="0"/>
              <w:rPr>
                <w:sz w:val="16"/>
                <w:szCs w:val="16"/>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L. Baum</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731,120</w:t>
            </w: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774,987</w:t>
            </w: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805,987</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Andrew R. Boll</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491,920</w:t>
            </w:r>
          </w:p>
        </w:tc>
        <w:tc>
          <w:tcPr>
            <w:tcW w:w="420" w:type="dxa"/>
            <w:vAlign w:val="bottom"/>
            <w:gridSpan w:val="2"/>
          </w:tcPr>
          <w:p>
            <w:pPr>
              <w:jc w:val="right"/>
              <w:ind w:right="2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516,516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537,177</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Francis W. Mullery</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468,000</w:t>
            </w:r>
          </w:p>
        </w:tc>
        <w:tc>
          <w:tcPr>
            <w:tcW w:w="8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Amir H. Shojaei</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jc w:val="right"/>
              <w:ind w:right="2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468,000</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P. Saharek (1)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463,431</w:t>
            </w:r>
          </w:p>
        </w:tc>
        <w:tc>
          <w:tcPr>
            <w:tcW w:w="42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475,614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bl>
    <w:p>
      <w:pPr>
        <w:spacing w:after="0" w:line="2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(1) Mr. Saharek transitioned from an employee to a consulting relationship in March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-121285</wp:posOffset>
            </wp:positionV>
            <wp:extent cx="14249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Annual Bonus (Non-Equity Incentive Compensation)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 provides executive officers with annual performance-based cash bonus opportunities designed to reward performance. The Compensation Committee establishes performance goals at the beginning of each year, with input from senior management, and determines target bonus opportunities as a percentage of base salary based on each executive officer’s role, responsibilities and ability to influence Company performance. The Company believes these target bonus opportunities are appropriate and consistent with its pay-for-performance compensation philosophy.</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For 2025, annual incentive bonus opportunities for our executive officers were based entirely on overall Company performance. In February 2025, the Compensation Committee established measures that included revenue, adjusted EBITDA, revenue from certain products, and refinancing activity. The Compensation Committee also determined that the evaluation of performance following the year would include a review of, and potential adjustment for, acquisition and development activity. Target annual incentive bonus opportunities for 2025 were 70% of annual base salary for our Chief Executive Officer and 50% of annual base salary for each other named executive officer eligible for an annual incentive bonus award.</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Following the end of the year, the Compensation Committee reviewed the Company’s performance against the pre-established annual incentive framework, including financial performance, adjusted EBITDA and product-related performance measures. In determining 2025 annual incentive payouts, the Compensation Committee considered, among other things, the Company’s year-over-year revenue growth, improved profitability and adjusted EBITDA results, execution against product and commercialization objectives, and our debt refinancing process during the year. In addition, the Compensation Committee considered other business development initiatives and acquisition and development activity. Based on this overall review, the Compensation Committee awarded annual incentive bonuses at target levels for all NEOs.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a result, for 2025, the Chief Executive Officer received an annual incentive bonus equal to 70% of base salary, the President and Chief Financial Officer received an annual incentive bonus equal to 50% of base salary, and the President and Chief Executive Officer, ImprimisRx Division, received an annual incentive bonus equal to 40% of base salary on a pro rata basis based on his start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bl>
    <w:p>
      <w:pPr>
        <w:sectPr>
          <w:pgSz w:w="11900" w:h="16838" w:orient="portrait"/>
          <w:cols w:equalWidth="0" w:num="1">
            <w:col w:w="11240"/>
          </w:cols>
          <w:pgMar w:left="320" w:top="6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color w:val="auto"/>
        </w:rPr>
        <w:t>Clawback Policy</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 has adopted a Policy Regarding the Mandatory Recovery of Compensation in accordance with applicable SEC and Nasdaq listing standards. This policy provides for the recovery of certain incentive-based compensation received by current or former executive officers in the event the Company is required to prepare an accounting restatement as a result of material noncompliance with financial reporting requirements under the securities laws. The Company’s clawback policy is incorporated as an exhibit to the Company’s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Compensation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an additional component of our compensation program, executive officers are eligible to receive equity compensation in the form of stock options, restricted stock and/or RSUs. The Compensation Committee does not have a stated policy regarding the issuance of equity grants. However, historically our named executive officers have been granted service/time-based vesting equity awards and certain executive officers have also been granted options and RSUs that contain performance/market-based vesting conditions. The Compensation Committee grants equity awards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spacing w:after="0" w:line="180"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2025, the Compensation Committee granted performance stock unit awards to Messrs. Baum and Boll as part of the Company’s long-term incentive compensation program. These awards, which we refer to as the “2025 PSUs,” are subject to both continued service and market-based vesting conditions. Vesting of the 2025 PSUs requires (i) a minimum three-year service period and (ii) during a five-year term, the achievement and maintenance of specified Company common stock price targets ranging from $50.00 to $100.00 per share. The 2025 PSUs were structured in four separate tranches and are intended to align a significant portion of executive compensation with sustained long-term stock price performance and stockholder value creation. Additional information regarding the 2025 PSUs, including the applicable tranche structure, is provided below under “Outstanding Equity Awards at Fiscal Year-End—2025 PSUs – Multi-Year Awards.”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Certain named executive officers other than Messrs. Baum and Boll received equity awards in 2025 in the form of stock options. Upon his hiring in January 2025, Dr. Shojaei received a stock option award to purchase 30,000 shares of the Company’s common stock. Upon his hiring in September 2025, Mr. Mullery received a stock option award to purchase 33,000 shares of the Company’s common stock. Mr. Saharek did not receive an equity award in 2025.</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See the “Grants of Plan-Based Awards” and the “Outstanding Equity Awards at Fiscal Year-End” table below for additional details about equity awards held by our named executive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Benefit Program</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bl>
    <w:p>
      <w:pPr>
        <w:sectPr>
          <w:pgSz w:w="11900" w:h="16838" w:orient="portrait"/>
          <w:cols w:equalWidth="0" w:num="1">
            <w:col w:w="11240"/>
          </w:cols>
          <w:pgMar w:left="320" w:top="6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color w:val="auto"/>
        </w:rPr>
        <w:t>Change of Control Arrangements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spacing w:after="0" w:line="18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Information regarding the change of control arrangements and the potential value of payments upon termination related to a change of control is provided for the named executive officers under the heading “Change of Control Arrangements” in the sections below describing each named executive officer’s compensation arrangements. Given his transition to a consulting role with the Company, Mr. Saharek is no longer eligible for change of control arrangements.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Consulting Agreement with John P. Saharek</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October 2025, Mr. Saharek transitioned from his executive role as President and Chief Executive Officer of ImprimisRx. On March 1, 2026, Mr. Saharek ceased to be employed by the Company and entered into a consulting arrangement. Pursuant to a Consulting Agreement entered into effective March 1, 2026, Mr. Saharek serves as Program Lead for a certain initiative with IHEEZO. The term of the Consulting Agreement continues through December 31, 2026, unless earlier terminated by either party upon five days’ prior written notice. Under the agreement, Mr. Saharek receives a base consulting fee of $18,540 every two weeks and is eligible for an annual performance or incentive component based on clinic-based adoption of IHEEZO. Mr. Saharek is responsible for his own expenses unless pre-approved by the Company in writing in advance. The agreement also contains customary provisions relating to confidentiality, intellectual property ownership and independent contractor status. The Consulting Agreement is filed as an exhibit to the Company’s Annual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Grant Practices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Compensation Committee approves equity award grants to our executives from time to time. We do not have, nor do we plan to establish, any program, plan or practice to time equity award grants in coordination with releasing material non-public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During the fiscal year ended December 31, 2025, none of the members of the Compensation Committee was an officer or employee of the Company. None of the Company’s executive officers served as a member of the board of directors or compensation committee of any entity that had one or more executive officers serving on the Company’s Board of Directors or Compensation Committee.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Compensation Committee of the Board of Directors has reviewed and discussed the Compensation Discussion and Analysis with management.</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Based on its review and discussions with management, the Compensation Committee recommended to the Board of Directors that the Compensation Discussion and Analysis be included in this Proxy Statement.</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Compensation Committee of the Board of Directors:</w:t>
      </w: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Adrienne L. Graves (Chair)</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Lauren P. Silvernail</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Perry J. Sternberg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r>
    </w:tbl>
    <w:p>
      <w:pPr>
        <w:sectPr>
          <w:pgSz w:w="11900" w:h="16838" w:orient="portrait"/>
          <w:cols w:equalWidth="0" w:num="1">
            <w:col w:w="11240"/>
          </w:cols>
          <w:pgMar w:left="320" w:top="623"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3"/>
        </w:trPr>
        <w:tc>
          <w:tcPr>
            <w:tcW w:w="65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The following table sets forth total compensation paid to our named executive officers: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3"/>
        </w:trPr>
        <w:tc>
          <w:tcPr>
            <w:tcW w:w="3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40" w:type="dxa"/>
            <w:vAlign w:val="bottom"/>
          </w:tcPr>
          <w:p>
            <w:pPr>
              <w:spacing w:after="0"/>
              <w:rPr>
                <w:sz w:val="17"/>
                <w:szCs w:val="17"/>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Incentive Plan</w:t>
            </w:r>
          </w:p>
        </w:tc>
        <w:tc>
          <w:tcPr>
            <w:tcW w:w="14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460" w:type="dxa"/>
            <w:vAlign w:val="bottom"/>
          </w:tcPr>
          <w:p>
            <w:pPr>
              <w:ind w:left="700"/>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80" w:type="dxa"/>
            <w:vAlign w:val="bottom"/>
          </w:tcPr>
          <w:p>
            <w:pPr>
              <w:spacing w:after="0"/>
              <w:rPr>
                <w:sz w:val="19"/>
                <w:szCs w:val="19"/>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Year</w:t>
            </w:r>
          </w:p>
        </w:tc>
        <w:tc>
          <w:tcPr>
            <w:tcW w:w="280" w:type="dxa"/>
            <w:vAlign w:val="bottom"/>
          </w:tcPr>
          <w:p>
            <w:pPr>
              <w:spacing w:after="0"/>
              <w:rPr>
                <w:sz w:val="19"/>
                <w:szCs w:val="19"/>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74"/>
        </w:trPr>
        <w:tc>
          <w:tcPr>
            <w:tcW w:w="34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i w:val="1"/>
                <w:iCs w:val="1"/>
                <w:color w:val="auto"/>
              </w:rPr>
              <w:t>Mark L. Baum</w:t>
            </w: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22"/>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2025</w:t>
            </w:r>
          </w:p>
        </w:tc>
        <w:tc>
          <w:tcPr>
            <w:tcW w:w="106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w w:val="94"/>
              </w:rPr>
              <w:t>$ 754,910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7"/>
              </w:rPr>
              <w:t>22,294,873(5)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542,491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14,000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6"/>
              </w:rPr>
              <w:t>23,606,274</w:t>
            </w:r>
          </w:p>
        </w:tc>
      </w:tr>
      <w:tr>
        <w:trPr>
          <w:trHeight w:val="202"/>
        </w:trPr>
        <w:tc>
          <w:tcPr>
            <w:tcW w:w="3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2024</w:t>
            </w:r>
          </w:p>
        </w:tc>
        <w:tc>
          <w:tcPr>
            <w:tcW w:w="106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w w:val="94"/>
              </w:rPr>
              <w:t>$ 731,120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611,618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15,752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1,358,490</w:t>
            </w:r>
          </w:p>
        </w:tc>
        <w:tc>
          <w:tcPr>
            <w:tcW w:w="100" w:type="dxa"/>
            <w:vAlign w:val="bottom"/>
            <w:shd w:val="clear" w:color="auto" w:fill="CCEEFF"/>
          </w:tcPr>
          <w:p>
            <w:pPr>
              <w:spacing w:after="0"/>
              <w:rPr>
                <w:sz w:val="17"/>
                <w:szCs w:val="17"/>
                <w:color w:val="auto"/>
              </w:rPr>
            </w:pPr>
          </w:p>
        </w:tc>
      </w:tr>
      <w:tr>
        <w:trPr>
          <w:trHeight w:val="202"/>
        </w:trPr>
        <w:tc>
          <w:tcPr>
            <w:tcW w:w="3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2023</w:t>
            </w:r>
          </w:p>
        </w:tc>
        <w:tc>
          <w:tcPr>
            <w:tcW w:w="106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w w:val="94"/>
              </w:rPr>
              <w:t>$ 680,086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6"/>
              </w:rPr>
              <w:t>14,150,821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421,800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3,756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6"/>
              </w:rPr>
              <w:t>15,256,463</w:t>
            </w:r>
          </w:p>
        </w:tc>
      </w:tr>
      <w:tr>
        <w:trPr>
          <w:trHeight w:val="181"/>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7"/>
                <w:szCs w:val="17"/>
                <w:i w:val="1"/>
                <w:iCs w:val="1"/>
                <w:color w:val="auto"/>
              </w:rPr>
              <w:t>Andrew R. Boll</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6"/>
        </w:trPr>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President and Chief Financial Officer</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2025</w:t>
            </w:r>
          </w:p>
        </w:tc>
        <w:tc>
          <w:tcPr>
            <w:tcW w:w="1060" w:type="dxa"/>
            <w:vAlign w:val="bottom"/>
            <w:gridSpan w:val="3"/>
          </w:tcPr>
          <w:p>
            <w:pPr>
              <w:jc w:val="center"/>
              <w:ind w:left="56"/>
              <w:spacing w:after="0"/>
              <w:rPr>
                <w:sz w:val="20"/>
                <w:szCs w:val="20"/>
                <w:color w:val="auto"/>
              </w:rPr>
            </w:pPr>
            <w:r>
              <w:rPr>
                <w:rFonts w:ascii="Times New Roman" w:cs="Times New Roman" w:eastAsia="Times New Roman" w:hAnsi="Times New Roman"/>
                <w:sz w:val="17"/>
                <w:szCs w:val="17"/>
                <w:color w:val="auto"/>
                <w:w w:val="94"/>
              </w:rPr>
              <w:t>$ 505,259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7"/>
              </w:rPr>
              <w:t>10,169,924(5)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258,258</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14,000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6"/>
              </w:rPr>
              <w:t>10,947,441</w:t>
            </w:r>
          </w:p>
        </w:tc>
      </w:tr>
      <w:tr>
        <w:trPr>
          <w:trHeight w:val="202"/>
        </w:trPr>
        <w:tc>
          <w:tcPr>
            <w:tcW w:w="3460" w:type="dxa"/>
            <w:vAlign w:val="bottom"/>
          </w:tcPr>
          <w:p>
            <w:pPr>
              <w:spacing w:after="0"/>
              <w:rPr>
                <w:sz w:val="17"/>
                <w:szCs w:val="17"/>
                <w:color w:val="auto"/>
              </w:rPr>
            </w:pP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2024</w:t>
            </w:r>
          </w:p>
        </w:tc>
        <w:tc>
          <w:tcPr>
            <w:tcW w:w="1060" w:type="dxa"/>
            <w:vAlign w:val="bottom"/>
            <w:gridSpan w:val="3"/>
          </w:tcPr>
          <w:p>
            <w:pPr>
              <w:jc w:val="center"/>
              <w:ind w:left="56"/>
              <w:spacing w:after="0"/>
              <w:rPr>
                <w:sz w:val="20"/>
                <w:szCs w:val="20"/>
                <w:color w:val="auto"/>
              </w:rPr>
            </w:pPr>
            <w:r>
              <w:rPr>
                <w:rFonts w:ascii="Times New Roman" w:cs="Times New Roman" w:eastAsia="Times New Roman" w:hAnsi="Times New Roman"/>
                <w:sz w:val="17"/>
                <w:szCs w:val="17"/>
                <w:color w:val="auto"/>
                <w:w w:val="94"/>
              </w:rPr>
              <w:t>$ 491,920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342,930</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14,351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849,201</w:t>
            </w:r>
          </w:p>
        </w:tc>
      </w:tr>
      <w:tr>
        <w:trPr>
          <w:trHeight w:val="218"/>
        </w:trPr>
        <w:tc>
          <w:tcPr>
            <w:tcW w:w="346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2023</w:t>
            </w:r>
          </w:p>
        </w:tc>
        <w:tc>
          <w:tcPr>
            <w:tcW w:w="1060" w:type="dxa"/>
            <w:vAlign w:val="bottom"/>
            <w:gridSpan w:val="3"/>
          </w:tcPr>
          <w:p>
            <w:pPr>
              <w:jc w:val="center"/>
              <w:ind w:left="56"/>
              <w:spacing w:after="0"/>
              <w:rPr>
                <w:sz w:val="20"/>
                <w:szCs w:val="20"/>
                <w:color w:val="auto"/>
              </w:rPr>
            </w:pPr>
            <w:r>
              <w:rPr>
                <w:rFonts w:ascii="Times New Roman" w:cs="Times New Roman" w:eastAsia="Times New Roman" w:hAnsi="Times New Roman"/>
                <w:sz w:val="17"/>
                <w:szCs w:val="17"/>
                <w:color w:val="auto"/>
                <w:w w:val="94"/>
              </w:rPr>
              <w:t>$ 459,900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6,432,192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236,500</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1,817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7,130,409</w:t>
            </w:r>
          </w:p>
        </w:tc>
        <w:tc>
          <w:tcPr>
            <w:tcW w:w="100" w:type="dxa"/>
            <w:vAlign w:val="bottom"/>
          </w:tcPr>
          <w:p>
            <w:pPr>
              <w:spacing w:after="0"/>
              <w:rPr>
                <w:sz w:val="18"/>
                <w:szCs w:val="18"/>
                <w:color w:val="auto"/>
              </w:rPr>
            </w:pPr>
          </w:p>
        </w:tc>
      </w:tr>
      <w:tr>
        <w:trPr>
          <w:trHeight w:val="182"/>
        </w:trPr>
        <w:tc>
          <w:tcPr>
            <w:tcW w:w="34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i w:val="1"/>
                <w:iCs w:val="1"/>
                <w:color w:val="auto"/>
              </w:rPr>
              <w:t>Francis W. Mullery</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2"/>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President and Chief Executive</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Officer, ImprimisRx Division (6)</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2025</w:t>
            </w:r>
          </w:p>
        </w:tc>
        <w:tc>
          <w:tcPr>
            <w:tcW w:w="106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w w:val="94"/>
              </w:rPr>
              <w:t>$ 129,808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6"/>
              </w:rPr>
              <w:t>1,054,624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53,260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1,237,692</w:t>
            </w:r>
          </w:p>
        </w:tc>
        <w:tc>
          <w:tcPr>
            <w:tcW w:w="100" w:type="dxa"/>
            <w:vAlign w:val="bottom"/>
            <w:shd w:val="clear" w:color="auto" w:fill="CCEEFF"/>
          </w:tcPr>
          <w:p>
            <w:pPr>
              <w:spacing w:after="0"/>
              <w:rPr>
                <w:sz w:val="19"/>
                <w:szCs w:val="19"/>
                <w:color w:val="auto"/>
              </w:rPr>
            </w:pPr>
          </w:p>
        </w:tc>
      </w:tr>
      <w:tr>
        <w:trPr>
          <w:trHeight w:val="181"/>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7"/>
                <w:szCs w:val="17"/>
                <w:i w:val="1"/>
                <w:iCs w:val="1"/>
                <w:color w:val="auto"/>
              </w:rPr>
              <w:t>Amir H. Shojaei</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Chief Scientific Officer (7)</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2025</w:t>
            </w:r>
          </w:p>
        </w:tc>
        <w:tc>
          <w:tcPr>
            <w:tcW w:w="1060" w:type="dxa"/>
            <w:vAlign w:val="bottom"/>
            <w:gridSpan w:val="3"/>
          </w:tcPr>
          <w:p>
            <w:pPr>
              <w:jc w:val="center"/>
              <w:ind w:left="56"/>
              <w:spacing w:after="0"/>
              <w:rPr>
                <w:sz w:val="20"/>
                <w:szCs w:val="20"/>
                <w:color w:val="auto"/>
              </w:rPr>
            </w:pPr>
            <w:r>
              <w:rPr>
                <w:rFonts w:ascii="Times New Roman" w:cs="Times New Roman" w:eastAsia="Times New Roman" w:hAnsi="Times New Roman"/>
                <w:sz w:val="17"/>
                <w:szCs w:val="17"/>
                <w:color w:val="auto"/>
                <w:w w:val="94"/>
              </w:rPr>
              <w:t>$ 441,346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670,569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225,000</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5,712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1,342,627</w:t>
            </w:r>
          </w:p>
        </w:tc>
        <w:tc>
          <w:tcPr>
            <w:tcW w:w="100" w:type="dxa"/>
            <w:vAlign w:val="bottom"/>
          </w:tcPr>
          <w:p>
            <w:pPr>
              <w:spacing w:after="0"/>
              <w:rPr>
                <w:sz w:val="19"/>
                <w:szCs w:val="19"/>
                <w:color w:val="auto"/>
              </w:rPr>
            </w:pPr>
          </w:p>
        </w:tc>
      </w:tr>
      <w:tr>
        <w:trPr>
          <w:trHeight w:val="182"/>
        </w:trPr>
        <w:tc>
          <w:tcPr>
            <w:tcW w:w="34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i w:val="1"/>
                <w:iCs w:val="1"/>
                <w:color w:val="auto"/>
              </w:rPr>
              <w:t>John P. Saharek</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2"/>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Former President and Chief Executive Officer,</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ImprimisRx Division (8)</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2025</w:t>
            </w:r>
          </w:p>
        </w:tc>
        <w:tc>
          <w:tcPr>
            <w:tcW w:w="106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w w:val="94"/>
              </w:rPr>
              <w:t>$ 475,614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237,807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14,000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727,421</w:t>
            </w:r>
          </w:p>
        </w:tc>
      </w:tr>
      <w:tr>
        <w:trPr>
          <w:trHeight w:val="202"/>
        </w:trPr>
        <w:tc>
          <w:tcPr>
            <w:tcW w:w="3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2024</w:t>
            </w:r>
          </w:p>
        </w:tc>
        <w:tc>
          <w:tcPr>
            <w:tcW w:w="106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w w:val="94"/>
              </w:rPr>
              <w:t>$ 463,431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234,000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46,036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743,467</w:t>
            </w:r>
          </w:p>
        </w:tc>
      </w:tr>
      <w:tr>
        <w:trPr>
          <w:trHeight w:val="202"/>
        </w:trPr>
        <w:tc>
          <w:tcPr>
            <w:tcW w:w="3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2023</w:t>
            </w:r>
          </w:p>
        </w:tc>
        <w:tc>
          <w:tcPr>
            <w:tcW w:w="1060" w:type="dxa"/>
            <w:vAlign w:val="bottom"/>
            <w:gridSpan w:val="3"/>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w w:val="94"/>
              </w:rPr>
              <w:t>$ 431,436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5,145,753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225,000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12,938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5,815,127</w:t>
            </w:r>
          </w:p>
        </w:tc>
        <w:tc>
          <w:tcPr>
            <w:tcW w:w="100" w:type="dxa"/>
            <w:vAlign w:val="bottom"/>
            <w:shd w:val="clear" w:color="auto" w:fill="CCEEFF"/>
          </w:tcPr>
          <w:p>
            <w:pPr>
              <w:spacing w:after="0"/>
              <w:rPr>
                <w:sz w:val="17"/>
                <w:szCs w:val="17"/>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jc w:val="both"/>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grant date fair value of awards granted during the respective fiscal years, measured in accordance with ASC 718 and without adjustment for estimated forfeitures. For a discussion of the assumptions used to calculate the value of equity awards, refer to Note 15 to our consolidated financial statements included in the Annual Report. For information about the material terms of each equity award, including the Company’s 2023 and 2025 multi-year PSU awards, see the disclosure under “Outstanding Equity Awards at Fiscal Year-End” below.</w:t>
      </w:r>
    </w:p>
    <w:p>
      <w:pPr>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grant date fair value of the option award computed in accordance with ASC 718, without giving effect to estimated forfeitures. For a discussion of the assumptions used in determining grant date fair value, refer to Note 15 to our consolidated financial statements included in the Annual Report.</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payouts under the Company’s annual cash bonus incentive plan. Such amounts are determined and paid after the end of each year, but reflect individual and Company performance for the respective years reflected above.</w:t>
      </w:r>
    </w:p>
    <w:p>
      <w:pPr>
        <w:spacing w:after="0" w:line="1"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matching contributions made by us for the benefit of the named executive officer under our 401(k) retirement savings plan, group life insurance benefit in excess of the standard threshold granted to all other employees and in the case of Mr. Saharek for 2024, reimbursement of moving expenses associated with his relocation to Nashville, Tennessee.</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fair market value, as of the date of issuance, of multi-year equity awards to Mr. Baum and Mr. Boll, which are performance stock unit (“PSU”) awards that vest at various share price targets – as described further under “</w:t>
      </w:r>
      <w:r>
        <w:rPr>
          <w:rFonts w:ascii="Times New Roman" w:cs="Times New Roman" w:eastAsia="Times New Roman" w:hAnsi="Times New Roman"/>
          <w:sz w:val="17"/>
          <w:szCs w:val="17"/>
          <w:i w:val="1"/>
          <w:iCs w:val="1"/>
          <w:color w:val="auto"/>
        </w:rPr>
        <w:t>Outstanding Equity Awards at Fiscal Year-End - 2025 PSUs - Multi-Year Awards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Mullery joined the Company in September 2025 and became President and Chief Executive Officer, ImprimisRx Division, in October 2025.</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Shojaei joined the Company as its Chief Scientific Officer in January 2025.</w:t>
      </w:r>
    </w:p>
    <w:p>
      <w:pPr>
        <w:spacing w:after="0" w:line="6"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Saharek served as President and Chief Executive Officer of ImprimisRx until October 2025, when he was succeeded by Francis W. Mullery. The Company entered into a Consulting Agreement with Mr. Saharek effective March 1, 2026.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bl>
    <w:p>
      <w:pPr>
        <w:sectPr>
          <w:pgSz w:w="11900" w:h="16838" w:orient="portrait"/>
          <w:cols w:equalWidth="0" w:num="1">
            <w:col w:w="11240"/>
          </w:cols>
          <w:pgMar w:left="320" w:top="6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Grants of Plan-Based Awards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regarding plan-based awards granted to our named executive officers during the fiscal year ended December 31, 2025, including annual incentive opportunities and equity awards.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All Other</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6"/>
              </w:rPr>
              <w:t>Awards:</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Awards:</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7"/>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Estimated Future Payouts Under</w:t>
            </w:r>
          </w:p>
        </w:tc>
        <w:tc>
          <w:tcPr>
            <w:tcW w:w="2500" w:type="dxa"/>
            <w:vAlign w:val="bottom"/>
            <w:gridSpan w:val="7"/>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Estimated Future Payouts Under</w:t>
            </w: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Exercise or</w:t>
            </w:r>
          </w:p>
        </w:tc>
        <w:tc>
          <w:tcPr>
            <w:tcW w:w="240" w:type="dxa"/>
            <w:vAlign w:val="bottom"/>
          </w:tcPr>
          <w:p>
            <w:pPr>
              <w:spacing w:after="0"/>
              <w:rPr>
                <w:sz w:val="17"/>
                <w:szCs w:val="17"/>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2"/>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20" w:type="dxa"/>
            <w:vAlign w:val="bottom"/>
            <w:gridSpan w:val="8"/>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Non-Equity Incentive Plan Awards</w:t>
            </w:r>
          </w:p>
        </w:tc>
        <w:tc>
          <w:tcPr>
            <w:tcW w:w="60" w:type="dxa"/>
            <w:vAlign w:val="bottom"/>
          </w:tcPr>
          <w:p>
            <w:pPr>
              <w:spacing w:after="0"/>
              <w:rPr>
                <w:sz w:val="17"/>
                <w:szCs w:val="17"/>
                <w:color w:val="auto"/>
              </w:rPr>
            </w:pPr>
          </w:p>
        </w:tc>
        <w:tc>
          <w:tcPr>
            <w:tcW w:w="2440" w:type="dxa"/>
            <w:vAlign w:val="bottom"/>
            <w:gridSpan w:val="6"/>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Equity Incentive Plan Awards</w:t>
            </w: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of Shares</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Base Price</w:t>
            </w: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 of Stock</w:t>
            </w:r>
          </w:p>
        </w:tc>
      </w:tr>
      <w:tr>
        <w:trPr>
          <w:trHeight w:val="222"/>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of Stock or</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of Option</w:t>
            </w: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and Option Awards</w:t>
            </w:r>
          </w:p>
        </w:tc>
      </w:tr>
      <w:tr>
        <w:trPr>
          <w:trHeight w:val="174"/>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9"/>
              </w:rPr>
              <w:t>Grant</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7"/>
                <w:szCs w:val="17"/>
                <w:b w:val="1"/>
                <w:bCs w:val="1"/>
                <w:color w:val="auto"/>
                <w:w w:val="96"/>
              </w:rPr>
              <w:t>Threshold</w:t>
            </w:r>
          </w:p>
        </w:tc>
        <w:tc>
          <w:tcPr>
            <w:tcW w:w="220" w:type="dxa"/>
            <w:vAlign w:val="bottom"/>
          </w:tcPr>
          <w:p>
            <w:pPr>
              <w:spacing w:after="0"/>
              <w:rPr>
                <w:sz w:val="15"/>
                <w:szCs w:val="15"/>
                <w:color w:val="auto"/>
              </w:rPr>
            </w:pPr>
          </w:p>
        </w:tc>
        <w:tc>
          <w:tcPr>
            <w:tcW w:w="6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7"/>
                <w:szCs w:val="17"/>
                <w:b w:val="1"/>
                <w:bCs w:val="1"/>
                <w:color w:val="auto"/>
              </w:rPr>
              <w:t>Target</w:t>
            </w:r>
          </w:p>
        </w:tc>
        <w:tc>
          <w:tcPr>
            <w:tcW w:w="16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7"/>
                <w:szCs w:val="17"/>
                <w:b w:val="1"/>
                <w:bCs w:val="1"/>
                <w:color w:val="auto"/>
                <w:w w:val="97"/>
              </w:rPr>
              <w:t>Maximum</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200"/>
              <w:spacing w:after="0" w:line="175" w:lineRule="exact"/>
              <w:rPr>
                <w:sz w:val="20"/>
                <w:szCs w:val="20"/>
                <w:color w:val="auto"/>
              </w:rPr>
            </w:pPr>
            <w:r>
              <w:rPr>
                <w:rFonts w:ascii="Times New Roman" w:cs="Times New Roman" w:eastAsia="Times New Roman" w:hAnsi="Times New Roman"/>
                <w:sz w:val="17"/>
                <w:szCs w:val="17"/>
                <w:b w:val="1"/>
                <w:bCs w:val="1"/>
                <w:color w:val="auto"/>
                <w:w w:val="96"/>
              </w:rPr>
              <w:t>Threshold</w:t>
            </w:r>
          </w:p>
        </w:tc>
        <w:tc>
          <w:tcPr>
            <w:tcW w:w="680" w:type="dxa"/>
            <w:vAlign w:val="bottom"/>
            <w:gridSpan w:val="2"/>
          </w:tcPr>
          <w:p>
            <w:pPr>
              <w:jc w:val="right"/>
              <w:ind w:right="200"/>
              <w:spacing w:after="0" w:line="175" w:lineRule="exact"/>
              <w:rPr>
                <w:sz w:val="20"/>
                <w:szCs w:val="20"/>
                <w:color w:val="auto"/>
              </w:rPr>
            </w:pPr>
            <w:r>
              <w:rPr>
                <w:rFonts w:ascii="Times New Roman" w:cs="Times New Roman" w:eastAsia="Times New Roman" w:hAnsi="Times New Roman"/>
                <w:sz w:val="17"/>
                <w:szCs w:val="17"/>
                <w:b w:val="1"/>
                <w:bCs w:val="1"/>
                <w:color w:val="auto"/>
                <w:w w:val="93"/>
              </w:rPr>
              <w:t>Target</w:t>
            </w: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7"/>
                <w:szCs w:val="17"/>
                <w:b w:val="1"/>
                <w:bCs w:val="1"/>
                <w:color w:val="auto"/>
                <w:w w:val="95"/>
              </w:rPr>
              <w:t>Maximum</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7"/>
                <w:szCs w:val="17"/>
                <w:b w:val="1"/>
                <w:bCs w:val="1"/>
                <w:color w:val="auto"/>
              </w:rPr>
              <w:t>Units</w:t>
            </w:r>
          </w:p>
        </w:tc>
        <w:tc>
          <w:tcPr>
            <w:tcW w:w="220" w:type="dxa"/>
            <w:vAlign w:val="bottom"/>
          </w:tcPr>
          <w:p>
            <w:pPr>
              <w:spacing w:after="0"/>
              <w:rPr>
                <w:sz w:val="15"/>
                <w:szCs w:val="15"/>
                <w:color w:val="auto"/>
              </w:rPr>
            </w:pPr>
          </w:p>
        </w:tc>
        <w:tc>
          <w:tcPr>
            <w:tcW w:w="72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7"/>
                <w:szCs w:val="17"/>
                <w:b w:val="1"/>
                <w:bCs w:val="1"/>
                <w:color w:val="auto"/>
              </w:rPr>
              <w:t>Options</w:t>
            </w:r>
          </w:p>
        </w:tc>
        <w:tc>
          <w:tcPr>
            <w:tcW w:w="220" w:type="dxa"/>
            <w:vAlign w:val="bottom"/>
          </w:tcPr>
          <w:p>
            <w:pPr>
              <w:spacing w:after="0"/>
              <w:rPr>
                <w:sz w:val="15"/>
                <w:szCs w:val="15"/>
                <w:color w:val="auto"/>
              </w:rPr>
            </w:pPr>
          </w:p>
        </w:tc>
        <w:tc>
          <w:tcPr>
            <w:tcW w:w="720" w:type="dxa"/>
            <w:vAlign w:val="bottom"/>
            <w:gridSpan w:val="2"/>
          </w:tcPr>
          <w:p>
            <w:pPr>
              <w:jc w:val="right"/>
              <w:ind w:right="120"/>
              <w:spacing w:after="0" w:line="175" w:lineRule="exact"/>
              <w:rPr>
                <w:sz w:val="20"/>
                <w:szCs w:val="20"/>
                <w:color w:val="auto"/>
              </w:rPr>
            </w:pPr>
            <w:r>
              <w:rPr>
                <w:rFonts w:ascii="Times New Roman" w:cs="Times New Roman" w:eastAsia="Times New Roman" w:hAnsi="Times New Roman"/>
                <w:sz w:val="17"/>
                <w:szCs w:val="17"/>
                <w:b w:val="1"/>
                <w:bCs w:val="1"/>
                <w:color w:val="auto"/>
              </w:rPr>
              <w:t>Awards</w:t>
            </w:r>
          </w:p>
        </w:tc>
        <w:tc>
          <w:tcPr>
            <w:tcW w:w="240" w:type="dxa"/>
            <w:vAlign w:val="bottom"/>
          </w:tcPr>
          <w:p>
            <w:pPr>
              <w:spacing w:after="0"/>
              <w:rPr>
                <w:sz w:val="15"/>
                <w:szCs w:val="15"/>
                <w:color w:val="auto"/>
              </w:rPr>
            </w:pPr>
          </w:p>
        </w:tc>
        <w:tc>
          <w:tcPr>
            <w:tcW w:w="1240" w:type="dxa"/>
            <w:vAlign w:val="bottom"/>
            <w:gridSpan w:val="2"/>
          </w:tcPr>
          <w:p>
            <w:pPr>
              <w:jc w:val="right"/>
              <w:ind w:right="396"/>
              <w:spacing w:after="0" w:line="175" w:lineRule="exact"/>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5"/>
                <w:szCs w:val="15"/>
                <w:color w:val="auto"/>
              </w:rPr>
            </w:pPr>
          </w:p>
        </w:tc>
      </w:tr>
      <w:tr>
        <w:trPr>
          <w:trHeight w:val="222"/>
        </w:trPr>
        <w:tc>
          <w:tcPr>
            <w:tcW w:w="104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Date</w:t>
            </w:r>
          </w:p>
        </w:tc>
        <w:tc>
          <w:tcPr>
            <w:tcW w:w="100" w:type="dxa"/>
            <w:vAlign w:val="bottom"/>
          </w:tcPr>
          <w:p>
            <w:pPr>
              <w:spacing w:after="0"/>
              <w:rPr>
                <w:sz w:val="19"/>
                <w:szCs w:val="19"/>
                <w:color w:val="auto"/>
              </w:rPr>
            </w:pP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9"/>
                <w:szCs w:val="19"/>
                <w:color w:val="auto"/>
              </w:rPr>
            </w:pPr>
          </w:p>
        </w:tc>
        <w:tc>
          <w:tcPr>
            <w:tcW w:w="48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880" w:type="dxa"/>
            <w:vAlign w:val="bottom"/>
            <w:gridSpan w:val="2"/>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(3)</w:t>
            </w:r>
          </w:p>
        </w:tc>
        <w:tc>
          <w:tcPr>
            <w:tcW w:w="60" w:type="dxa"/>
            <w:vAlign w:val="bottom"/>
          </w:tcPr>
          <w:p>
            <w:pPr>
              <w:spacing w:after="0"/>
              <w:rPr>
                <w:sz w:val="19"/>
                <w:szCs w:val="19"/>
                <w:color w:val="auto"/>
              </w:rPr>
            </w:pPr>
          </w:p>
        </w:tc>
      </w:tr>
      <w:tr>
        <w:trPr>
          <w:trHeight w:val="195"/>
        </w:trPr>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L. Baum</w:t>
            </w: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7/1/25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889,500</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22,294,873</w:t>
            </w:r>
          </w:p>
        </w:tc>
        <w:tc>
          <w:tcPr>
            <w:tcW w:w="60" w:type="dxa"/>
            <w:vAlign w:val="bottom"/>
            <w:tcBorders>
              <w:top w:val="single" w:sz="8" w:color="CCEEFF"/>
            </w:tcBorders>
            <w:shd w:val="clear" w:color="auto" w:fill="CCEEFF"/>
          </w:tcPr>
          <w:p>
            <w:pPr>
              <w:spacing w:after="0"/>
              <w:rPr>
                <w:sz w:val="16"/>
                <w:szCs w:val="16"/>
                <w:color w:val="auto"/>
              </w:rPr>
            </w:pPr>
          </w:p>
        </w:tc>
      </w:tr>
      <w:tr>
        <w:trPr>
          <w:trHeight w:val="202"/>
        </w:trPr>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7"/>
              </w:rPr>
              <w:t>542,491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976,484</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5"/>
        </w:trPr>
        <w:tc>
          <w:tcPr>
            <w:tcW w:w="1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Andrew R.</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Boll</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6"/>
              </w:rPr>
              <w:t>7/1/25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405,750</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10,169,924</w:t>
            </w:r>
          </w:p>
        </w:tc>
      </w:tr>
      <w:tr>
        <w:trPr>
          <w:trHeight w:val="218"/>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7"/>
              </w:rPr>
              <w:t>258,258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464,864</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6"/>
        </w:trPr>
        <w:tc>
          <w:tcPr>
            <w:tcW w:w="10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Francis W.</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Mullery</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9/30/25 $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33,000</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48.18</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1,054,624</w:t>
            </w:r>
          </w:p>
        </w:tc>
        <w:tc>
          <w:tcPr>
            <w:tcW w:w="60" w:type="dxa"/>
            <w:vAlign w:val="bottom"/>
            <w:shd w:val="clear" w:color="auto" w:fill="CCEEFF"/>
          </w:tcPr>
          <w:p>
            <w:pPr>
              <w:spacing w:after="0"/>
              <w:rPr>
                <w:sz w:val="18"/>
                <w:szCs w:val="18"/>
                <w:color w:val="auto"/>
              </w:rPr>
            </w:pPr>
          </w:p>
        </w:tc>
      </w:tr>
      <w:tr>
        <w:trPr>
          <w:trHeight w:val="202"/>
        </w:trPr>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52,260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94,068</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5"/>
        </w:trPr>
        <w:tc>
          <w:tcPr>
            <w:tcW w:w="1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Amir H.</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Shojaei</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6"/>
              </w:rPr>
              <w:t>1/6/25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30,000</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35.96</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670,569</w:t>
            </w:r>
          </w:p>
        </w:tc>
      </w:tr>
      <w:tr>
        <w:trPr>
          <w:trHeight w:val="218"/>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7"/>
              </w:rPr>
              <w:t>225,000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405,000</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186"/>
        </w:trPr>
        <w:tc>
          <w:tcPr>
            <w:tcW w:w="10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John P.</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Saharek</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7"/>
              </w:rPr>
              <w:t>237,807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428,053</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jc w:val="both"/>
        <w:ind w:left="300" w:hanging="299"/>
        <w:spacing w:after="0" w:line="254"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represent potential payouts under the Company’s annual cash incentive program for 2025. Actual amounts paid, if any, were determined by the Compensation Committee following the end of the fiscal year based on the Committee’s evaluation of Company performance and, where applicable, individual performance</w:t>
      </w:r>
    </w:p>
    <w:p>
      <w:pPr>
        <w:ind w:left="300" w:hanging="299"/>
        <w:spacing w:after="0" w:line="247"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represent performance stock unit or other performance-based equity awards granted in 2025, if any. The actual number of shares that may be earned, if any, is subject to the applicable vesting, continued service, market-based and/or performance-based conditions.</w:t>
      </w:r>
    </w:p>
    <w:p>
      <w:pPr>
        <w:spacing w:after="0" w:line="1" w:lineRule="exact"/>
        <w:rPr>
          <w:rFonts w:ascii="Times New Roman" w:cs="Times New Roman" w:eastAsia="Times New Roman" w:hAnsi="Times New Roman"/>
          <w:sz w:val="17"/>
          <w:szCs w:val="17"/>
          <w:color w:val="auto"/>
        </w:rPr>
      </w:pPr>
    </w:p>
    <w:p>
      <w:pPr>
        <w:jc w:val="both"/>
        <w:ind w:left="300" w:hanging="299"/>
        <w:spacing w:after="0" w:line="251"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reflect the grant date fair value of the applicable award computed in accordance with ASC 718, without giving effect to estimated forfeitures. For a discussion of the assumptions used in determining grant date fair value, see Note 15 to the Company’s consolidated financial statements included in the Annual Report.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bl>
    <w:p>
      <w:pPr>
        <w:sectPr>
          <w:pgSz w:w="11900" w:h="16838" w:orient="portrait"/>
          <w:cols w:equalWidth="0" w:num="1">
            <w:col w:w="11240"/>
          </w:cols>
          <w:pgMar w:left="320" w:top="6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outstanding equity awards of the Company held by our named executive officers as of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Option Awards (1)</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Stock Awards (1)</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74"/>
        </w:trPr>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Equity</w:t>
            </w:r>
          </w:p>
        </w:tc>
        <w:tc>
          <w:tcPr>
            <w:tcW w:w="80" w:type="dxa"/>
            <w:vAlign w:val="bottom"/>
          </w:tcPr>
          <w:p>
            <w:pPr>
              <w:spacing w:after="0"/>
              <w:rPr>
                <w:sz w:val="15"/>
                <w:szCs w:val="15"/>
                <w:color w:val="auto"/>
              </w:rPr>
            </w:pPr>
          </w:p>
        </w:tc>
      </w:tr>
      <w:tr>
        <w:trPr>
          <w:trHeight w:val="202"/>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Incentive</w:t>
            </w:r>
          </w:p>
        </w:tc>
      </w:tr>
      <w:tr>
        <w:trPr>
          <w:trHeight w:val="202"/>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Plan</w:t>
            </w:r>
          </w:p>
        </w:tc>
      </w:tr>
      <w:tr>
        <w:trPr>
          <w:trHeight w:val="202"/>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16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Awards:</w:t>
            </w:r>
          </w:p>
        </w:tc>
      </w:tr>
      <w:tr>
        <w:trPr>
          <w:trHeight w:val="202"/>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16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Market</w:t>
            </w:r>
          </w:p>
        </w:tc>
      </w:tr>
      <w:tr>
        <w:trPr>
          <w:trHeight w:val="202"/>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Plan</w:t>
            </w:r>
          </w:p>
        </w:tc>
        <w:tc>
          <w:tcPr>
            <w:tcW w:w="16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5"/>
              </w:rPr>
              <w:t>Value of</w:t>
            </w:r>
          </w:p>
        </w:tc>
      </w:tr>
      <w:tr>
        <w:trPr>
          <w:trHeight w:val="202"/>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Market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Awards:</w:t>
            </w:r>
          </w:p>
        </w:tc>
        <w:tc>
          <w:tcPr>
            <w:tcW w:w="16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Unearned</w:t>
            </w:r>
          </w:p>
        </w:tc>
      </w:tr>
      <w:tr>
        <w:trPr>
          <w:trHeight w:val="202"/>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6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Shares or</w:t>
            </w:r>
          </w:p>
        </w:tc>
      </w:tr>
      <w:tr>
        <w:trPr>
          <w:trHeight w:val="202"/>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Shares or</w:t>
            </w:r>
          </w:p>
        </w:tc>
        <w:tc>
          <w:tcPr>
            <w:tcW w:w="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w w:val="97"/>
              </w:rPr>
              <w:t>Shares 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Shares or</w:t>
            </w:r>
          </w:p>
        </w:tc>
        <w:tc>
          <w:tcPr>
            <w:tcW w:w="16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Units of</w:t>
            </w:r>
          </w:p>
        </w:tc>
      </w:tr>
      <w:tr>
        <w:trPr>
          <w:trHeight w:val="202"/>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Underlying</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Units of</w:t>
            </w: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Units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Units of</w:t>
            </w:r>
          </w:p>
        </w:tc>
        <w:tc>
          <w:tcPr>
            <w:tcW w:w="16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Stock</w:t>
            </w:r>
          </w:p>
        </w:tc>
      </w:tr>
      <w:tr>
        <w:trPr>
          <w:trHeight w:val="202"/>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0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6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that Have</w:t>
            </w:r>
          </w:p>
        </w:tc>
      </w:tr>
      <w:tr>
        <w:trPr>
          <w:trHeight w:val="202"/>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Options</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Options</w:t>
            </w:r>
          </w:p>
        </w:tc>
        <w:tc>
          <w:tcPr>
            <w:tcW w:w="7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Expiration</w:t>
            </w:r>
          </w:p>
        </w:tc>
        <w:tc>
          <w:tcPr>
            <w:tcW w:w="10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that Have</w:t>
            </w: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that Have</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that Have</w:t>
            </w:r>
          </w:p>
        </w:tc>
        <w:tc>
          <w:tcPr>
            <w:tcW w:w="16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Not Vested</w:t>
            </w:r>
          </w:p>
        </w:tc>
      </w:tr>
      <w:tr>
        <w:trPr>
          <w:trHeight w:val="222"/>
        </w:trPr>
        <w:tc>
          <w:tcPr>
            <w:tcW w:w="3160" w:type="dxa"/>
            <w:vAlign w:val="bottom"/>
          </w:tcPr>
          <w:p>
            <w:pPr>
              <w:ind w:left="13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8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Exercisable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Unexercisable</w:t>
            </w:r>
          </w:p>
        </w:tc>
        <w:tc>
          <w:tcPr>
            <w:tcW w:w="100" w:type="dxa"/>
            <w:vAlign w:val="bottom"/>
          </w:tcPr>
          <w:p>
            <w:pPr>
              <w:spacing w:after="0"/>
              <w:rPr>
                <w:sz w:val="19"/>
                <w:szCs w:val="19"/>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5"/>
              </w:rPr>
              <w:t>Price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Not Vested</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Not Vested</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Not Vested</w:t>
            </w:r>
          </w:p>
        </w:tc>
        <w:tc>
          <w:tcPr>
            <w:tcW w:w="1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(2)</w:t>
            </w:r>
          </w:p>
        </w:tc>
        <w:tc>
          <w:tcPr>
            <w:tcW w:w="80" w:type="dxa"/>
            <w:vAlign w:val="bottom"/>
          </w:tcPr>
          <w:p>
            <w:pPr>
              <w:spacing w:after="0"/>
              <w:rPr>
                <w:sz w:val="19"/>
                <w:szCs w:val="19"/>
                <w:color w:val="auto"/>
              </w:rPr>
            </w:pPr>
          </w:p>
        </w:tc>
      </w:tr>
      <w:tr>
        <w:trPr>
          <w:trHeight w:val="195"/>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L. Baum</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w:t>
            </w:r>
          </w:p>
        </w:tc>
        <w:tc>
          <w:tcPr>
            <w:tcW w:w="1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2/1/2027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3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1.73</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1/2/2028</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2"/>
        </w:trPr>
        <w:tc>
          <w:tcPr>
            <w:tcW w:w="3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6.30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2/19/2029</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2"/>
        </w:trPr>
        <w:tc>
          <w:tcPr>
            <w:tcW w:w="3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217,500</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7.30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1/2/2030</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2"/>
        </w:trPr>
        <w:tc>
          <w:tcPr>
            <w:tcW w:w="3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889,500(3)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9"/>
              </w:rPr>
              <w:t>43,585,500</w:t>
            </w:r>
          </w:p>
        </w:tc>
      </w:tr>
      <w:tr>
        <w:trPr>
          <w:trHeight w:val="185"/>
        </w:trPr>
        <w:tc>
          <w:tcPr>
            <w:tcW w:w="31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Andrew R. Boll</w:t>
            </w:r>
          </w:p>
        </w:tc>
        <w:tc>
          <w:tcPr>
            <w:tcW w:w="80" w:type="dxa"/>
            <w:vAlign w:val="bottom"/>
          </w:tcPr>
          <w:p>
            <w:pPr>
              <w:spacing w:after="0"/>
              <w:rPr>
                <w:sz w:val="16"/>
                <w:szCs w:val="16"/>
                <w:color w:val="auto"/>
              </w:rPr>
            </w:pPr>
          </w:p>
        </w:tc>
        <w:tc>
          <w:tcPr>
            <w:tcW w:w="88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55,000</w:t>
            </w:r>
          </w:p>
        </w:tc>
        <w:tc>
          <w:tcPr>
            <w:tcW w:w="18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6"/>
                <w:szCs w:val="16"/>
                <w:color w:val="auto"/>
              </w:rPr>
            </w:pPr>
          </w:p>
        </w:tc>
        <w:tc>
          <w:tcPr>
            <w:tcW w:w="1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80"/>
              <w:spacing w:after="0" w:line="185" w:lineRule="exact"/>
              <w:rPr>
                <w:sz w:val="20"/>
                <w:szCs w:val="20"/>
                <w:color w:val="auto"/>
              </w:rPr>
            </w:pPr>
            <w:r>
              <w:rPr>
                <w:rFonts w:ascii="Times New Roman" w:cs="Times New Roman" w:eastAsia="Times New Roman" w:hAnsi="Times New Roman"/>
                <w:sz w:val="17"/>
                <w:szCs w:val="17"/>
                <w:color w:val="auto"/>
              </w:rPr>
              <w:t>2.23</w:t>
            </w:r>
          </w:p>
        </w:tc>
        <w:tc>
          <w:tcPr>
            <w:tcW w:w="920" w:type="dxa"/>
            <w:vAlign w:val="bottom"/>
            <w:gridSpan w:val="2"/>
          </w:tcPr>
          <w:p>
            <w:pPr>
              <w:jc w:val="right"/>
              <w:ind w:right="80"/>
              <w:spacing w:after="0" w:line="185" w:lineRule="exact"/>
              <w:rPr>
                <w:sz w:val="20"/>
                <w:szCs w:val="20"/>
                <w:color w:val="auto"/>
              </w:rPr>
            </w:pPr>
            <w:r>
              <w:rPr>
                <w:rFonts w:ascii="Times New Roman" w:cs="Times New Roman" w:eastAsia="Times New Roman" w:hAnsi="Times New Roman"/>
                <w:sz w:val="17"/>
                <w:szCs w:val="17"/>
                <w:color w:val="auto"/>
              </w:rPr>
              <w:t>2/1/2027</w:t>
            </w:r>
          </w:p>
        </w:tc>
        <w:tc>
          <w:tcPr>
            <w:tcW w:w="960" w:type="dxa"/>
            <w:vAlign w:val="bottom"/>
            <w:gridSpan w:val="3"/>
          </w:tcPr>
          <w:p>
            <w:pPr>
              <w:jc w:val="right"/>
              <w:ind w:right="100"/>
              <w:spacing w:after="0" w:line="185"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ind w:left="80"/>
              <w:spacing w:after="0" w:line="185"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r>
      <w:tr>
        <w:trPr>
          <w:trHeight w:val="202"/>
        </w:trPr>
        <w:tc>
          <w:tcPr>
            <w:tcW w:w="316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50,000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1/2/2028</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02"/>
        </w:trPr>
        <w:tc>
          <w:tcPr>
            <w:tcW w:w="316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50,000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6.30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2/19/2029</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02"/>
        </w:trPr>
        <w:tc>
          <w:tcPr>
            <w:tcW w:w="316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57,000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7.30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1/2/2030</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18"/>
        </w:trPr>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405,750(3)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9"/>
              </w:rPr>
              <w:t>19,881,750</w:t>
            </w:r>
          </w:p>
        </w:tc>
      </w:tr>
      <w:tr>
        <w:trPr>
          <w:trHeight w:val="20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Francis W. Mullery</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33,000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48.18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9/30/35</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2"/>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Amir H. Shojaei</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30,000</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35.96</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1/6/2035</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0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P. Saharek</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3.95</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4/1/2026</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2"/>
        </w:trPr>
        <w:tc>
          <w:tcPr>
            <w:tcW w:w="3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2.23</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2/1/2027</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2"/>
        </w:trPr>
        <w:tc>
          <w:tcPr>
            <w:tcW w:w="3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1.73</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1/2/2028</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2"/>
        </w:trPr>
        <w:tc>
          <w:tcPr>
            <w:tcW w:w="3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6.30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2/19/2029</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2"/>
        </w:trPr>
        <w:tc>
          <w:tcPr>
            <w:tcW w:w="3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5.72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8/3/2030</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00" w:hanging="299"/>
        <w:spacing w:after="0" w:line="257"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relate to stock options and PSUs granted under the 2007 Incentive Stock and Awards Plan (the “2007 Plan”), the 2017 Incentive Stock and Awards Plan (the “2017 Plan”) and the 2025 Incentive Stock and Awards Plan (the “2025 Plan”).</w:t>
      </w:r>
    </w:p>
    <w:p>
      <w:pPr>
        <w:ind w:left="300" w:hanging="299"/>
        <w:spacing w:after="0" w:line="247"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by multiplying the number of unvested shares by $49.00, the closing price per share of our common stock on The Nasdaq Global Market on December 31, 2025.</w:t>
      </w:r>
    </w:p>
    <w:p>
      <w:pPr>
        <w:spacing w:after="0" w:line="1"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PSUs vest upon achieving and maintaining for a minimum term certain stock price targets ranging from $50.00 to $100.00 during a five-year period and require a minimum of a three-year service period. See subheading “</w:t>
      </w:r>
      <w:r>
        <w:rPr>
          <w:rFonts w:ascii="Times New Roman" w:cs="Times New Roman" w:eastAsia="Times New Roman" w:hAnsi="Times New Roman"/>
          <w:sz w:val="17"/>
          <w:szCs w:val="17"/>
          <w:i w:val="1"/>
          <w:iCs w:val="1"/>
          <w:color w:val="auto"/>
        </w:rPr>
        <w:t>2025 PSUs-Multi-Year Awards”</w:t>
      </w:r>
      <w:r>
        <w:rPr>
          <w:rFonts w:ascii="Times New Roman" w:cs="Times New Roman" w:eastAsia="Times New Roman" w:hAnsi="Times New Roman"/>
          <w:sz w:val="17"/>
          <w:szCs w:val="17"/>
          <w:color w:val="auto"/>
        </w:rPr>
        <w:t xml:space="preserve"> for more information.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bl>
    <w:p>
      <w:pPr>
        <w:sectPr>
          <w:pgSz w:w="11900" w:h="16838" w:orient="portrait"/>
          <w:cols w:equalWidth="0" w:num="1">
            <w:col w:w="11240"/>
          </w:cols>
          <w:pgMar w:left="320" w:top="6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color w:val="auto"/>
        </w:rPr>
        <w:t>2025 PSUs – Multi-Year Awards</w:t>
      </w:r>
    </w:p>
    <w:p>
      <w:pPr>
        <w:spacing w:after="0" w:line="212" w:lineRule="exact"/>
        <w:rPr>
          <w:sz w:val="20"/>
          <w:szCs w:val="20"/>
          <w:color w:val="auto"/>
        </w:rPr>
      </w:pPr>
    </w:p>
    <w:p>
      <w:pPr>
        <w:ind w:firstLine="605"/>
        <w:spacing w:after="0" w:line="273" w:lineRule="auto"/>
        <w:rPr>
          <w:sz w:val="20"/>
          <w:szCs w:val="20"/>
          <w:color w:val="auto"/>
        </w:rPr>
      </w:pPr>
      <w:r>
        <w:rPr>
          <w:rFonts w:ascii="Times New Roman" w:cs="Times New Roman" w:eastAsia="Times New Roman" w:hAnsi="Times New Roman"/>
          <w:sz w:val="16"/>
          <w:szCs w:val="16"/>
          <w:color w:val="auto"/>
        </w:rPr>
        <w:t>In July 2025, the Compensation Committee granted an aggregate of 1,295,250 performance stock units to Messrs. Baum and Boll (the “2025 PSUs”). The 2025 PSUs are subject to both continued service and market-based vesting conditions. Vesting of the 2025 PSUs requires (i) a minimum three-year service period and</w:t>
      </w:r>
    </w:p>
    <w:p>
      <w:pPr>
        <w:spacing w:after="0" w:line="1" w:lineRule="exact"/>
        <w:rPr>
          <w:sz w:val="20"/>
          <w:szCs w:val="20"/>
          <w:color w:val="auto"/>
        </w:rPr>
      </w:pPr>
    </w:p>
    <w:p>
      <w:pPr>
        <w:jc w:val="both"/>
        <w:ind w:firstLine="1"/>
        <w:spacing w:after="0" w:line="251" w:lineRule="auto"/>
        <w:tabs>
          <w:tab w:leader="none" w:pos="25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 five-year term, the achievement and maintenance of specified Company common stock price targets ranging from $50 to $100 per share. The 2025 PSUs are divided into four separate tranches, with each tranche eligible to vest only upon satisfaction of the applicable stock price hurdle and the related service condition. The aggregate grant date fair value of the 2025 PSUs was approximately $32,465,000, as determined in accordance with ASC 718.</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Compensation Committee considered the 2025 PSUs as multi-year awards, and as a result, does not intend to issue equity awards to Mr. Baum or Mr.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Boll during 2026.</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Vesting amounts for Mr. Baum’s 2025 PSUs (889,500 in aggregate) are as follows: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82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Tranche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Target Stock Price</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Number of Shares</w:t>
            </w:r>
          </w:p>
        </w:tc>
      </w:tr>
      <w:tr>
        <w:trPr>
          <w:trHeight w:val="195"/>
        </w:trPr>
        <w:tc>
          <w:tcPr>
            <w:tcW w:w="820" w:type="dxa"/>
            <w:vAlign w:val="bottom"/>
          </w:tcPr>
          <w:p>
            <w:pPr>
              <w:spacing w:after="0"/>
              <w:rPr>
                <w:sz w:val="16"/>
                <w:szCs w:val="16"/>
                <w:color w:val="auto"/>
              </w:rPr>
            </w:pPr>
          </w:p>
        </w:tc>
        <w:tc>
          <w:tcPr>
            <w:tcW w:w="4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Tranche 1</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24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124,530</w:t>
            </w:r>
          </w:p>
        </w:tc>
        <w:tc>
          <w:tcPr>
            <w:tcW w:w="60" w:type="dxa"/>
            <w:vAlign w:val="bottom"/>
            <w:tcBorders>
              <w:top w:val="single" w:sz="8" w:color="CCEEFF"/>
            </w:tcBorders>
            <w:shd w:val="clear" w:color="auto" w:fill="CCEEFF"/>
          </w:tcPr>
          <w:p>
            <w:pPr>
              <w:spacing w:after="0"/>
              <w:rPr>
                <w:sz w:val="16"/>
                <w:szCs w:val="16"/>
                <w:color w:val="auto"/>
              </w:rPr>
            </w:pPr>
          </w:p>
        </w:tc>
      </w:tr>
      <w:tr>
        <w:trPr>
          <w:trHeight w:val="202"/>
        </w:trPr>
        <w:tc>
          <w:tcPr>
            <w:tcW w:w="820" w:type="dxa"/>
            <w:vAlign w:val="bottom"/>
          </w:tcPr>
          <w:p>
            <w:pPr>
              <w:spacing w:after="0"/>
              <w:rPr>
                <w:sz w:val="17"/>
                <w:szCs w:val="17"/>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Tranche 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186,795</w:t>
            </w:r>
          </w:p>
        </w:tc>
        <w:tc>
          <w:tcPr>
            <w:tcW w:w="60" w:type="dxa"/>
            <w:vAlign w:val="bottom"/>
          </w:tcPr>
          <w:p>
            <w:pPr>
              <w:spacing w:after="0"/>
              <w:rPr>
                <w:sz w:val="17"/>
                <w:szCs w:val="17"/>
                <w:color w:val="auto"/>
              </w:rPr>
            </w:pPr>
          </w:p>
        </w:tc>
      </w:tr>
      <w:tr>
        <w:trPr>
          <w:trHeight w:val="202"/>
        </w:trPr>
        <w:tc>
          <w:tcPr>
            <w:tcW w:w="820" w:type="dxa"/>
            <w:vAlign w:val="bottom"/>
          </w:tcPr>
          <w:p>
            <w:pPr>
              <w:spacing w:after="0"/>
              <w:rPr>
                <w:sz w:val="17"/>
                <w:szCs w:val="17"/>
                <w:color w:val="auto"/>
              </w:rPr>
            </w:pPr>
          </w:p>
        </w:tc>
        <w:tc>
          <w:tcPr>
            <w:tcW w:w="4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Tranche 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257,955</w:t>
            </w:r>
          </w:p>
        </w:tc>
        <w:tc>
          <w:tcPr>
            <w:tcW w:w="60" w:type="dxa"/>
            <w:vAlign w:val="bottom"/>
            <w:shd w:val="clear" w:color="auto" w:fill="CCEEFF"/>
          </w:tcPr>
          <w:p>
            <w:pPr>
              <w:spacing w:after="0"/>
              <w:rPr>
                <w:sz w:val="17"/>
                <w:szCs w:val="17"/>
                <w:color w:val="auto"/>
              </w:rPr>
            </w:pPr>
          </w:p>
        </w:tc>
      </w:tr>
      <w:tr>
        <w:trPr>
          <w:trHeight w:val="218"/>
        </w:trPr>
        <w:tc>
          <w:tcPr>
            <w:tcW w:w="82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Tranche 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320,220</w:t>
            </w:r>
          </w:p>
        </w:tc>
        <w:tc>
          <w:tcPr>
            <w:tcW w:w="60" w:type="dxa"/>
            <w:vAlign w:val="bottom"/>
          </w:tcPr>
          <w:p>
            <w:pPr>
              <w:spacing w:after="0"/>
              <w:rPr>
                <w:sz w:val="18"/>
                <w:szCs w:val="18"/>
                <w:color w:val="auto"/>
              </w:rPr>
            </w:pPr>
          </w:p>
        </w:tc>
      </w:tr>
      <w:tr>
        <w:trPr>
          <w:trHeight w:val="387"/>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Vesting amounts for Mr. Boll’s 2025 PSUs (405,750 in aggregate) are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1420" w:type="dxa"/>
        <w:tblCellMar>
          <w:top w:w="0" w:type="dxa"/>
          <w:left w:w="0" w:type="dxa"/>
          <w:bottom w:w="0" w:type="dxa"/>
          <w:right w:w="0" w:type="dxa"/>
        </w:tblCellMar>
      </w:tblPr>
      <w:tr>
        <w:trPr>
          <w:trHeight w:val="222"/>
        </w:trPr>
        <w:tc>
          <w:tcPr>
            <w:tcW w:w="4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Tranche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Target Stock Price</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Number of Shares</w:t>
            </w:r>
          </w:p>
        </w:tc>
      </w:tr>
      <w:tr>
        <w:trPr>
          <w:trHeight w:val="195"/>
        </w:trPr>
        <w:tc>
          <w:tcPr>
            <w:tcW w:w="4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Tranche 1</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24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56,805</w:t>
            </w:r>
          </w:p>
        </w:tc>
        <w:tc>
          <w:tcPr>
            <w:tcW w:w="60" w:type="dxa"/>
            <w:vAlign w:val="bottom"/>
            <w:tcBorders>
              <w:top w:val="single" w:sz="8" w:color="CCEEFF"/>
            </w:tcBorders>
            <w:shd w:val="clear" w:color="auto" w:fill="CCEEFF"/>
          </w:tcPr>
          <w:p>
            <w:pPr>
              <w:spacing w:after="0"/>
              <w:rPr>
                <w:sz w:val="16"/>
                <w:szCs w:val="16"/>
                <w:color w:val="auto"/>
              </w:rPr>
            </w:pPr>
          </w:p>
        </w:tc>
      </w:tr>
      <w:tr>
        <w:trPr>
          <w:trHeight w:val="202"/>
        </w:trPr>
        <w:tc>
          <w:tcPr>
            <w:tcW w:w="4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Tranche 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85,208</w:t>
            </w:r>
          </w:p>
        </w:tc>
        <w:tc>
          <w:tcPr>
            <w:tcW w:w="60" w:type="dxa"/>
            <w:vAlign w:val="bottom"/>
          </w:tcPr>
          <w:p>
            <w:pPr>
              <w:spacing w:after="0"/>
              <w:rPr>
                <w:sz w:val="17"/>
                <w:szCs w:val="17"/>
                <w:color w:val="auto"/>
              </w:rPr>
            </w:pPr>
          </w:p>
        </w:tc>
      </w:tr>
      <w:tr>
        <w:trPr>
          <w:trHeight w:val="202"/>
        </w:trPr>
        <w:tc>
          <w:tcPr>
            <w:tcW w:w="4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Tranche 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117,668</w:t>
            </w:r>
          </w:p>
        </w:tc>
        <w:tc>
          <w:tcPr>
            <w:tcW w:w="60" w:type="dxa"/>
            <w:vAlign w:val="bottom"/>
            <w:shd w:val="clear" w:color="auto" w:fill="CCEEFF"/>
          </w:tcPr>
          <w:p>
            <w:pPr>
              <w:spacing w:after="0"/>
              <w:rPr>
                <w:sz w:val="17"/>
                <w:szCs w:val="17"/>
                <w:color w:val="auto"/>
              </w:rPr>
            </w:pPr>
          </w:p>
        </w:tc>
      </w:tr>
      <w:tr>
        <w:trPr>
          <w:trHeight w:val="218"/>
        </w:trPr>
        <w:tc>
          <w:tcPr>
            <w:tcW w:w="4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Tranche 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146,069</w:t>
            </w:r>
          </w:p>
        </w:tc>
        <w:tc>
          <w:tcPr>
            <w:tcW w:w="60" w:type="dxa"/>
            <w:vAlign w:val="bottom"/>
          </w:tcPr>
          <w:p>
            <w:pPr>
              <w:spacing w:after="0"/>
              <w:rPr>
                <w:sz w:val="18"/>
                <w:szCs w:val="18"/>
                <w:color w:val="auto"/>
              </w:rPr>
            </w:pPr>
          </w:p>
        </w:tc>
      </w:tr>
    </w:tbl>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target stock prices assume that no dividends or similar distributions are made to stockholders of the Company. If such distributions are made, the applicable target stock prices would be adjusted downward in accordance with the terms of the awards.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Equity Awards to Other NEOs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2025, the Compensation Committee granted equity awards to the Company’s other named executive officers as part of its overall compensation program to support retention and align executive interests with long-term stockholder value creation.</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Dr. Shojaei and Mr. Mullery, who joined the Company in 2025, received initial equity awards of 30,000 and 33,000 stock options, respectively, as part of their new-hire compensation packages. These awards vest over a four-year period, with 25% vesting after one year of service and the remaining shares vesting in equal quarterly installments thereafter, subject to continued service.</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Compensation Committee determined the size and structure of these awards based on each executive’s role, experience and market competitiveness, as well as the Company’s compensation philosophy, which emphasizes equity-based incentives to support retention and long-term value creation.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bl>
    <w:p>
      <w:pPr>
        <w:sectPr>
          <w:pgSz w:w="11900" w:h="16838" w:orient="portrait"/>
          <w:cols w:equalWidth="0" w:num="1">
            <w:col w:w="11240"/>
          </w:cols>
          <w:pgMar w:left="320" w:top="6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Option Exercises and Stock Vested</w:t>
      </w:r>
    </w:p>
    <w:p>
      <w:pPr>
        <w:spacing w:after="0" w:line="211"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table provides information regarding stock option exercises and the vesting of stock awards held by our named executive officers during the fiscal year ended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6"/>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Option Awards</w:t>
            </w:r>
          </w:p>
        </w:tc>
        <w:tc>
          <w:tcPr>
            <w:tcW w:w="2660" w:type="dxa"/>
            <w:vAlign w:val="bottom"/>
            <w:gridSpan w:val="5"/>
          </w:tcPr>
          <w:p>
            <w:pPr>
              <w:ind w:left="800"/>
              <w:spacing w:after="0"/>
              <w:rPr>
                <w:sz w:val="20"/>
                <w:szCs w:val="20"/>
                <w:color w:val="auto"/>
              </w:rPr>
            </w:pPr>
            <w:r>
              <w:rPr>
                <w:rFonts w:ascii="Times New Roman" w:cs="Times New Roman" w:eastAsia="Times New Roman" w:hAnsi="Times New Roman"/>
                <w:sz w:val="17"/>
                <w:szCs w:val="17"/>
                <w:b w:val="1"/>
                <w:bCs w:val="1"/>
                <w:color w:val="auto"/>
              </w:rPr>
              <w:t>Stock Awards</w:t>
            </w:r>
          </w:p>
        </w:tc>
      </w:tr>
      <w:tr>
        <w:trPr>
          <w:trHeight w:val="222"/>
        </w:trPr>
        <w:tc>
          <w:tcPr>
            <w:tcW w:w="5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(2)</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20"/>
              <w:spacing w:after="0" w:line="174"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center"/>
              <w:ind w:right="20"/>
              <w:spacing w:after="0" w:line="174"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4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4"/>
              </w:rPr>
              <w:t>Value</w:t>
            </w:r>
          </w:p>
        </w:tc>
      </w:tr>
      <w:tr>
        <w:trPr>
          <w:trHeight w:val="202"/>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Acquired on</w:t>
            </w:r>
          </w:p>
        </w:tc>
        <w:tc>
          <w:tcPr>
            <w:tcW w:w="320" w:type="dxa"/>
            <w:vAlign w:val="bottom"/>
          </w:tcPr>
          <w:p>
            <w:pPr>
              <w:spacing w:after="0"/>
              <w:rPr>
                <w:sz w:val="17"/>
                <w:szCs w:val="17"/>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Value Realized</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Acquired on</w:t>
            </w:r>
          </w:p>
        </w:tc>
        <w:tc>
          <w:tcPr>
            <w:tcW w:w="4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Realized</w:t>
            </w:r>
          </w:p>
        </w:tc>
      </w:tr>
      <w:tr>
        <w:trPr>
          <w:trHeight w:val="202"/>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on Exercise</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Vesting</w:t>
            </w:r>
          </w:p>
        </w:tc>
        <w:tc>
          <w:tcPr>
            <w:tcW w:w="4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on Vesting</w:t>
            </w:r>
          </w:p>
        </w:tc>
      </w:tr>
      <w:tr>
        <w:trPr>
          <w:trHeight w:val="222"/>
        </w:trPr>
        <w:tc>
          <w:tcPr>
            <w:tcW w:w="5640" w:type="dxa"/>
            <w:vAlign w:val="bottom"/>
            <w:gridSpan w:val="2"/>
          </w:tcPr>
          <w:p>
            <w:pPr>
              <w:ind w:left="250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95"/>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L. Baum</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780,000</w:t>
            </w: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25,285,800</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762,300</w:t>
            </w: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18,340,938</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R. Boll</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60,000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2,586,600</w:t>
            </w:r>
          </w:p>
        </w:tc>
        <w:tc>
          <w:tcPr>
            <w:tcW w:w="34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346,500</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8,336,790</w:t>
            </w:r>
          </w:p>
        </w:tc>
        <w:tc>
          <w:tcPr>
            <w:tcW w:w="100" w:type="dxa"/>
            <w:vAlign w:val="bottom"/>
          </w:tcPr>
          <w:p>
            <w:pPr>
              <w:spacing w:after="0"/>
              <w:rPr>
                <w:sz w:val="17"/>
                <w:szCs w:val="17"/>
                <w:color w:val="auto"/>
              </w:rPr>
            </w:pPr>
          </w:p>
        </w:tc>
      </w:tr>
      <w:tr>
        <w:trPr>
          <w:trHeight w:val="202"/>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Francis W. Mullery</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Amir H. Shojaei</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P. Saharek</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60,000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2,586,600</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277,200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6,669,432</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00" w:hanging="299"/>
        <w:spacing w:after="0" w:line="257" w:lineRule="auto"/>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option awards, the value realized on exercise, if any, is based on the difference between the market price of the Company’s common stock on the date of exercise and the applicable exercise price of the option exercised, multiplied by the number of shares acquired on exercise.</w:t>
      </w:r>
    </w:p>
    <w:p>
      <w:pPr>
        <w:ind w:left="300" w:hanging="299"/>
        <w:spacing w:after="0" w:line="255" w:lineRule="auto"/>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stock awards, the value realized on vesting, if any, is based on the market value of the Company’s common stock on the applicable vesting date, multiplied by the number of shares acquired on vesting.</w:t>
      </w:r>
    </w:p>
    <w:p>
      <w:pPr>
        <w:spacing w:after="0" w:line="174"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April 2023, the Company granted multi-year PSU awards to certain senior executives. On April 3, 2025, the applicable vesting criteria for those awards were satisfied, and the awards vested in full.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Pension Benefits</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does not maintain any defined benefit pension plans or actuarial pension plans for any of its named executive officers.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Nonqualified Deferred Compensation</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does not maintain any non-qualified defined contribution or other non-qualified deferred compensation plans for any of its named executive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Arrangements with Mark L. Baum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Employment Agreements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April 25, 2016, we entered into an employment agreement (the “Baum Agreement”) with Mr. Baum with respect to his employment as Chief Executive Officer. The Baum Agreement replaced Mr. Baum’s 2012 employment agreement, as amended, with the Company. Mr. Baum’s employment with the Company is at-will and may be terminated either by Mr. Baum or the Company at any time for any reason or for no reason. The Baum Agreement provides for an initial annual base salary and a target annual bonus incentive under the Company’s management incentive plan of 60% of his base salary.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Involuntary Termination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Should Mr. Baum’s employment be terminated by the Company without Cause (as defined in the Baum Agreement) or should Mr. Baum terminate his employment with the Company for Good Reason (as defined in the Baum Agreement) (each an “Involuntary Termination”), any unvested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r>
    </w:tbl>
    <w:p>
      <w:pPr>
        <w:sectPr>
          <w:pgSz w:w="11900" w:h="16838" w:orient="portrait"/>
          <w:cols w:equalWidth="0" w:num="1">
            <w:col w:w="11240"/>
          </w:cols>
          <w:pgMar w:left="320" w:top="6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color w:val="auto"/>
        </w:rPr>
        <w:t>Change in Control Arrangements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the event of an Involuntary Termination of Mr. Baum’s employment within one month prior to, or 12 months following, a Change in Control (as defined in the 2007 Plan), any unvested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Equity Incentive Grants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Mr. Baum has received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Arrangements with Andrew R. Boll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Employment Agreements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April 25, 2016, the Company entered into an employment agreement (the “Boll Agreement”) with Mr. Boll with respect to his employment as Chief Financial Officer and Corporate Secretary. The Boll Agreement replaced Mr. Boll’s 2012 employment agreement, as amended, with the Company. Mr. Boll’s employment with the Company is at-will and may be terminated either by Mr. Boll or the Company at any time for any reason or for no reason. The Boll Agreement provides for an initial annual base salary and a target annual incentive bonus of 50% of his annual base salary.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Involuntary Termination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Should Mr. Boll’s employment be terminated by the Company without Cause (as defined in the Boll Agreement) or should Mr. Boll terminate his employment with the Company for Good Reason (as defined in the Boll Agreement) (each an “Involuntary Termination”), any unvested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Control Arrangements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Should an Involuntary Termination of Mr. Boll’s employment occur within one month prior to, or 12 months following, a Change in Control (as defined in the 2017 Plan),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options shall be deemed fully vested as of the date of such Involuntary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Equity Incentive Grants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Mr. Boll has received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r>
    </w:tbl>
    <w:p>
      <w:pPr>
        <w:sectPr>
          <w:pgSz w:w="11900" w:h="16838" w:orient="portrait"/>
          <w:cols w:equalWidth="0" w:num="1">
            <w:col w:w="11240"/>
          </w:cols>
          <w:pgMar w:left="320" w:top="6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Compensation Arrangements with John P. Saharek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Employment Agreements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April 25, 2016, the Company entered into an employment agreement (the “Saharek Agreement”) with Mr. Saharek with respect to his employment as Chief Commercial Officer. The Saharek Agreement replaced Mr. Saharek’s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Involuntary Termination</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Should Mr. Saharek’s employment be terminated by the Company without Cause (as defined in the Saharek Agreement) or should Mr. Saharek terminate his employment with the Company for Good Reason (as defined in the Saharek Agreement) (each an “Involuntary Termination”),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Control Arrangements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Should an Involuntary Termination of Mr. Saharek’s employment occur within one month prior to, or 12 months following, a Change in Control (as defined in the 2017 Plan),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Equity Incentive Grants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Mr. Saharek has received equity awards, as detailed in the table entitled “Outstanding Equity Awards at Fiscal Year-End” above.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Arrangements with Francis W. Mullery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Employment Arrangemen</w:t>
      </w:r>
      <w:r>
        <w:rPr>
          <w:rFonts w:ascii="Times New Roman" w:cs="Times New Roman" w:eastAsia="Times New Roman" w:hAnsi="Times New Roman"/>
          <w:sz w:val="17"/>
          <w:szCs w:val="17"/>
          <w:b w:val="1"/>
          <w:bCs w:val="1"/>
          <w:i w:val="1"/>
          <w:iCs w:val="1"/>
          <w:color w:val="auto"/>
        </w:rPr>
        <w:t>t</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July 27, 2025, the Company entered into an offer letter with Mr. Mullery in connection with his employment as Senior Vice President, Operations Strategy, reporting to Andrew Boll, President and Chief Financial Officer, with a target start date of September 2, 2025. The offer letter provided for annual base compensation of $450,000 and an annual discretionary target bonus opportunity equal to 40% of base salary. The offer letter also provided that, for the 2025 calendar year, Mr. Mullery would be eligible for a target bonus equal to 40% of salary earned from his start date through year end, with a minimum 2025 bonus payment of $50,000. Any bonus is discretionary, based on the achievement of targets agreed upon by Mr. Mullery and Mr. Boll, and payable at the same time as bonus payments to other senior Harrow leadership, provided that Mr. Mullery remains employed on the payment date.</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Effective October 6, 2025, Mr. Mullery was promoted to President and Chief Executive Officer of ImprimisRx, reporting to Mark L. Baum, Chairman and Chief Executive Officer of Harrow. In connection with that promotion, the Company delivered a promotion letter providing for annual base compensation of $467,999.94 and an annual discretionary bonus opportunity equal to 40% of base salary. The promotion letter states that any bonus remains discretionary, based on the achievement of agreed performance targets, and payable only if Mr. Mullery remains employed on the payment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r>
    </w:tbl>
    <w:p>
      <w:pPr>
        <w:sectPr>
          <w:pgSz w:w="11900" w:h="16838" w:orient="portrait"/>
          <w:cols w:equalWidth="0" w:num="1">
            <w:col w:w="11240"/>
          </w:cols>
          <w:pgMar w:left="320" w:top="6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color w:val="auto"/>
        </w:rPr>
        <w:t>Severance Arrangement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Mr. Mullery’s offer letter provides that, if the Company terminates his employment without Cause (as defined in the Company’s equity incentive plan), the Company will pay him six months of base compensation through the normal payroll cycle. Mr. Mullery’s employment is at will. The October 6, 2025 promotion letter does not describe any additional severance or change in control benefits.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Award</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Subject to approval by the Compensation Committee of the Board of Directors, the offer letter provides that Mr. Mullery would be granted a stock option to purchase 33,000 shares of the Company’s common stock under the Company’s equity incentive plan. The option would have an exercise price per share equal to the fair market value of the Company’s common stock on the date of grant and would vest over four years, with 25% vesting on the first anniversary of the grant date and the remainder vesting in equal quarterly installments thereafter, subject to continued service. The offer letter also provides that Mr. Mullery may become eligible for additional equity awards in the future based on performance and other factors determined by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Benefits and Other Terms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Mr. Mullery is eligible to participate in the Company’s employee benefit plans on the same basis as similarly situated employees, including medical, dental and vision benefits, paid time off and the Company’s 401(k) plan, subject to the terms of those plans. The offer letter also provides that he is entitled to indemnification in accordance with Company policy and applicable law and to coverage under any applicable director and officer insurance policy maintained by the Company for executive officers and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Arrangements with Amir H. Shojaei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Employment Arrangement</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November 18, 2024, the Company entered into an offer letter with Dr. Shojaei in connection with his employment as Chief Scientific Officer, reporting to Mark L. Baum, Chairman and Chief Executive Officer, with a target start date of January 6, 2025. The offer letter provides for an annual base salary of $450,000 and an annual discretionary target bonus opportunity equal to 50% of base salary. Any annual bonus is based on the achievement of targets agreed upon by Dr. Shojaei and Mr. Baum, is not guaranteed, and is payable at the same time as bonus payments to other senior Harrow leadership. The offer letter also provides that Dr. Shojaei would receive an advance of $30,000 of his potential 2025 target bonus amount, and that he would be required to repay that amount if he voluntarily terminated employment before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Severance Arrangement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offer letter further provides that, upon completion of 12 months of service as Chief Scientific Officer, if the Company terminates Dr. Shojaei’s employment without cause, the Company will pay him 12 months of base compensation through the normal course of payroll. Dr. Shojaei’s employment is at will.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Award</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offer letter also provides that, subject to approval by the Compensation Committee of the Board, Dr. Shojaei would be granted a stock option to purchase 30,000 shares of the Company’s common stock under the Company’s equity incentive plan. The option would have an exercise price equal to the fair market value of the Company’s common stock on the date of grant and would vest over four years, with 25% vesting on the first anniversary of the grant date and the remainder vesting in equal quarterly installments thereafter, subject to continued service.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Benefits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Dr. Shojaei is eligible to participate in the Company’s employee benefit plans on the same basis as similarly situated employees, including medical, dental and vision benefits, paid time off and the Company’s 401(k) plan, subject to the terms of those plans.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r>
    </w:tbl>
    <w:p>
      <w:pPr>
        <w:sectPr>
          <w:pgSz w:w="11900" w:h="16838" w:orient="portrait"/>
          <w:cols w:equalWidth="0" w:num="1">
            <w:col w:w="11240"/>
          </w:cols>
          <w:pgMar w:left="320" w:top="6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 as of December 31, 2025</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following table summarizes the estimated payments and benefits that would have become payable to each of our named executive officers if the applicable termination of employment or qualifying change in control event had occurred on December 31, 2025, based on the terms of the agreements and arrangements in effect on that date.</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amounts shown below are estimates only and do not necessarily reflect the actual amounts that would be paid to a named executive officer, which would depend on the timing and circumstances of the actual event and other factors, including the executive’s base salary, annual incentive opportunity, the Company’s stock price, and the value and status of outstanding equity awards at the time of termination or the change in control. In addition, the table does not include amounts earned through December 31, 2025 that were otherwise payable in the ordinary course, such as accrued salary, earned but unpaid bonus amounts for completed performance periods, vested retirement benefits, or benefits available generally to salaried employees.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8"/>
              </w:rPr>
              <w:t>Prorated</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9"/>
              </w:rPr>
              <w:t>Bonus/</w:t>
            </w: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Acceleration/</w:t>
            </w:r>
          </w:p>
        </w:tc>
        <w:tc>
          <w:tcPr>
            <w:tcW w:w="1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Continued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7"/>
              </w:rPr>
              <w:t>Cash</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Incremental</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Health</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7"/>
              </w:rPr>
              <w:t>Severance</w:t>
            </w:r>
          </w:p>
        </w:tc>
        <w:tc>
          <w:tcPr>
            <w:tcW w:w="34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Equity Value</w:t>
            </w:r>
          </w:p>
        </w:tc>
        <w:tc>
          <w:tcPr>
            <w:tcW w:w="1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Benefits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2"/>
        </w:trPr>
        <w:tc>
          <w:tcPr>
            <w:tcW w:w="136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19"/>
                <w:szCs w:val="19"/>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Triggering Event</w:t>
            </w:r>
          </w:p>
        </w:tc>
        <w:tc>
          <w:tcPr>
            <w:tcW w:w="100" w:type="dxa"/>
            <w:vAlign w:val="bottom"/>
          </w:tcPr>
          <w:p>
            <w:pPr>
              <w:spacing w:after="0"/>
              <w:rPr>
                <w:sz w:val="19"/>
                <w:szCs w:val="19"/>
                <w:color w:val="auto"/>
              </w:rPr>
            </w:pPr>
          </w:p>
        </w:tc>
        <w:tc>
          <w:tcPr>
            <w:tcW w:w="920" w:type="dxa"/>
            <w:vAlign w:val="bottom"/>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rPr>
              <w:t>(1)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rPr>
              <w:t>(2)</w:t>
            </w:r>
          </w:p>
        </w:tc>
        <w:tc>
          <w:tcPr>
            <w:tcW w:w="3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rPr>
              <w:t>(5)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tcPr>
          <w:p>
            <w:pPr>
              <w:spacing w:after="0"/>
              <w:rPr>
                <w:sz w:val="19"/>
                <w:szCs w:val="19"/>
                <w:color w:val="auto"/>
              </w:rPr>
            </w:pPr>
          </w:p>
        </w:tc>
      </w:tr>
      <w:tr>
        <w:trPr>
          <w:trHeight w:val="178"/>
        </w:trPr>
        <w:tc>
          <w:tcPr>
            <w:tcW w:w="13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Involuntary</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2"/>
        </w:trPr>
        <w:tc>
          <w:tcPr>
            <w:tcW w:w="1360" w:type="dxa"/>
            <w:vAlign w:val="bottom"/>
            <w:shd w:val="clear" w:color="auto" w:fill="CCEEFF"/>
          </w:tcPr>
          <w:p>
            <w:pPr>
              <w:spacing w:after="0"/>
              <w:rPr>
                <w:sz w:val="17"/>
                <w:szCs w:val="17"/>
                <w:color w:val="auto"/>
              </w:rPr>
            </w:pP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termination without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1360" w:type="dxa"/>
            <w:vAlign w:val="bottom"/>
            <w:shd w:val="clear" w:color="auto" w:fill="CCEEFF"/>
          </w:tcPr>
          <w:p>
            <w:pPr>
              <w:spacing w:after="0"/>
              <w:rPr>
                <w:sz w:val="17"/>
                <w:szCs w:val="17"/>
                <w:color w:val="auto"/>
              </w:rPr>
            </w:pP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cause or resignation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L. Baum</w:t>
            </w: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 good reason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1,366,528</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542,491</w:t>
            </w:r>
          </w:p>
        </w:tc>
        <w:tc>
          <w:tcPr>
            <w:tcW w:w="9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22,501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1,931,520</w:t>
            </w:r>
          </w:p>
        </w:tc>
        <w:tc>
          <w:tcPr>
            <w:tcW w:w="100" w:type="dxa"/>
            <w:vAlign w:val="bottom"/>
            <w:shd w:val="clear" w:color="auto" w:fill="CCEEFF"/>
          </w:tcPr>
          <w:p>
            <w:pPr>
              <w:spacing w:after="0"/>
              <w:rPr>
                <w:sz w:val="18"/>
                <w:szCs w:val="18"/>
                <w:color w:val="auto"/>
              </w:rPr>
            </w:pPr>
          </w:p>
        </w:tc>
      </w:tr>
      <w:tr>
        <w:trPr>
          <w:trHeight w:val="186"/>
        </w:trPr>
        <w:tc>
          <w:tcPr>
            <w:tcW w:w="1360" w:type="dxa"/>
            <w:vAlign w:val="bottom"/>
            <w:shd w:val="clear" w:color="auto" w:fill="CCEEFF"/>
          </w:tcPr>
          <w:p>
            <w:pPr>
              <w:spacing w:after="0"/>
              <w:rPr>
                <w:sz w:val="16"/>
                <w:szCs w:val="16"/>
                <w:color w:val="auto"/>
              </w:rPr>
            </w:pPr>
          </w:p>
        </w:tc>
        <w:tc>
          <w:tcPr>
            <w:tcW w:w="2040" w:type="dxa"/>
            <w:vAlign w:val="bottom"/>
            <w:gridSpan w:val="3"/>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Qualifying termination</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1360" w:type="dxa"/>
            <w:vAlign w:val="bottom"/>
            <w:shd w:val="clear" w:color="auto" w:fill="CCEEFF"/>
          </w:tcPr>
          <w:p>
            <w:pPr>
              <w:spacing w:after="0"/>
              <w:rPr>
                <w:sz w:val="17"/>
                <w:szCs w:val="17"/>
                <w:color w:val="auto"/>
              </w:rPr>
            </w:pP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 connection with a</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13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control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1,743,983</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542,491</w:t>
            </w:r>
          </w:p>
        </w:tc>
        <w:tc>
          <w:tcPr>
            <w:tcW w:w="9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33,752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2,320,226</w:t>
            </w:r>
          </w:p>
        </w:tc>
        <w:tc>
          <w:tcPr>
            <w:tcW w:w="100" w:type="dxa"/>
            <w:vAlign w:val="bottom"/>
            <w:shd w:val="clear" w:color="auto" w:fill="CCEEFF"/>
          </w:tcPr>
          <w:p>
            <w:pPr>
              <w:spacing w:after="0"/>
              <w:rPr>
                <w:sz w:val="18"/>
                <w:szCs w:val="18"/>
                <w:color w:val="auto"/>
              </w:rPr>
            </w:pPr>
          </w:p>
        </w:tc>
      </w:tr>
      <w:tr>
        <w:trPr>
          <w:trHeight w:val="185"/>
        </w:trPr>
        <w:tc>
          <w:tcPr>
            <w:tcW w:w="1360" w:type="dxa"/>
            <w:vAlign w:val="bottom"/>
          </w:tcPr>
          <w:p>
            <w:pPr>
              <w:spacing w:after="0"/>
              <w:rPr>
                <w:sz w:val="16"/>
                <w:szCs w:val="16"/>
                <w:color w:val="auto"/>
              </w:rPr>
            </w:pPr>
          </w:p>
        </w:tc>
        <w:tc>
          <w:tcPr>
            <w:tcW w:w="2040" w:type="dxa"/>
            <w:vAlign w:val="bottom"/>
            <w:gridSpan w:val="3"/>
          </w:tcPr>
          <w:p>
            <w:pPr>
              <w:ind w:left="220"/>
              <w:spacing w:after="0" w:line="185" w:lineRule="exact"/>
              <w:rPr>
                <w:sz w:val="20"/>
                <w:szCs w:val="20"/>
                <w:color w:val="auto"/>
              </w:rPr>
            </w:pPr>
            <w:r>
              <w:rPr>
                <w:rFonts w:ascii="Times New Roman" w:cs="Times New Roman" w:eastAsia="Times New Roman" w:hAnsi="Times New Roman"/>
                <w:sz w:val="17"/>
                <w:szCs w:val="17"/>
                <w:color w:val="auto"/>
              </w:rPr>
              <w:t>Involuntary</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1360" w:type="dxa"/>
            <w:vAlign w:val="bottom"/>
          </w:tcPr>
          <w:p>
            <w:pPr>
              <w:spacing w:after="0"/>
              <w:rPr>
                <w:sz w:val="17"/>
                <w:szCs w:val="17"/>
                <w:color w:val="auto"/>
              </w:rPr>
            </w:pPr>
          </w:p>
        </w:tc>
        <w:tc>
          <w:tcPr>
            <w:tcW w:w="20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termination without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20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cause or resignation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Andrew R. Boll</w:t>
            </w:r>
          </w:p>
        </w:tc>
        <w:tc>
          <w:tcPr>
            <w:tcW w:w="20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for good reason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595,560</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258,258</w:t>
            </w:r>
          </w:p>
        </w:tc>
        <w:tc>
          <w:tcPr>
            <w:tcW w:w="96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11,251</w:t>
            </w:r>
          </w:p>
        </w:tc>
        <w:tc>
          <w:tcPr>
            <w:tcW w:w="16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865,069</w:t>
            </w:r>
          </w:p>
        </w:tc>
      </w:tr>
      <w:tr>
        <w:trPr>
          <w:trHeight w:val="202"/>
        </w:trPr>
        <w:tc>
          <w:tcPr>
            <w:tcW w:w="1360" w:type="dxa"/>
            <w:vAlign w:val="bottom"/>
          </w:tcPr>
          <w:p>
            <w:pPr>
              <w:spacing w:after="0"/>
              <w:rPr>
                <w:sz w:val="17"/>
                <w:szCs w:val="17"/>
                <w:color w:val="auto"/>
              </w:rPr>
            </w:pPr>
          </w:p>
        </w:tc>
        <w:tc>
          <w:tcPr>
            <w:tcW w:w="20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Qualifying termination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20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in connection with a</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360" w:type="dxa"/>
            <w:vAlign w:val="bottom"/>
          </w:tcPr>
          <w:p>
            <w:pPr>
              <w:spacing w:after="0"/>
              <w:rPr>
                <w:sz w:val="18"/>
                <w:szCs w:val="18"/>
                <w:color w:val="auto"/>
              </w:rPr>
            </w:pPr>
          </w:p>
        </w:tc>
        <w:tc>
          <w:tcPr>
            <w:tcW w:w="20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848,189</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258,258</w:t>
            </w:r>
          </w:p>
        </w:tc>
        <w:tc>
          <w:tcPr>
            <w:tcW w:w="96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22,501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1,128,948</w:t>
            </w:r>
          </w:p>
        </w:tc>
        <w:tc>
          <w:tcPr>
            <w:tcW w:w="100" w:type="dxa"/>
            <w:vAlign w:val="bottom"/>
          </w:tcPr>
          <w:p>
            <w:pPr>
              <w:spacing w:after="0"/>
              <w:rPr>
                <w:sz w:val="18"/>
                <w:szCs w:val="18"/>
                <w:color w:val="auto"/>
              </w:rPr>
            </w:pPr>
          </w:p>
        </w:tc>
      </w:tr>
      <w:tr>
        <w:trPr>
          <w:trHeight w:val="185"/>
        </w:trPr>
        <w:tc>
          <w:tcPr>
            <w:tcW w:w="1360" w:type="dxa"/>
            <w:vAlign w:val="bottom"/>
            <w:shd w:val="clear" w:color="auto" w:fill="CCEEFF"/>
          </w:tcPr>
          <w:p>
            <w:pPr>
              <w:spacing w:after="0"/>
              <w:rPr>
                <w:sz w:val="16"/>
                <w:szCs w:val="16"/>
                <w:color w:val="auto"/>
              </w:rPr>
            </w:pPr>
          </w:p>
        </w:tc>
        <w:tc>
          <w:tcPr>
            <w:tcW w:w="2040" w:type="dxa"/>
            <w:vAlign w:val="bottom"/>
            <w:gridSpan w:val="3"/>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Involuntary</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1360" w:type="dxa"/>
            <w:vAlign w:val="bottom"/>
            <w:shd w:val="clear" w:color="auto" w:fill="CCEEFF"/>
          </w:tcPr>
          <w:p>
            <w:pPr>
              <w:spacing w:after="0"/>
              <w:rPr>
                <w:sz w:val="17"/>
                <w:szCs w:val="17"/>
                <w:color w:val="auto"/>
              </w:rPr>
            </w:pP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termination without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1360" w:type="dxa"/>
            <w:vAlign w:val="bottom"/>
            <w:shd w:val="clear" w:color="auto" w:fill="CCEEFF"/>
          </w:tcPr>
          <w:p>
            <w:pPr>
              <w:spacing w:after="0"/>
              <w:rPr>
                <w:sz w:val="17"/>
                <w:szCs w:val="17"/>
                <w:color w:val="auto"/>
              </w:rPr>
            </w:pP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cause or resignation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Francis W. Mullery</w:t>
            </w: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 good reason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234,000</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234,000</w:t>
            </w:r>
          </w:p>
        </w:tc>
      </w:tr>
      <w:tr>
        <w:trPr>
          <w:trHeight w:val="186"/>
        </w:trPr>
        <w:tc>
          <w:tcPr>
            <w:tcW w:w="1360" w:type="dxa"/>
            <w:vAlign w:val="bottom"/>
            <w:shd w:val="clear" w:color="auto" w:fill="CCEEFF"/>
          </w:tcPr>
          <w:p>
            <w:pPr>
              <w:spacing w:after="0"/>
              <w:rPr>
                <w:sz w:val="16"/>
                <w:szCs w:val="16"/>
                <w:color w:val="auto"/>
              </w:rPr>
            </w:pPr>
          </w:p>
        </w:tc>
        <w:tc>
          <w:tcPr>
            <w:tcW w:w="2040" w:type="dxa"/>
            <w:vAlign w:val="bottom"/>
            <w:gridSpan w:val="3"/>
            <w:shd w:val="clear" w:color="auto" w:fill="CCEEFF"/>
          </w:tcPr>
          <w:p>
            <w:pPr>
              <w:ind w:left="220"/>
              <w:spacing w:after="0" w:line="186" w:lineRule="exact"/>
              <w:rPr>
                <w:sz w:val="20"/>
                <w:szCs w:val="20"/>
                <w:color w:val="auto"/>
              </w:rPr>
            </w:pPr>
            <w:r>
              <w:rPr>
                <w:rFonts w:ascii="Times New Roman" w:cs="Times New Roman" w:eastAsia="Times New Roman" w:hAnsi="Times New Roman"/>
                <w:sz w:val="17"/>
                <w:szCs w:val="17"/>
                <w:color w:val="auto"/>
              </w:rPr>
              <w:t>Qualifying termination</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1360" w:type="dxa"/>
            <w:vAlign w:val="bottom"/>
            <w:shd w:val="clear" w:color="auto" w:fill="CCEEFF"/>
          </w:tcPr>
          <w:p>
            <w:pPr>
              <w:spacing w:after="0"/>
              <w:rPr>
                <w:sz w:val="17"/>
                <w:szCs w:val="17"/>
                <w:color w:val="auto"/>
              </w:rPr>
            </w:pP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 connection with a</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13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control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234,000</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234,000</w:t>
            </w:r>
          </w:p>
        </w:tc>
      </w:tr>
      <w:tr>
        <w:trPr>
          <w:trHeight w:val="185"/>
        </w:trPr>
        <w:tc>
          <w:tcPr>
            <w:tcW w:w="1360" w:type="dxa"/>
            <w:vAlign w:val="bottom"/>
          </w:tcPr>
          <w:p>
            <w:pPr>
              <w:spacing w:after="0"/>
              <w:rPr>
                <w:sz w:val="16"/>
                <w:szCs w:val="16"/>
                <w:color w:val="auto"/>
              </w:rPr>
            </w:pPr>
          </w:p>
        </w:tc>
        <w:tc>
          <w:tcPr>
            <w:tcW w:w="2040" w:type="dxa"/>
            <w:vAlign w:val="bottom"/>
            <w:gridSpan w:val="3"/>
          </w:tcPr>
          <w:p>
            <w:pPr>
              <w:ind w:left="220"/>
              <w:spacing w:after="0" w:line="185" w:lineRule="exact"/>
              <w:rPr>
                <w:sz w:val="20"/>
                <w:szCs w:val="20"/>
                <w:color w:val="auto"/>
              </w:rPr>
            </w:pPr>
            <w:r>
              <w:rPr>
                <w:rFonts w:ascii="Times New Roman" w:cs="Times New Roman" w:eastAsia="Times New Roman" w:hAnsi="Times New Roman"/>
                <w:sz w:val="17"/>
                <w:szCs w:val="17"/>
                <w:color w:val="auto"/>
              </w:rPr>
              <w:t>Involuntary</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1360" w:type="dxa"/>
            <w:vAlign w:val="bottom"/>
          </w:tcPr>
          <w:p>
            <w:pPr>
              <w:spacing w:after="0"/>
              <w:rPr>
                <w:sz w:val="17"/>
                <w:szCs w:val="17"/>
                <w:color w:val="auto"/>
              </w:rPr>
            </w:pPr>
          </w:p>
        </w:tc>
        <w:tc>
          <w:tcPr>
            <w:tcW w:w="20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termination without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20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cause or resignation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Amir H. Shojaei</w:t>
            </w:r>
          </w:p>
        </w:tc>
        <w:tc>
          <w:tcPr>
            <w:tcW w:w="20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for good reason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20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Qualifying termination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20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in connection with a</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360" w:type="dxa"/>
            <w:vAlign w:val="bottom"/>
          </w:tcPr>
          <w:p>
            <w:pPr>
              <w:spacing w:after="0"/>
              <w:rPr>
                <w:sz w:val="18"/>
                <w:szCs w:val="18"/>
                <w:color w:val="auto"/>
              </w:rPr>
            </w:pPr>
          </w:p>
        </w:tc>
        <w:tc>
          <w:tcPr>
            <w:tcW w:w="20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185"/>
        </w:trPr>
        <w:tc>
          <w:tcPr>
            <w:tcW w:w="1360" w:type="dxa"/>
            <w:vAlign w:val="bottom"/>
            <w:shd w:val="clear" w:color="auto" w:fill="CCEEFF"/>
          </w:tcPr>
          <w:p>
            <w:pPr>
              <w:spacing w:after="0"/>
              <w:rPr>
                <w:sz w:val="16"/>
                <w:szCs w:val="16"/>
                <w:color w:val="auto"/>
              </w:rPr>
            </w:pPr>
          </w:p>
        </w:tc>
        <w:tc>
          <w:tcPr>
            <w:tcW w:w="2040" w:type="dxa"/>
            <w:vAlign w:val="bottom"/>
            <w:gridSpan w:val="3"/>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Involuntary</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1360" w:type="dxa"/>
            <w:vAlign w:val="bottom"/>
            <w:shd w:val="clear" w:color="auto" w:fill="CCEEFF"/>
          </w:tcPr>
          <w:p>
            <w:pPr>
              <w:spacing w:after="0"/>
              <w:rPr>
                <w:sz w:val="17"/>
                <w:szCs w:val="17"/>
                <w:color w:val="auto"/>
              </w:rPr>
            </w:pP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termination without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1360" w:type="dxa"/>
            <w:vAlign w:val="bottom"/>
            <w:shd w:val="clear" w:color="auto" w:fill="CCEEFF"/>
          </w:tcPr>
          <w:p>
            <w:pPr>
              <w:spacing w:after="0"/>
              <w:rPr>
                <w:sz w:val="17"/>
                <w:szCs w:val="17"/>
                <w:color w:val="auto"/>
              </w:rPr>
            </w:pP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cause or resignation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P. Saharek</w:t>
            </w: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 good reason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475,614</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237,807</w:t>
            </w:r>
          </w:p>
        </w:tc>
        <w:tc>
          <w:tcPr>
            <w:tcW w:w="9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8,006</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721,427</w:t>
            </w:r>
          </w:p>
        </w:tc>
      </w:tr>
      <w:tr>
        <w:trPr>
          <w:trHeight w:val="186"/>
        </w:trPr>
        <w:tc>
          <w:tcPr>
            <w:tcW w:w="1360" w:type="dxa"/>
            <w:vAlign w:val="bottom"/>
            <w:shd w:val="clear" w:color="auto" w:fill="CCEEFF"/>
          </w:tcPr>
          <w:p>
            <w:pPr>
              <w:spacing w:after="0"/>
              <w:rPr>
                <w:sz w:val="16"/>
                <w:szCs w:val="16"/>
                <w:color w:val="auto"/>
              </w:rPr>
            </w:pPr>
          </w:p>
        </w:tc>
        <w:tc>
          <w:tcPr>
            <w:tcW w:w="2040" w:type="dxa"/>
            <w:vAlign w:val="bottom"/>
            <w:gridSpan w:val="3"/>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Qualifying termination</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1360" w:type="dxa"/>
            <w:vAlign w:val="bottom"/>
            <w:shd w:val="clear" w:color="auto" w:fill="CCEEFF"/>
          </w:tcPr>
          <w:p>
            <w:pPr>
              <w:spacing w:after="0"/>
              <w:rPr>
                <w:sz w:val="17"/>
                <w:szCs w:val="17"/>
                <w:color w:val="auto"/>
              </w:rPr>
            </w:pP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 connection with a</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13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control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713,421</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237,807</w:t>
            </w:r>
          </w:p>
        </w:tc>
        <w:tc>
          <w:tcPr>
            <w:tcW w:w="9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16,012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967,240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jc w:val="both"/>
        <w:ind w:left="300" w:hanging="299"/>
        <w:spacing w:after="0" w:line="254" w:lineRule="auto"/>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severance amounts represent the severance payments payable under the applicable employment or severance arrangement, based on the named executive officer’s base salary in effect as of December 31, 2025, plus, where applicable, the greater of the annual bonus for the preceding calendar year or the target annual bonus for the year in which termination occurs.</w:t>
      </w:r>
    </w:p>
    <w:p>
      <w:pPr>
        <w:ind w:left="300" w:hanging="299"/>
        <w:spacing w:after="0" w:line="263" w:lineRule="auto"/>
        <w:tabs>
          <w:tab w:leader="none" w:pos="3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Prorated bonus or incentive compensation amounts, where applicable, reflect the portion of the annual incentive opportunity that would have been payable based on the terms of the applicable agreement, assuming the relevant performance criteria were satisfied at the level required under such agreement or arrangement.</w:t>
      </w:r>
    </w:p>
    <w:p>
      <w:pPr>
        <w:jc w:val="both"/>
        <w:ind w:left="300" w:hanging="299"/>
        <w:spacing w:after="0" w:line="247" w:lineRule="auto"/>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acceleration or incremental equity value, if any, is based on the value of accelerated vesting of outstanding equity awards and/or any incremental value attributable to an extended post-termination exercise period, determined using the closing price of the Company’s common stock on December 31, 2025, of $49.00 per share.</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health benefits reflect the estimated cost to the Company of continued group health plan coverage under COBRA for the applicable benefit continuation period, based on the premium rates in effect on December 31, 2025.</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do not include benefits that are available generally to salaried employees on a nondiscriminatory basis or amounts that were vested and accrued as of December 31, 2025.</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provide any excise tax gross-up payments in connection with a change in control to any named executive officer.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bl>
    <w:p>
      <w:pPr>
        <w:sectPr>
          <w:pgSz w:w="11900" w:h="16838" w:orient="portrait"/>
          <w:cols w:equalWidth="0" w:num="1">
            <w:col w:w="11240"/>
          </w:cols>
          <w:pgMar w:left="320" w:top="62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CEO PAY RATIO</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Pursuant to Section 953(b) of the Dodd-Frank Wall Street Reform and Consumer Protection Act and Item 402(u) of Regulation S-K, the Company is required to disclose the ratio of the annual total compensation of our Chief Executive Officer to the median of the annual total compensation of all other employees.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0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For the fiscal year ended December 31, 2025: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6"/>
        </w:trPr>
        <w:tc>
          <w:tcPr>
            <w:tcW w:w="9000" w:type="dxa"/>
            <w:vAlign w:val="bottom"/>
          </w:tcPr>
          <w:p>
            <w:pPr>
              <w:ind w:left="4340"/>
              <w:spacing w:after="0"/>
              <w:rPr>
                <w:sz w:val="20"/>
                <w:szCs w:val="20"/>
                <w:color w:val="auto"/>
              </w:rPr>
            </w:pPr>
            <w:r>
              <w:rPr>
                <w:rFonts w:ascii="Times New Roman" w:cs="Times New Roman" w:eastAsia="Times New Roman" w:hAnsi="Times New Roman"/>
                <w:sz w:val="17"/>
                <w:szCs w:val="17"/>
                <w:b w:val="1"/>
                <w:bCs w:val="1"/>
                <w:color w:val="auto"/>
              </w:rPr>
              <w:t>Item</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Details</w:t>
            </w:r>
          </w:p>
        </w:tc>
      </w:tr>
      <w:tr>
        <w:trPr>
          <w:trHeight w:val="195"/>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Median annual total compensation of all employees (excluding CEO)</w:t>
            </w:r>
          </w:p>
        </w:tc>
        <w:tc>
          <w:tcPr>
            <w:tcW w:w="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89,719</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Annual total compensation of CEO Mark L. Baum</w:t>
            </w:r>
          </w:p>
        </w:tc>
        <w:tc>
          <w:tcPr>
            <w:tcW w:w="620" w:type="dxa"/>
            <w:vAlign w:val="bottom"/>
            <w:gridSpan w:val="2"/>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23,606,274</w:t>
            </w:r>
          </w:p>
        </w:tc>
      </w:tr>
      <w:tr>
        <w:trPr>
          <w:trHeight w:val="20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CEO Pay Ratio</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263 to 1</w:t>
            </w:r>
          </w:p>
        </w:tc>
      </w:tr>
    </w:tbl>
    <w:p>
      <w:pPr>
        <w:spacing w:after="0" w:line="18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identified the median employee using total cash compensation reflected in the Company’s payroll records for all full-time, part-time and temporary employees as of December 31, 2025, excluding our Chief Executive Officer. After identifying the median employee, the Company calculated annual total compensation for that employee using the same methodology used for named executive officers in the Summary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r>
    </w:tbl>
    <w:p>
      <w:pPr>
        <w:sectPr>
          <w:pgSz w:w="11900" w:h="16838" w:orient="portrait"/>
          <w:cols w:equalWidth="0" w:num="1">
            <w:col w:w="11240"/>
          </w:cols>
          <w:pgMar w:left="320" w:top="62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PAY-VERSUS-PERFORMANCE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following table provides information regarding compensation actually paid to our Principal Executive Officer (“PEO”) and our other named executive officers (“Non-PEO NEOs”) and certain financial performance measures for the fiscal years presented. The amounts shown as “compensation actually paid” have been calculated in accordance with Item 402(v) of Regulation S-K and do not reflect the amounts actually realized by the executives during the applicable years.</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Compensation Committee does not use total stockholder return (“TSR”) or peer group TSR as direct performance measures in determining executive compensation. However, because a significant portion of our executive compensation is delivered in the form of equity awards, the value of such compensation is directly affected by changes in our stock price and, therefore, aligned with stockholder return over time.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4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Summary</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Peer Group</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Company-</w:t>
            </w:r>
          </w:p>
        </w:tc>
      </w:tr>
      <w:tr>
        <w:trPr>
          <w:trHeight w:val="202"/>
        </w:trPr>
        <w:tc>
          <w:tcPr>
            <w:tcW w:w="1040" w:type="dxa"/>
            <w:vAlign w:val="bottom"/>
          </w:tcPr>
          <w:p>
            <w:pPr>
              <w:spacing w:after="0"/>
              <w:rPr>
                <w:sz w:val="17"/>
                <w:szCs w:val="17"/>
                <w:color w:val="auto"/>
              </w:rPr>
            </w:pPr>
          </w:p>
        </w:tc>
        <w:tc>
          <w:tcPr>
            <w:tcW w:w="1400" w:type="dxa"/>
            <w:vAlign w:val="bottom"/>
            <w:gridSpan w:val="4"/>
          </w:tcPr>
          <w:p>
            <w:pPr>
              <w:ind w:left="20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140" w:type="dxa"/>
            <w:vAlign w:val="bottom"/>
          </w:tcPr>
          <w:p>
            <w:pPr>
              <w:spacing w:after="0"/>
              <w:rPr>
                <w:sz w:val="17"/>
                <w:szCs w:val="17"/>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Selected</w:t>
            </w:r>
          </w:p>
        </w:tc>
      </w:tr>
      <w:tr>
        <w:trPr>
          <w:trHeight w:val="202"/>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140" w:type="dxa"/>
            <w:vAlign w:val="bottom"/>
          </w:tcPr>
          <w:p>
            <w:pPr>
              <w:spacing w:after="0"/>
              <w:rPr>
                <w:sz w:val="17"/>
                <w:szCs w:val="17"/>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10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for Other</w:t>
            </w:r>
          </w:p>
        </w:tc>
        <w:tc>
          <w:tcPr>
            <w:tcW w:w="14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to Other</w:t>
            </w:r>
          </w:p>
        </w:tc>
        <w:tc>
          <w:tcPr>
            <w:tcW w:w="14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Measure</w:t>
            </w:r>
          </w:p>
        </w:tc>
      </w:tr>
      <w:tr>
        <w:trPr>
          <w:trHeight w:val="202"/>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for PEO</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7"/>
              </w:rPr>
              <w:t>to PEO</w:t>
            </w:r>
          </w:p>
        </w:tc>
        <w:tc>
          <w:tcPr>
            <w:tcW w:w="10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NEOs</w:t>
            </w: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NEOs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6"/>
              </w:rPr>
              <w:t>Return</w:t>
            </w:r>
          </w:p>
        </w:tc>
        <w:tc>
          <w:tcPr>
            <w:tcW w:w="140" w:type="dxa"/>
            <w:vAlign w:val="bottom"/>
          </w:tcPr>
          <w:p>
            <w:pPr>
              <w:spacing w:after="0"/>
              <w:rPr>
                <w:sz w:val="17"/>
                <w:szCs w:val="17"/>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Return</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(Revenue)</w:t>
            </w:r>
          </w:p>
        </w:tc>
      </w:tr>
      <w:tr>
        <w:trPr>
          <w:trHeight w:val="222"/>
        </w:trPr>
        <w:tc>
          <w:tcPr>
            <w:tcW w:w="1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Year</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rPr>
              <w:t>(1)(2)</w:t>
            </w: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(1)</w:t>
            </w: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rPr>
              <w:t>(1)(2)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0"/>
              </w:rPr>
              <w:t>(3)</w:t>
            </w: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rPr>
              <w:t>(4)</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tcBorders>
              <w:bottom w:val="single" w:sz="8" w:color="CCEEFF"/>
            </w:tcBorders>
          </w:tcPr>
          <w:p>
            <w:pPr>
              <w:spacing w:after="0"/>
              <w:rPr>
                <w:sz w:val="19"/>
                <w:szCs w:val="19"/>
                <w:color w:val="auto"/>
              </w:rPr>
            </w:pPr>
          </w:p>
        </w:tc>
      </w:tr>
      <w:tr>
        <w:trPr>
          <w:trHeight w:val="195"/>
        </w:trPr>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23,606,274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33,129,871</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3,563,795</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16,340,716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86"/>
              </w:rPr>
              <w:t>714</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5,139,000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272,303,000</w:t>
            </w:r>
          </w:p>
        </w:tc>
        <w:tc>
          <w:tcPr>
            <w:tcW w:w="100" w:type="dxa"/>
            <w:vAlign w:val="bottom"/>
            <w:shd w:val="clear" w:color="auto" w:fill="CCEEFF"/>
          </w:tcPr>
          <w:p>
            <w:pPr>
              <w:spacing w:after="0"/>
              <w:rPr>
                <w:sz w:val="16"/>
                <w:szCs w:val="16"/>
                <w:color w:val="auto"/>
              </w:rPr>
            </w:pPr>
          </w:p>
        </w:tc>
      </w:tr>
      <w:tr>
        <w:trPr>
          <w:trHeight w:val="202"/>
        </w:trPr>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1,358,490</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21,472,938</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796,334</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9,025,662</w:t>
            </w:r>
          </w:p>
        </w:tc>
        <w:tc>
          <w:tcPr>
            <w:tcW w:w="160" w:type="dxa"/>
            <w:vAlign w:val="bottom"/>
          </w:tcPr>
          <w:p>
            <w:pPr>
              <w:spacing w:after="0"/>
              <w:rPr>
                <w:sz w:val="17"/>
                <w:szCs w:val="17"/>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489</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9"/>
              </w:rPr>
              <w:t>17,481,000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199,614,000</w:t>
            </w:r>
          </w:p>
        </w:tc>
        <w:tc>
          <w:tcPr>
            <w:tcW w:w="100" w:type="dxa"/>
            <w:vAlign w:val="bottom"/>
          </w:tcPr>
          <w:p>
            <w:pPr>
              <w:spacing w:after="0"/>
              <w:rPr>
                <w:sz w:val="17"/>
                <w:szCs w:val="17"/>
                <w:color w:val="auto"/>
              </w:rPr>
            </w:pPr>
          </w:p>
        </w:tc>
      </w:tr>
      <w:tr>
        <w:trPr>
          <w:trHeight w:val="202"/>
        </w:trPr>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15,256,463</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3,113,361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6,472,781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1,934,673</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9"/>
              </w:rPr>
              <w:t>24,411,000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130,193,000</w:t>
            </w:r>
          </w:p>
        </w:tc>
        <w:tc>
          <w:tcPr>
            <w:tcW w:w="100" w:type="dxa"/>
            <w:vAlign w:val="bottom"/>
            <w:shd w:val="clear" w:color="auto" w:fill="CCEEFF"/>
          </w:tcPr>
          <w:p>
            <w:pPr>
              <w:spacing w:after="0"/>
              <w:rPr>
                <w:sz w:val="17"/>
                <w:szCs w:val="17"/>
                <w:color w:val="auto"/>
              </w:rPr>
            </w:pPr>
          </w:p>
        </w:tc>
      </w:tr>
      <w:tr>
        <w:trPr>
          <w:trHeight w:val="202"/>
        </w:trPr>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2022</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1,195,141</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9,511,499</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710,637</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3,053,124</w:t>
            </w:r>
          </w:p>
        </w:tc>
        <w:tc>
          <w:tcPr>
            <w:tcW w:w="160" w:type="dxa"/>
            <w:vAlign w:val="bottom"/>
          </w:tcPr>
          <w:p>
            <w:pPr>
              <w:spacing w:after="0"/>
              <w:rPr>
                <w:sz w:val="17"/>
                <w:szCs w:val="17"/>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215</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9"/>
              </w:rPr>
              <w:t>14,086,000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88,595,000</w:t>
            </w:r>
          </w:p>
        </w:tc>
      </w:tr>
      <w:tr>
        <w:trPr>
          <w:trHeight w:val="202"/>
        </w:trPr>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2021</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7,321,467</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8,694,376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3,014,506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3,538,146</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9"/>
              </w:rPr>
              <w:t>18,007,000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72,476,000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00" w:hanging="299"/>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Baum was our PEO for each year presented.</w:t>
      </w:r>
    </w:p>
    <w:p>
      <w:pPr>
        <w:spacing w:after="0" w:line="22" w:lineRule="exact"/>
        <w:rPr>
          <w:rFonts w:ascii="Times New Roman" w:cs="Times New Roman" w:eastAsia="Times New Roman" w:hAnsi="Times New Roman"/>
          <w:sz w:val="17"/>
          <w:szCs w:val="17"/>
          <w:color w:val="auto"/>
        </w:rPr>
      </w:pPr>
    </w:p>
    <w:p>
      <w:pPr>
        <w:ind w:left="300" w:right="20" w:hanging="299"/>
        <w:spacing w:after="0" w:line="255"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tables set forth adjustments made during each year presented to arrive at the CAP Amounts for our PEO and Other NEOs, respectively, during each year:</w:t>
      </w:r>
    </w:p>
    <w:p>
      <w:pPr>
        <w:spacing w:after="0" w:line="17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CEO – Mark L. Baum – Equity Award Adjustments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Borders>
              <w:top w:val="single" w:sz="8" w:color="auto"/>
            </w:tcBorders>
            <w:gridSpan w:val="2"/>
          </w:tcPr>
          <w:p>
            <w:pPr>
              <w:ind w:left="146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SCT Amounts</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23,606,274</w:t>
            </w:r>
          </w:p>
        </w:tc>
        <w:tc>
          <w:tcPr>
            <w:tcW w:w="3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1,358,490</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15,256,463</w:t>
            </w: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1,195,141</w:t>
            </w: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7,321,467</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(Subtract): Aggregate value for stock awards and option</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3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awards included in SCT amounts for the covered fiscal</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3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year</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(22,294,873)</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(14,150,821)</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(6,251,841)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Add: Fair value at year end of awards granted during the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covered fiscal year that were outstanding and unvested</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the covered fiscal year end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39,052,697</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5,504,217</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6,962,777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Add (Subtract): Year-over-year change in fair value at</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3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covered fiscal year end of awards granted in any prior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3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fiscal year that were outstanding and unvested at the</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3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covered fiscal year end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20,070,948</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7,390,670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(1,491,366)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Add: Vesting date fair value of awards granted and</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during the covered fiscal year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(Subtract) Add: Change as of the vesting date (from the</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3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end of the prior fiscal year) in fair value of awards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3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granted in any prior fiscal year for which vesting</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3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conditions were satisfied during the covered fiscal year</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(7,234,227)</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43,500</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(3,496,498)</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925,688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2,153,339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Add: Fair value at end of prior fiscal year of awards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 in any prior fiscal year that failed to meet the</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applicable vesting conditions during the covered fiscal</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Add: Dividends or other earnings paid on stock or</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3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option awards in the covered fiscal year prior to vesting</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3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if not otherwise included in the total compensation for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the covered fiscal year</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CAP Amounts (as calculated)</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33,129,871</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21,472,938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3,113,361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9,511,499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8,694,376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4360" w:type="dxa"/>
            <w:vAlign w:val="bottom"/>
            <w:gridSpan w:val="4"/>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4"/>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623" w:right="339" w:bottom="1440" w:gutter="0" w:footer="0" w:header="0"/>
        </w:sectPr>
      </w:pPr>
    </w:p>
    <w:bookmarkStart w:id="39" w:name="page40"/>
    <w:bookmarkEnd w:id="39"/>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Non-CEO Equity Award Adjustments*</w:t>
      </w:r>
    </w:p>
    <w:p>
      <w:pPr>
        <w:spacing w:after="0" w:line="2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4060" w:type="dxa"/>
            <w:vAlign w:val="bottom"/>
            <w:tcBorders>
              <w:top w:val="single" w:sz="8" w:color="auto"/>
            </w:tcBorders>
            <w:gridSpan w:val="2"/>
          </w:tcPr>
          <w:p>
            <w:pPr>
              <w:ind w:left="146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r>
      <w:tr>
        <w:trPr>
          <w:trHeight w:val="194"/>
        </w:trPr>
        <w:tc>
          <w:tcPr>
            <w:tcW w:w="38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SCT Amounts</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3,563,795</w:t>
            </w: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796,334</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6,472,781</w:t>
            </w: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710,637</w:t>
            </w: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3,014,506</w:t>
            </w:r>
          </w:p>
        </w:tc>
        <w:tc>
          <w:tcPr>
            <w:tcW w:w="100" w:type="dxa"/>
            <w:vAlign w:val="bottom"/>
            <w:tcBorders>
              <w:top w:val="single" w:sz="8" w:color="CCEEFF"/>
            </w:tcBorders>
            <w:shd w:val="clear" w:color="auto" w:fill="CCEEFF"/>
          </w:tcPr>
          <w:p>
            <w:pPr>
              <w:spacing w:after="0"/>
              <w:rPr>
                <w:sz w:val="16"/>
                <w:szCs w:val="16"/>
                <w:color w:val="auto"/>
              </w:rPr>
            </w:pPr>
          </w:p>
        </w:tc>
      </w:tr>
      <w:tr>
        <w:trPr>
          <w:trHeight w:val="185"/>
        </w:trPr>
        <w:tc>
          <w:tcPr>
            <w:tcW w:w="40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(Subtract): Aggregate value for stock awards and option</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awards included in SCT amounts for the covered fiscal</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year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(2,973,779)</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(5,788,972)</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(2,345,183)</w:t>
            </w:r>
          </w:p>
        </w:tc>
      </w:tr>
      <w:tr>
        <w:trPr>
          <w:trHeight w:val="186"/>
        </w:trPr>
        <w:tc>
          <w:tcPr>
            <w:tcW w:w="40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Add: Fair value at year end of awards granted during the</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covered fiscal year that were outstanding and unvested</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the covered fiscal year end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19,872,664</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2,251,725</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2,642,227</w:t>
            </w:r>
          </w:p>
        </w:tc>
        <w:tc>
          <w:tcPr>
            <w:tcW w:w="100" w:type="dxa"/>
            <w:vAlign w:val="bottom"/>
            <w:shd w:val="clear" w:color="auto" w:fill="CCEEFF"/>
          </w:tcPr>
          <w:p>
            <w:pPr>
              <w:spacing w:after="0"/>
              <w:rPr>
                <w:sz w:val="18"/>
                <w:szCs w:val="18"/>
                <w:color w:val="auto"/>
              </w:rPr>
            </w:pPr>
          </w:p>
        </w:tc>
      </w:tr>
      <w:tr>
        <w:trPr>
          <w:trHeight w:val="185"/>
        </w:trPr>
        <w:tc>
          <w:tcPr>
            <w:tcW w:w="40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Add (Subtract): Year-over-year change in fair value at</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covered fiscal year end of awards granted in any prior</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fiscal year that were outstanding and unvested at the</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covered fiscal year end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8,210,842</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1,948,868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46,479</w:t>
            </w:r>
          </w:p>
        </w:tc>
      </w:tr>
      <w:tr>
        <w:trPr>
          <w:trHeight w:val="186"/>
        </w:trPr>
        <w:tc>
          <w:tcPr>
            <w:tcW w:w="40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Add: Vesting date fair value of awards granted and</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during the covered fiscal year</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185"/>
        </w:trPr>
        <w:tc>
          <w:tcPr>
            <w:tcW w:w="40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(Subtract) Add: Change as of the vesting date (from the</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end of the prior fiscal year) in fair value of awards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granted in any prior fiscal year for which vesting</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conditions were satisfied during the covered fiscal year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(4,121,964)</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18,486</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(1,000,861)</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393,619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180,117</w:t>
            </w:r>
          </w:p>
        </w:tc>
      </w:tr>
      <w:tr>
        <w:trPr>
          <w:trHeight w:val="186"/>
        </w:trPr>
        <w:tc>
          <w:tcPr>
            <w:tcW w:w="40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Add: Fair value at end of prior fiscal year of awards</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 in any prior fiscal year that failed to meet the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applicable vesting conditions during the covered fiscal</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185"/>
        </w:trPr>
        <w:tc>
          <w:tcPr>
            <w:tcW w:w="40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Add: Dividends or other earnings paid on stock or</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option awards in the covered fiscal year prior to vesting</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not otherwise included in the total compensation for</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covered fiscal year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07"/>
        </w:trPr>
        <w:tc>
          <w:tcPr>
            <w:tcW w:w="4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CAP Amounts (as calculated)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16,340,716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9,025,662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1,934,673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3,053,124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3,538,146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10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The Non-CEO named executive officers for 2025 include Andrew R. Boll, John P. Saharek, Francis W. Mullery and Amir H. Shojaei, and for 2024 through 2021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color w:val="auto"/>
        </w:rPr>
        <w:t>include Andrew R. Boll and John P. Saharek.</w:t>
      </w:r>
    </w:p>
    <w:p>
      <w:pPr>
        <w:spacing w:after="0" w:line="270" w:lineRule="exact"/>
        <w:rPr>
          <w:sz w:val="20"/>
          <w:szCs w:val="20"/>
          <w:color w:val="auto"/>
        </w:rPr>
      </w:pPr>
    </w:p>
    <w:p>
      <w:pPr>
        <w:ind w:left="340" w:hanging="339"/>
        <w:spacing w:after="0" w:line="257"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Stockholder Return (“TSR”) represents the cumulative growth of a hypothetical $100 investment in the Company made as of December 31, 2020, reflected as of the end of each respective year.</w:t>
      </w:r>
    </w:p>
    <w:p>
      <w:pPr>
        <w:ind w:left="340" w:hanging="339"/>
        <w:spacing w:after="0" w:line="247"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Peer group TSR represents the cumulative growth of a hypothetical $100 investment made as of December 31, 2020 in the Nasdaq Biotechnology Index, reflected as of the end of each respective year.</w:t>
      </w:r>
    </w:p>
    <w:p>
      <w:pPr>
        <w:spacing w:after="0" w:line="1" w:lineRule="exact"/>
        <w:rPr>
          <w:rFonts w:ascii="Times New Roman" w:cs="Times New Roman" w:eastAsia="Times New Roman" w:hAnsi="Times New Roman"/>
          <w:sz w:val="17"/>
          <w:szCs w:val="17"/>
          <w:color w:val="auto"/>
        </w:rPr>
      </w:pPr>
    </w:p>
    <w:p>
      <w:pPr>
        <w:ind w:left="340" w:hanging="339"/>
        <w:spacing w:after="0"/>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amount of net loss reflected in our consolidated financial statements for each covered fiscal year.</w:t>
      </w:r>
    </w:p>
    <w:p>
      <w:pPr>
        <w:spacing w:after="0" w:line="6" w:lineRule="exact"/>
        <w:rPr>
          <w:rFonts w:ascii="Times New Roman" w:cs="Times New Roman" w:eastAsia="Times New Roman" w:hAnsi="Times New Roman"/>
          <w:sz w:val="17"/>
          <w:szCs w:val="17"/>
          <w:color w:val="auto"/>
        </w:rPr>
      </w:pPr>
    </w:p>
    <w:p>
      <w:pPr>
        <w:ind w:left="340" w:hanging="339"/>
        <w:spacing w:after="0" w:line="255"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selected revenue as its most important financial performance measure because it reflects the Company’s commercial growth and operational execution, which are key drivers of long-term stockholder value.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Between Compensation Actually Paid and TSR</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illustrated in the table above, compensation actually paid to our PEO and Non-PEO NEOs fluctuates from year to year, in part due to changes in the Company’s stock price and in part due to fluctuations in equity awards granted to our NEOs year-to-year. Because equity awards are revalued based on stock price performance, increases in our stock price generally result in higher compensation actually paid, while decreases in stock price generally result in lower compensation actually paid.</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Although TSR is not used as a direct input in determining compensation, the Compensation Committee believes that the use of equity-based compensation aligns executive interests with those of stockholders by linking a substantial portion of compensation to stock price performance over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Between Compensation Actually Paid and Net Loss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has historically reported net losses as it continues to invest in the growth of its business, including commercial expansion, product development and strategic initiatives. As a result, net loss is not used by the Compensation Committee as a primary measure in determining executive compensation.</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Instead, the Compensation Committee evaluates performance based on metrics it believes better reflect the Company’s operating progress and long-term value creation, including revenue, adjusted EBITDA, product performance and key strategic initiatives, which are also reflected in the Company’s selected performance measures for purposes of the pay-versus-performance disclosure. Accordingly, compensation actually paid to our named executive officers is not directly correlated with net loss.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r>
    </w:tbl>
    <w:p>
      <w:pPr>
        <w:sectPr>
          <w:pgSz w:w="11900" w:h="16838" w:orient="portrait"/>
          <w:cols w:equalWidth="0" w:num="1">
            <w:col w:w="11240"/>
          </w:cols>
          <w:pgMar w:left="320" w:top="6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Relationship Between Compensation Actually Paid and Revenue</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Company has identified Revenue as its Company-Selected Measure, which represents the most important financial performance measure used to link executive compensation actually paid to Company performance.</w:t>
      </w:r>
    </w:p>
    <w:p>
      <w:pPr>
        <w:spacing w:after="0" w:line="159"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Compensation actually paid to our PEO and Non-PEO NEOs is influenced by this measure primarily through our annual incentive compensation program, which is designed to reward achievement of key financial and operational objectives.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general:</w:t>
      </w:r>
    </w:p>
    <w:p>
      <w:pPr>
        <w:spacing w:after="0" w:line="208" w:lineRule="exact"/>
        <w:rPr>
          <w:sz w:val="20"/>
          <w:szCs w:val="20"/>
          <w:color w:val="auto"/>
        </w:rPr>
      </w:pPr>
    </w:p>
    <w:p>
      <w:pPr>
        <w:ind w:left="600" w:hanging="297"/>
        <w:spacing w:after="0" w:line="257"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Company achieves or exceeds its performance targets for this measure, annual incentive payouts increase, contributing to higher compensation actually paid; and</w:t>
      </w:r>
    </w:p>
    <w:p>
      <w:pPr>
        <w:ind w:left="600" w:hanging="297"/>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performance falls below target levels, incentive payouts are reduced, resulting in lower compensation actually paid.</w:t>
      </w:r>
    </w:p>
    <w:p>
      <w:pPr>
        <w:spacing w:after="0" w:line="19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Compensation Committee selected this measure because it reflects the Company’s operational performance and growth and is a key driver of long-term stockholder value.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Between Company Performance and Peer Group TSR</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Company’s TSR is compared to the TSR of the Nasdaq Biotechnology Index, as required by SEC rules. The peer group TSR is calculated using the same methodology as the Company’s TSR and provides context for evaluating relative stockholder return performance.</w:t>
      </w:r>
    </w:p>
    <w:p>
      <w:pPr>
        <w:spacing w:after="0" w:line="159"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While the Compensation Committee does not directly benchmark compensation decisions to peer group TSR, it considers overall market conditions and relative performance in evaluating the competitiveness and effectiveness of the Company’s executive compensation program.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Tabular List of Most Important Performance Measures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represents the most important financial and non-financial performance measures used by the Company to link executive compensation actually paid to Company performance for the most recently completed fiscal year:</w:t>
      </w:r>
    </w:p>
    <w:p>
      <w:pPr>
        <w:spacing w:after="0" w:line="159" w:lineRule="exact"/>
        <w:rPr>
          <w:sz w:val="20"/>
          <w:szCs w:val="20"/>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and operational milestones;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development and commercialization objectives;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performance objectives.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r>
    </w:tbl>
    <w:p>
      <w:pPr>
        <w:sectPr>
          <w:pgSz w:w="11900" w:h="16838" w:orient="portrait"/>
          <w:cols w:equalWidth="0" w:num="1">
            <w:col w:w="11240"/>
          </w:cols>
          <w:pgMar w:left="320" w:top="62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summarizes our equity compensation plans under which our equity securities are authorized for issuance as of December 31,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3"/>
        </w:trPr>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Number of Shares</w:t>
            </w:r>
          </w:p>
        </w:tc>
      </w:tr>
      <w:tr>
        <w:trPr>
          <w:trHeight w:val="202"/>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Remaining</w:t>
            </w:r>
          </w:p>
        </w:tc>
      </w:tr>
      <w:tr>
        <w:trPr>
          <w:trHeight w:val="202"/>
        </w:trPr>
        <w:tc>
          <w:tcPr>
            <w:tcW w:w="6060" w:type="dxa"/>
            <w:vAlign w:val="bottom"/>
          </w:tcPr>
          <w:p>
            <w:pPr>
              <w:spacing w:after="0"/>
              <w:rPr>
                <w:sz w:val="17"/>
                <w:szCs w:val="17"/>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Number of Shares</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Available for</w:t>
            </w:r>
          </w:p>
        </w:tc>
      </w:tr>
      <w:tr>
        <w:trPr>
          <w:trHeight w:val="202"/>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to be Issued</w:t>
            </w:r>
          </w:p>
        </w:tc>
        <w:tc>
          <w:tcPr>
            <w:tcW w:w="1860" w:type="dxa"/>
            <w:vAlign w:val="bottom"/>
            <w:gridSpan w:val="3"/>
          </w:tcPr>
          <w:p>
            <w:pPr>
              <w:jc w:val="center"/>
              <w:ind w:right="336"/>
              <w:spacing w:after="0"/>
              <w:rPr>
                <w:sz w:val="20"/>
                <w:szCs w:val="20"/>
                <w:color w:val="auto"/>
              </w:rPr>
            </w:pPr>
            <w:r>
              <w:rPr>
                <w:rFonts w:ascii="Times New Roman" w:cs="Times New Roman" w:eastAsia="Times New Roman" w:hAnsi="Times New Roman"/>
                <w:sz w:val="17"/>
                <w:szCs w:val="17"/>
                <w:b w:val="1"/>
                <w:bCs w:val="1"/>
                <w:color w:val="auto"/>
                <w:w w:val="97"/>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Future Issuance</w:t>
            </w:r>
          </w:p>
        </w:tc>
      </w:tr>
      <w:tr>
        <w:trPr>
          <w:trHeight w:val="202"/>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Upon Exercise of</w:t>
            </w:r>
          </w:p>
        </w:tc>
        <w:tc>
          <w:tcPr>
            <w:tcW w:w="100" w:type="dxa"/>
            <w:vAlign w:val="bottom"/>
          </w:tcPr>
          <w:p>
            <w:pPr>
              <w:spacing w:after="0"/>
              <w:rPr>
                <w:sz w:val="17"/>
                <w:szCs w:val="17"/>
                <w:color w:val="auto"/>
              </w:rPr>
            </w:pPr>
          </w:p>
        </w:tc>
        <w:tc>
          <w:tcPr>
            <w:tcW w:w="1760" w:type="dxa"/>
            <w:vAlign w:val="bottom"/>
            <w:gridSpan w:val="2"/>
          </w:tcPr>
          <w:p>
            <w:pPr>
              <w:jc w:val="center"/>
              <w:ind w:right="436"/>
              <w:spacing w:after="0"/>
              <w:rPr>
                <w:sz w:val="20"/>
                <w:szCs w:val="20"/>
                <w:color w:val="auto"/>
              </w:rPr>
            </w:pPr>
            <w:r>
              <w:rPr>
                <w:rFonts w:ascii="Times New Roman" w:cs="Times New Roman" w:eastAsia="Times New Roman" w:hAnsi="Times New Roman"/>
                <w:sz w:val="17"/>
                <w:szCs w:val="17"/>
                <w:b w:val="1"/>
                <w:bCs w:val="1"/>
                <w:color w:val="auto"/>
                <w:w w:val="98"/>
              </w:rPr>
              <w:t>Exercise Price of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Under Equity</w:t>
            </w:r>
          </w:p>
        </w:tc>
      </w:tr>
      <w:tr>
        <w:trPr>
          <w:trHeight w:val="202"/>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00" w:type="dxa"/>
            <w:vAlign w:val="bottom"/>
          </w:tcPr>
          <w:p>
            <w:pPr>
              <w:spacing w:after="0"/>
              <w:rPr>
                <w:sz w:val="17"/>
                <w:szCs w:val="17"/>
                <w:color w:val="auto"/>
              </w:rPr>
            </w:pPr>
          </w:p>
        </w:tc>
        <w:tc>
          <w:tcPr>
            <w:tcW w:w="1760" w:type="dxa"/>
            <w:vAlign w:val="bottom"/>
            <w:gridSpan w:val="2"/>
          </w:tcPr>
          <w:p>
            <w:pPr>
              <w:jc w:val="center"/>
              <w:ind w:right="456"/>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r>
      <w:tr>
        <w:trPr>
          <w:trHeight w:val="202"/>
        </w:trPr>
        <w:tc>
          <w:tcPr>
            <w:tcW w:w="6060" w:type="dxa"/>
            <w:vAlign w:val="bottom"/>
          </w:tcPr>
          <w:p>
            <w:pPr>
              <w:spacing w:after="0"/>
              <w:rPr>
                <w:sz w:val="17"/>
                <w:szCs w:val="17"/>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Options, Warrants</w:t>
            </w:r>
          </w:p>
        </w:tc>
        <w:tc>
          <w:tcPr>
            <w:tcW w:w="1860" w:type="dxa"/>
            <w:vAlign w:val="bottom"/>
            <w:gridSpan w:val="3"/>
          </w:tcPr>
          <w:p>
            <w:pPr>
              <w:jc w:val="center"/>
              <w:ind w:right="356"/>
              <w:spacing w:after="0"/>
              <w:rPr>
                <w:sz w:val="20"/>
                <w:szCs w:val="20"/>
                <w:color w:val="auto"/>
              </w:rPr>
            </w:pPr>
            <w:r>
              <w:rPr>
                <w:rFonts w:ascii="Times New Roman" w:cs="Times New Roman" w:eastAsia="Times New Roman" w:hAnsi="Times New Roman"/>
                <w:sz w:val="17"/>
                <w:szCs w:val="17"/>
                <w:b w:val="1"/>
                <w:bCs w:val="1"/>
                <w:color w:val="auto"/>
                <w:w w:val="97"/>
              </w:rPr>
              <w:t>Options, Warrants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Plans</w:t>
            </w:r>
          </w:p>
        </w:tc>
      </w:tr>
      <w:tr>
        <w:trPr>
          <w:trHeight w:val="240"/>
        </w:trPr>
        <w:tc>
          <w:tcPr>
            <w:tcW w:w="60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8"/>
              </w:rPr>
              <w:t>and Rights</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8"/>
              </w:rPr>
              <w:t>and Rights</w:t>
            </w:r>
          </w:p>
        </w:tc>
        <w:tc>
          <w:tcPr>
            <w:tcW w:w="4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Borders>
              <w:bottom w:val="single" w:sz="8" w:color="CCEEFF"/>
            </w:tcBorders>
          </w:tcPr>
          <w:p>
            <w:pPr>
              <w:spacing w:after="0"/>
              <w:rPr>
                <w:sz w:val="20"/>
                <w:szCs w:val="20"/>
                <w:color w:val="auto"/>
              </w:rPr>
            </w:pPr>
          </w:p>
        </w:tc>
      </w:tr>
      <w:tr>
        <w:trPr>
          <w:trHeight w:val="20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1,637,072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9.86(2)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3,720,718</w:t>
            </w:r>
          </w:p>
        </w:tc>
        <w:tc>
          <w:tcPr>
            <w:tcW w:w="100" w:type="dxa"/>
            <w:vAlign w:val="bottom"/>
            <w:shd w:val="clear" w:color="auto" w:fill="CCEEFF"/>
          </w:tcPr>
          <w:p>
            <w:pPr>
              <w:spacing w:after="0"/>
              <w:rPr>
                <w:sz w:val="17"/>
                <w:szCs w:val="17"/>
                <w:color w:val="auto"/>
              </w:rPr>
            </w:pPr>
          </w:p>
        </w:tc>
      </w:t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76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07"/>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1,637,072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420" w:type="dxa"/>
            <w:vAlign w:val="bottom"/>
            <w:tcBorders>
              <w:top w:val="single" w:sz="8" w:color="CCEEFF"/>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0"/>
              </w:rPr>
              <w:t>(2)</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3,720,718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jc w:val="both"/>
        <w:ind w:left="300" w:hanging="299"/>
        <w:spacing w:after="0" w:line="249" w:lineRule="auto"/>
        <w:tabs>
          <w:tab w:leader="none" w:pos="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reserved under the 2025 Plan. See Note 15 to our consolidated financial statements included in the Annual Report for additional information on the 2025 Plan. The 2007 Plan reached its term in September 2017. On June 18, 2025, the Company’s stockholders adopted the 2025 Plan. As of December 31, 2025, the 2025 Plan provides for the issuance of a maximum of 3,950,000 shares of the Company’s common stock. The purpose of the plan is to attract and retain directors, officers, consultants, advisors and employees whose services are considered valuable, to encourage a sense of proprietorship and to stimulate an active interest of such persons in the Company’s development and financial success. Under the 2025 Plan, the Company is authorized to issue incentive stock options intended to qualify under Section 422 of the Internal Revenue Code of 1986, as amended, non-qualified stock options, restricted stock units and restricted stock. The 2025 Plan is administered by the Compensation Committee of the Company’s Board of Directors. We no longer issue additional awards under the 2007 Plan or 2017 Plan; however, options still outstanding and previously issued under these plans will remain outstanding until they are exercised, reach their maturity, or are otherwise canceled/forfeited. On June 18, 2025, the Company’s Board of Directors and stockholders adopted the 2025 Plan. The Company had 3,720,718 shares available for future issuance under the 2025 Plan as of December 31, 2025.</w:t>
      </w:r>
    </w:p>
    <w:p>
      <w:pPr>
        <w:spacing w:after="0" w:line="5"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outstanding RSUs and PSUs, which have no associated exercise price.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r>
    </w:tbl>
    <w:p>
      <w:pPr>
        <w:sectPr>
          <w:pgSz w:w="11900" w:h="16838" w:orient="portrait"/>
          <w:cols w:equalWidth="0" w:num="1">
            <w:col w:w="11240"/>
          </w:cols>
          <w:pgMar w:left="320" w:top="615" w:right="339"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21, 2026. Unless otherwise indicated in the footnotes to the following table, each person named in the table has sole voting and investment power with respect to shares of common stock, and the address for such person is c/o Harrow, Inc., 1A Burton Hills Blvd., Suite 200, Nashville, TN 37215.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Number of Shares and</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Nature of Beneficial</w:t>
            </w:r>
          </w:p>
        </w:tc>
        <w:tc>
          <w:tcPr>
            <w:tcW w:w="206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0" w:type="dxa"/>
            <w:vAlign w:val="bottom"/>
          </w:tcPr>
          <w:p>
            <w:pPr>
              <w:spacing w:after="0"/>
              <w:rPr>
                <w:sz w:val="1"/>
                <w:szCs w:val="1"/>
                <w:color w:val="auto"/>
              </w:rPr>
            </w:pPr>
          </w:p>
        </w:tc>
      </w:tr>
      <w:tr>
        <w:trPr>
          <w:trHeight w:val="222"/>
        </w:trPr>
        <w:tc>
          <w:tcPr>
            <w:tcW w:w="69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Beneficial Owner</w:t>
            </w:r>
          </w:p>
        </w:tc>
        <w:tc>
          <w:tcPr>
            <w:tcW w:w="2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Ownership</w:t>
            </w:r>
          </w:p>
        </w:tc>
        <w:tc>
          <w:tcPr>
            <w:tcW w:w="1900" w:type="dxa"/>
            <w:vAlign w:val="bottom"/>
          </w:tcPr>
          <w:p>
            <w:pPr>
              <w:jc w:val="right"/>
              <w:ind w:right="776"/>
              <w:spacing w:after="0"/>
              <w:rPr>
                <w:sz w:val="20"/>
                <w:szCs w:val="20"/>
                <w:color w:val="auto"/>
              </w:rPr>
            </w:pPr>
            <w:r>
              <w:rPr>
                <w:rFonts w:ascii="Times New Roman" w:cs="Times New Roman" w:eastAsia="Times New Roman" w:hAnsi="Times New Roman"/>
                <w:sz w:val="17"/>
                <w:szCs w:val="17"/>
                <w:b w:val="1"/>
                <w:bCs w:val="1"/>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7"/>
                <w:szCs w:val="17"/>
                <w:i w:val="1"/>
                <w:iCs w:val="1"/>
                <w:color w:val="auto"/>
                <w:w w:val="96"/>
              </w:rPr>
              <w:t>5% + Stockholders</w:t>
            </w:r>
          </w:p>
        </w:tc>
        <w:tc>
          <w:tcPr>
            <w:tcW w:w="5460" w:type="dxa"/>
            <w:vAlign w:val="bottom"/>
            <w:tcBorders>
              <w:top w:val="single" w:sz="8" w:color="auto"/>
              <w:bottom w:val="single" w:sz="8" w:color="CCEEFF"/>
            </w:tcBorders>
            <w:gridSpan w:val="2"/>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8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9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Opaleye L.P. and related persons (2)</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3,681,428</w:t>
            </w:r>
          </w:p>
        </w:tc>
        <w:tc>
          <w:tcPr>
            <w:tcW w:w="320" w:type="dxa"/>
            <w:vAlign w:val="bottom"/>
          </w:tcPr>
          <w:p>
            <w:pPr>
              <w:spacing w:after="0"/>
              <w:rPr>
                <w:sz w:val="17"/>
                <w:szCs w:val="17"/>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Private Capital Management LLC (3)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3,630,496</w:t>
            </w:r>
          </w:p>
        </w:tc>
        <w:tc>
          <w:tcPr>
            <w:tcW w:w="3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BlackRock, Inc. (4)</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2,220,538</w:t>
            </w:r>
          </w:p>
        </w:tc>
        <w:tc>
          <w:tcPr>
            <w:tcW w:w="320" w:type="dxa"/>
            <w:vAlign w:val="bottom"/>
          </w:tcPr>
          <w:p>
            <w:pPr>
              <w:spacing w:after="0"/>
              <w:rPr>
                <w:sz w:val="17"/>
                <w:szCs w:val="17"/>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Kaufman (5)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1,878,000</w:t>
            </w:r>
          </w:p>
        </w:tc>
        <w:tc>
          <w:tcPr>
            <w:tcW w:w="3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500" w:type="dxa"/>
            <w:vAlign w:val="bottom"/>
            <w:tcBorders>
              <w:bottom w:val="single" w:sz="8" w:color="auto"/>
            </w:tcBorders>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i w:val="1"/>
                <w:iCs w:val="1"/>
                <w:color w:val="auto"/>
                <w:w w:val="96"/>
              </w:rPr>
              <w:t>Directors and Officers</w:t>
            </w:r>
          </w:p>
        </w:tc>
        <w:tc>
          <w:tcPr>
            <w:tcW w:w="5460" w:type="dxa"/>
            <w:vAlign w:val="bottom"/>
            <w:tcBorders>
              <w:bottom w:val="single" w:sz="8" w:color="CCEEFF"/>
            </w:tcBorders>
            <w:gridSpan w:val="2"/>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Mark L. Baum (6)</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3,663,630</w:t>
            </w:r>
          </w:p>
        </w:tc>
        <w:tc>
          <w:tcPr>
            <w:tcW w:w="320" w:type="dxa"/>
            <w:vAlign w:val="bottom"/>
          </w:tcPr>
          <w:p>
            <w:pPr>
              <w:spacing w:after="0"/>
              <w:rPr>
                <w:sz w:val="17"/>
                <w:szCs w:val="17"/>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Andrew R. Boll (7)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1,023,179</w:t>
            </w:r>
          </w:p>
        </w:tc>
        <w:tc>
          <w:tcPr>
            <w:tcW w:w="3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Francis W. Mullery</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Amir H. Shojaei (8)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9,375</w:t>
            </w:r>
          </w:p>
        </w:tc>
        <w:tc>
          <w:tcPr>
            <w:tcW w:w="3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Lauren P. Silvernail (9)</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18,805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Adrienne L. Graves (10)</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18,805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Perry J. Sternberg (11)</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36,553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All executives and directors as a group (7 persons)</w:t>
            </w:r>
          </w:p>
        </w:tc>
        <w:tc>
          <w:tcPr>
            <w:tcW w:w="18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960" w:type="dxa"/>
            <w:vAlign w:val="bottom"/>
            <w:gridSpan w:val="4"/>
            <w:vMerge w:val="continue"/>
            <w:shd w:val="clear" w:color="auto" w:fill="CCEEFF"/>
          </w:tcPr>
          <w:p>
            <w:pPr>
              <w:spacing w:after="0"/>
              <w:rPr>
                <w:sz w:val="16"/>
                <w:szCs w:val="16"/>
                <w:color w:val="auto"/>
              </w:rPr>
            </w:pPr>
          </w:p>
        </w:tc>
        <w:tc>
          <w:tcPr>
            <w:tcW w:w="18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4,770,347</w:t>
            </w:r>
          </w:p>
        </w:tc>
        <w:tc>
          <w:tcPr>
            <w:tcW w:w="320" w:type="dxa"/>
            <w:vAlign w:val="bottom"/>
            <w:vMerge w:val="continue"/>
            <w:shd w:val="clear" w:color="auto" w:fill="CCEEFF"/>
          </w:tcPr>
          <w:p>
            <w:pPr>
              <w:spacing w:after="0"/>
              <w:rPr>
                <w:sz w:val="16"/>
                <w:szCs w:val="16"/>
                <w:color w:val="auto"/>
              </w:rPr>
            </w:pPr>
          </w:p>
        </w:tc>
        <w:tc>
          <w:tcPr>
            <w:tcW w:w="206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00" w:hanging="299"/>
        <w:spacing w:after="0"/>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22" w:lineRule="exact"/>
        <w:rPr>
          <w:sz w:val="20"/>
          <w:szCs w:val="20"/>
          <w:color w:val="auto"/>
        </w:rPr>
      </w:pPr>
    </w:p>
    <w:p>
      <w:pPr>
        <w:jc w:val="both"/>
        <w:ind w:left="300" w:hanging="299"/>
        <w:spacing w:after="0" w:line="247"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percentages are based on 37,273,420 shares of our common stock outstanding as of April 21, 2026. Shares of common stock subject to options that are currently exercisable or exercisable within 60 days after April 21, 2026, are deemed outstanding for the purpose of computing the percentage ownership of the person holding such options, but are not deemed outstanding for the purpose of computing the percentage ownership of any other person. As of the date of this proxy statement, other than Daniel Kaufman, the institutional investors listed in the table above have not filed a current Schedule 13G or Schedule 13D filing, or an amendment thereto, related to the Company’s securities since 2024. Accordingly, the beneficial ownership information reported herein may not reflect such stockholders’ current ownership.</w:t>
      </w:r>
    </w:p>
    <w:p>
      <w:pPr>
        <w:spacing w:after="0" w:line="3"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on a Form 4 filed on March 5, 2026, by Opaleye L.P., Opaleye Management, Inc. and James Silverman (collectively, “Opaleye”). Opaleye reported that it possessed shared voting power and shared dispositive power with respect to all of the shares. The address for Opaleye is One Boston Place, 26th Floor, Boston, Massachusetts 02108.</w:t>
      </w:r>
    </w:p>
    <w:p>
      <w:pPr>
        <w:spacing w:after="0" w:line="1"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on a Schedule 13G filed on January 9, 2024, by Private Capital Management, LLC. and Chad D. Atkins (collectively, “Private Capital”). Private Capital reported that it possessed sole voting power of and sole dispositive power of 2,083,781 shares and shared voting power and shared dispositive power of 1,546,715 shares. The address for Private Capital is 8889 Pelican Bay Boulevard, Suite 500, Naples, Florida 34108.</w:t>
      </w:r>
    </w:p>
    <w:p>
      <w:pPr>
        <w:spacing w:after="0" w:line="1"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on a Schedule 13G filed on January 29, 2024, by BlackRock, Inc. BlackRock, Inc. reported that it possessed sole voting power of and sole dispositive power of 2,182,882 shares and shared voting power and shared dispositive power with respect to all of the shares. The address for BlackRock, Inc. is 50 Hudson Yards New York, New York 10001.</w:t>
      </w:r>
    </w:p>
    <w:p>
      <w:pPr>
        <w:spacing w:after="0" w:line="1" w:lineRule="exact"/>
        <w:rPr>
          <w:rFonts w:ascii="Times New Roman" w:cs="Times New Roman" w:eastAsia="Times New Roman" w:hAnsi="Times New Roman"/>
          <w:sz w:val="17"/>
          <w:szCs w:val="17"/>
          <w:color w:val="auto"/>
        </w:rPr>
      </w:pPr>
    </w:p>
    <w:p>
      <w:pPr>
        <w:ind w:left="300" w:hanging="299"/>
        <w:spacing w:after="0" w:line="263" w:lineRule="auto"/>
        <w:tabs>
          <w:tab w:leader="none" w:pos="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based on a Schedule 13G filed on March 11, 2026, by Daniel Kaufman, an individual investor. Mr. Kaufman reported that he possessed sole voting power of and sole dispositive power with respect to all of the shares. The address for Mr. Kaufman is 2158 Park Boulevard, San Juan, Puerto Rico 00913.</w:t>
      </w:r>
    </w:p>
    <w:p>
      <w:pPr>
        <w:ind w:left="300" w:hanging="299"/>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677,500 shares of common stock issuable upon the exercise of stock options exercisable within 60 days after April 21, 2026.</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212,000 shares of common stock issuable upon the exercise of stock options exercisable within 60 days after April 21, 2026.</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9,375 shares of common stock issuable upon the exercise of stock options exercisable within 60 days after April 21, 2026.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bl>
    <w:p>
      <w:pPr>
        <w:sectPr>
          <w:pgSz w:w="11900" w:h="16838" w:orient="portrait"/>
          <w:cols w:equalWidth="0" w:num="1">
            <w:col w:w="11240"/>
          </w:cols>
          <w:pgMar w:left="320" w:top="623" w:right="339" w:bottom="1440" w:gutter="0" w:footer="0" w:header="0"/>
        </w:sectPr>
      </w:pPr>
    </w:p>
    <w:bookmarkStart w:id="43" w:name="page44"/>
    <w:bookmarkEnd w:id="43"/>
    <w:p>
      <w:pPr>
        <w:ind w:left="300" w:hanging="299"/>
        <w:spacing w:after="0"/>
        <w:tabs>
          <w:tab w:leader="none" w:pos="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18,805 shares of common stock issuable upon Ms. Silvernail’s discontinuation of service as a director within 60 days after April 21, 2026.</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18,805 shares of common stock issuable upon Ms. Graves discontinuation of service as a director within 60 days after April 21, 2026.</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36,553 shares of common stock issuable upon Mr. Sternberg’s discontinuation of service as a director within 60 days after April 21, 2026.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Section 16(a) of the Exchange Act requires our directors, executive officers and persons who beneficially own more than 10% of our Common Stock to file with the SEC initial reports of ownership and reports of changes in ownership of our Common Stock. These officers, directors and greater than 10% stockholders are required by SEC rules to furnish us with copies of all Section 16(a) reports they file. There are specific due dates for these reports and we are required to report in this Proxy Statement any failure to file reports in a timely manner as required during 2025. Based upon a review of these filings and written representations from our directors and executive officers, we believe that all reports required to be filed with the SEC pursuant to Section 16(a) during 2025 were filed in a timely manner, except that Randall Pollard, our Chief Accounting Officer, filed a report on Form 4 on September 9, 2025, with respect to an award of stock options on September 1,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bl>
    <w:p>
      <w:pPr>
        <w:sectPr>
          <w:pgSz w:w="11900" w:h="16838" w:orient="portrait"/>
          <w:cols w:equalWidth="0" w:num="1">
            <w:col w:w="11240"/>
          </w:cols>
          <w:pgMar w:left="320" w:top="65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 xml:space="preserve">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for review on the Investors section of the Company’s website, </w:t>
      </w:r>
      <w:r>
        <w:rPr>
          <w:rFonts w:ascii="Times New Roman" w:cs="Times New Roman" w:eastAsia="Times New Roman" w:hAnsi="Times New Roman"/>
          <w:sz w:val="17"/>
          <w:szCs w:val="17"/>
          <w:u w:val="single" w:color="auto"/>
          <w:color w:val="auto"/>
        </w:rPr>
        <w:t>www.harrow.com</w:t>
      </w:r>
      <w:r>
        <w:rPr>
          <w:rFonts w:ascii="Times New Roman" w:cs="Times New Roman" w:eastAsia="Times New Roman" w:hAnsi="Times New Roman"/>
          <w:sz w:val="17"/>
          <w:szCs w:val="17"/>
          <w:color w:val="auto"/>
        </w:rPr>
        <w:t>, under Corporate Governance.</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Audit Committee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and the SEC. The Audit Committee has received the written disclosures and the letter from the independent registered public accounting firm required by the Public Company Accounting Oversight Board.</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reliance on the reviews and discussions referred to above, the Audit Committee recommended to the Board of Directors that the Company’s audited financial statements for the fiscal year ended December 31, 2025, should be included in the Annual Report.</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Submitted by the Audit Committee of the Board of Directors</w:t>
      </w: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Lauren P. Silvernail (Chair)</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Perry J. Sternberg</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Adrienne L. Graves</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report of the Audit Committee shall not be deemed incorporated by reference by any general statement incorporating by reference this Proxy Statement into any filing under the Securities Act or the Exchange Act, except to the extent that we specifically incorporate this information by reference, and shall not otherwise be deemed filed under such acts.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r>
    </w:tbl>
    <w:p>
      <w:pPr>
        <w:sectPr>
          <w:pgSz w:w="11900" w:h="16838" w:orient="portrait"/>
          <w:cols w:equalWidth="0" w:num="1">
            <w:col w:w="11240"/>
          </w:cols>
          <w:pgMar w:left="320" w:top="62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color w:val="auto"/>
        </w:rPr>
        <w:t>PROPOSAL 2 - ADVISORY VOTE ON NAMED EXECUTIVE OFFICER COMPENSATION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of 2010 (the “Dodd-Frank Act”) added Section 14A to the Securities Exchange Act of 1934, as amended (the “Exchange Act”), which enables our stockholders to vote to approve, on a non-binding, advisory basis, the compensation of our named executive officers as disclosed in this Proxy Statement in accordance with Securities and Exchange Commission (“SEC”) rules.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named executive officer compensation program is designed to attract, motivate and retain our named executive officers, who are critical to our success. Our Compensation Committee believes an effective compensation program is one that is designed to recruit and retain executive leadership focused on attaining long-term corporate goals and increasing stockholder value. The Compensation Committee believes that it has taken a responsible approach to compensating our named executive officers.</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urge stockholders to read the “Executive Compensation” section of this Proxy Statement, which describes in more detail how our executive compensation policies and procedures operate and are designed to achieve our compensation objectives, including the Summary Compensation Table and other related compensation tables and narratives in such section, which provide detailed information on the compensation of our named executive officers. The Board and the Compensation Committee believe that the policies and procedures described and explained therein are effective in achieving our goals and that the compensation of our named executive officers reported in this Proxy Statement supports and contributes to the Company’s long-term success.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“RESOLVED,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Board of Directors’ Recommendation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71" w:lineRule="exact"/>
        <w:rPr>
          <w:sz w:val="20"/>
          <w:szCs w:val="20"/>
          <w:color w:val="auto"/>
        </w:rPr>
      </w:pPr>
    </w:p>
    <w:p>
      <w:pPr>
        <w:jc w:val="center"/>
        <w:spacing w:after="0" w:line="258"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STOCKHOLDERS VOTE “FOR” THE APPROVAL OF THE COMPENSATION OF OUR NAMED EXECUTIVE OFFICERS ON A NON-BINDING, ADVISORY BASIS, AS DISCLOSED IN THIS PROXY STATEMENT PURSUANT TO THE COMPENSATION DISCLOSURE RULES OF THE SEC.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r>
    </w:tbl>
    <w:p>
      <w:pPr>
        <w:sectPr>
          <w:pgSz w:w="11900" w:h="16838" w:orient="portrait"/>
          <w:cols w:equalWidth="0" w:num="1">
            <w:col w:w="11240"/>
          </w:cols>
          <w:pgMar w:left="320" w:top="62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t>PROPOSAL 3 - RATIFICATION OF SELECTION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19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Audit Committee of the Board has selected Deloitte &amp; Touche LLP (“Deloitte”) to serve as our independent registered public accounting firm for the fiscal year ending December 31, 2026, and has further directed that the selection of Deloitte be submitted for ratification by our stockholders at our Annual Meeting.</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Representatives of Deloitte are expected to be present at the Annual Meeting, will have an opportunity to make a statement if they so desire, and will be available to respond to appropriate questions.</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Stockholder ratification of the selection of Deloitte as our independent registered public accounting firm is not required by our Bylaws or otherwise. However, the Board is submitting the selection of Deloitte to the stockholders for ratification as a matter of good corporate practice. If the stockholders do not ratify the selection, our Audit Committee will reconsider whether or not to retain Deloitte. Even if the selection is ratified, the Audit Committee may, in its discretion, direct the appointment of a different independent registered public accounting firm at any time during the year if it determines that such a change would be in our and our stockholders’ best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Transition from Crowe to Deloitte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Crowe LLP (“Crowe”) served as the Company’s independent registered public accounting firm for the fiscal year ended December 31, 2024. On September 17, 2025, the Audit Committee approved the appointment of Deloitte as the Company’s independent registered public accounting firm. The Company disclosed this appointment in a Current Report on Form 8-K filed with the SEC on September 19, 2025. Deloitte served as the Company’s independent registered public accounting firm for the fiscal year ended December 31, 2025, and continues to serve in that capacity.</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Crowe’s report on the Company’s consolidated financial statements for the year ended December 31, 2024 did not contain an adverse opinion or a disclaimer of opinion and was not qualified or modified as to uncertainty, audit scope or accounting principles.</w:t>
      </w:r>
    </w:p>
    <w:p>
      <w:pPr>
        <w:spacing w:after="0" w:line="159"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Crowe was engaged by the Company on June 25, 2024, and served as the Company’s independent accountant for the fiscal year ended December 31, 2024. Crowe did not audit the Company’s financial statements for any other fiscal year. From the date of Crowe’s engagement, during the Company’s fiscal year ended December 31, 2024 and the subsequent interim period through the date of dismissal, (i) there were no disagreements, within the meaning of Item 304(a)(1)(iv) of Regulation S-K and the related instructions thereto, with Crowe on any matter of accounting principles or practices, financial statement disclosure, or auditing scope or procedure, which disagreements, if not resolved to the satisfaction of Crowe, would have caused it to make reference to the subject matter of the disagreements in connection with its reports, (ii) there were no reportable events within the meaning of Item 304(a)(1)(v) of Regulation S-K and the related instructions thereto, and (iii) neither we nor anyone acting on our behalf consulted with Deloitte regarding any of the matters described in Items 304(a)(2)(i) and (ii) of Regulation S-K.</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provided Crowe with a copy of the foregoing disclosures and requested Crowe to furnish us with a letter addressed to the SEC stating whether it agrees with the statements made by us set forth above and, if not, stating the respects in which it does not agree. Crowe’s letter, dated September 19, 2025, was filed as Exhibit 16 to our Current Report on Form 8-K, filed with the SEC on September 19,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Transition from KMJ to Crowe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May 20, 2024, the partners and professional staff of KMJ Corbin &amp; Company LLP (“KMJ”), which was engaged as the independent registered public accounting firm of the Company since 2007, joined Crowe. As a result, KMJ resigned as the Company’s independent registered public accounting firm on June 24, 2024. Following the resignation of KMJ, the Company, through and with the approval of its Audit Committee, appointed Crowe as its independent registered public accounting firm effective June 25, 2024.</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KMJ’s reports on the Company’s consolidated financial statements for the fiscal years ended December 31, 2023 and 2022 did not contain any adverse opinion or disclaimer of opinion and were not qualified or modified as to uncertainty, audit scope, or accounting principles.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bl>
    <w:p>
      <w:pPr>
        <w:sectPr>
          <w:pgSz w:w="11900" w:h="16838" w:orient="portrait"/>
          <w:cols w:equalWidth="0" w:num="1">
            <w:col w:w="11240"/>
          </w:cols>
          <w:pgMar w:left="320" w:top="623" w:right="339" w:bottom="1440" w:gutter="0" w:footer="0" w:header="0"/>
        </w:sectPr>
      </w:pPr>
    </w:p>
    <w:bookmarkStart w:id="47" w:name="page48"/>
    <w:bookmarkEnd w:id="47"/>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During the Company’s fiscal years ended December 31, 2023 and 2022 and the subsequent interim period through the date of resignation, (i) there were no disagreements, within the meaning of Item 304(a)(1)(iv) of Regulation S-K, between the Company and KMJ on any matter of accounting principles or practices, financial statement disclosure, or auditing scope or procedure, which disagreements, if not resolved to the satisfaction of KMJ, would have caused KMJ to make reference to the subject matter of the disagreements in connection with its audit reports on the Company’s consolidated financial statements, (ii) there were no reportable events within the meaning of Item 304(a)(1)(v) of Regulation S-K and the related instructions thereto, and (iii) neither we nor anyone acting on our behalf consulted with KMJ regarding any of the matters described in Items 304(a)(2)(i) and (ii) of Regulation S-K.</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provided KMJ with a copy of the foregoing disclosures and requested KMJ to furnish us with a letter addressed to the SEC stating whether it agrees with the statements made by us set forth above and, if not, stating the respects in which it does not agree. KMJ’s letter, dated June 26, 2024, was filed as Exhibit 16 to our Current Report on Form 8-K, filed with the SEC on June 26,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and All Other Fees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Aggregate fees billed by Deloitte and Crowe, as applicable, for the year ended December 31, 2025, and by Crowe and KMJ, as applicable, for the year ended December 31, 2024, are set forth below. The amounts disclosed include billed out-of-pocket expenses associated with the applicable services.</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60" w:type="dxa"/>
            <w:vAlign w:val="bottom"/>
            <w:gridSpan w:val="6"/>
          </w:tcPr>
          <w:p>
            <w:pPr>
              <w:ind w:left="34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07"/>
        </w:trPr>
        <w:tc>
          <w:tcPr>
            <w:tcW w:w="20" w:type="dxa"/>
            <w:vAlign w:val="bottom"/>
          </w:tcPr>
          <w:p>
            <w:pPr>
              <w:spacing w:after="0"/>
              <w:rPr>
                <w:sz w:val="18"/>
                <w:szCs w:val="18"/>
                <w:color w:val="auto"/>
              </w:rPr>
            </w:pPr>
          </w:p>
        </w:tc>
        <w:tc>
          <w:tcPr>
            <w:tcW w:w="356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Audit Fees (1)</w:t>
            </w:r>
          </w:p>
        </w:tc>
        <w:tc>
          <w:tcPr>
            <w:tcW w:w="20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1,141,429</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804,416</w:t>
            </w:r>
          </w:p>
        </w:tc>
        <w:tc>
          <w:tcPr>
            <w:tcW w:w="8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 (2)</w:t>
            </w:r>
          </w:p>
        </w:tc>
        <w:tc>
          <w:tcPr>
            <w:tcW w:w="236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64,126</w:t>
            </w:r>
          </w:p>
        </w:tc>
        <w:tc>
          <w:tcPr>
            <w:tcW w:w="260" w:type="dxa"/>
            <w:vAlign w:val="bottom"/>
          </w:tcPr>
          <w:p>
            <w:pPr>
              <w:spacing w:after="0"/>
              <w:rPr>
                <w:sz w:val="17"/>
                <w:szCs w:val="17"/>
                <w:color w:val="auto"/>
              </w:rPr>
            </w:pPr>
          </w:p>
        </w:tc>
        <w:tc>
          <w:tcPr>
            <w:tcW w:w="340" w:type="dxa"/>
            <w:vAlign w:val="bottom"/>
            <w:gridSpan w:val="2"/>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53,250</w:t>
            </w:r>
          </w:p>
        </w:tc>
        <w:tc>
          <w:tcPr>
            <w:tcW w:w="8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 (3)</w:t>
            </w:r>
          </w:p>
        </w:tc>
        <w:tc>
          <w:tcPr>
            <w:tcW w:w="23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99,745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163,983</w:t>
            </w:r>
          </w:p>
        </w:tc>
        <w:tc>
          <w:tcPr>
            <w:tcW w:w="8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0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1,305,300</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1,021,649</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128270</wp:posOffset>
            </wp:positionV>
            <wp:extent cx="14249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190" w:lineRule="exact"/>
        <w:rPr>
          <w:sz w:val="20"/>
          <w:szCs w:val="20"/>
          <w:color w:val="auto"/>
        </w:rPr>
      </w:pPr>
    </w:p>
    <w:p>
      <w:pPr>
        <w:jc w:val="both"/>
        <w:ind w:left="1500" w:right="1120" w:hanging="371"/>
        <w:spacing w:after="0" w:line="250" w:lineRule="auto"/>
        <w:tabs>
          <w:tab w:leader="none" w:pos="15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for 2025 include fees billed or expected to be billed by Deloitte and Crowe, as applicable, for the audit of the Company’s annual consolidated financial statements, reviews of the Company’s interim consolidated financial statements included in Quarterly Reports on Form 10-Q, and services normally provided in connection with statutory and regulatory filings or engagements. Crowe was dismissed on September 17, 2025, and Deloitte was appointed on September 17, 2025. “Audit Fees” for 2024 include fees billed by Crowe and KMJ, as applicable. KMJ resigned on June 24, 2024, and Crowe was appointed effective June 25, 2024.</w:t>
      </w:r>
    </w:p>
    <w:p>
      <w:pPr>
        <w:spacing w:after="0" w:line="4" w:lineRule="exact"/>
        <w:rPr>
          <w:rFonts w:ascii="Times New Roman" w:cs="Times New Roman" w:eastAsia="Times New Roman" w:hAnsi="Times New Roman"/>
          <w:sz w:val="17"/>
          <w:szCs w:val="17"/>
          <w:color w:val="auto"/>
        </w:rPr>
      </w:pPr>
    </w:p>
    <w:p>
      <w:pPr>
        <w:ind w:left="1500" w:right="1140" w:hanging="371"/>
        <w:spacing w:after="0" w:line="247" w:lineRule="auto"/>
        <w:tabs>
          <w:tab w:leader="none" w:pos="15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Fees” represent fees for assurance and related services that are reasonably related to the performance of the audit or review of our financial statements and are not reported under audit fees.</w:t>
      </w:r>
    </w:p>
    <w:p>
      <w:pPr>
        <w:spacing w:after="0" w:line="1" w:lineRule="exact"/>
        <w:rPr>
          <w:rFonts w:ascii="Times New Roman" w:cs="Times New Roman" w:eastAsia="Times New Roman" w:hAnsi="Times New Roman"/>
          <w:sz w:val="17"/>
          <w:szCs w:val="17"/>
          <w:color w:val="auto"/>
        </w:rPr>
      </w:pPr>
    </w:p>
    <w:p>
      <w:pPr>
        <w:ind w:left="1500" w:right="1140" w:hanging="371"/>
        <w:spacing w:after="0" w:line="255" w:lineRule="auto"/>
        <w:tabs>
          <w:tab w:leader="none" w:pos="15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consist of aggregate fees for tax compliance and tax advice, including the review and preparation of income tax returns for our various jurisdictions.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Policy</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Audit Committee pre-approves all services to be provided by the Company’s independent registered public accounting firm. All services reflected in the fee table above that were provided by Deloitte, Crowe and KMJ, as applicable, were pre-approved by the Audit Committee.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Board of Directors’ Recommendation</w:t>
      </w:r>
    </w:p>
    <w:p>
      <w:pPr>
        <w:spacing w:after="0" w:line="212"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Approval of this proposal requires the affirmative vote of a majority of the votes cast on the proposal at a meeting at which a quorum is present. Abstentions will be counted as present for purposes of determining the presence of a quorum, but are not considered votes for or against this proposal. Accordingly, abstentions and broker non-votes will have no effect on the outcome of this proposal. Broker non-votes are not expected to result from the vote on this proposal.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BOARD OF DIRECTORS RECOMMENDS THAT STOCKHOLDERS VOTE “FOR” THE RATIFICATION OF THE SELECTION OF DELOITTE</w:t>
      </w:r>
    </w:p>
    <w:p>
      <w:pPr>
        <w:spacing w:after="0" w:line="38" w:lineRule="exact"/>
        <w:rPr>
          <w:sz w:val="20"/>
          <w:szCs w:val="20"/>
          <w:color w:val="auto"/>
        </w:rPr>
      </w:pPr>
    </w:p>
    <w:p>
      <w:pPr>
        <w:ind w:left="580" w:hanging="175"/>
        <w:spacing w:after="0"/>
        <w:tabs>
          <w:tab w:leader="none" w:pos="58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TOUCHE LLP AS THE COMPANY’S INDEPENDENT REGISTERED PUBLIC ACCOUNTING FIRM FOR THE FISCAL YEAR ENDING</w:t>
      </w:r>
    </w:p>
    <w:p>
      <w:pPr>
        <w:spacing w:after="0" w:line="6" w:lineRule="exact"/>
        <w:rPr>
          <w:rFonts w:ascii="Times New Roman" w:cs="Times New Roman" w:eastAsia="Times New Roman" w:hAnsi="Times New Roman"/>
          <w:sz w:val="17"/>
          <w:szCs w:val="17"/>
          <w:b w:val="1"/>
          <w:bCs w:val="1"/>
          <w:color w:val="auto"/>
        </w:rPr>
      </w:pPr>
    </w:p>
    <w:p>
      <w:pPr>
        <w:ind w:left="48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DECEMBER 31,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r>
    </w:tbl>
    <w:p>
      <w:pPr>
        <w:sectPr>
          <w:pgSz w:w="11900" w:h="16838" w:orient="portrait"/>
          <w:cols w:equalWidth="0" w:num="1">
            <w:col w:w="11240"/>
          </w:cols>
          <w:pgMar w:left="320" w:top="62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is a description of transactions since January 1, 2025, to which the Company has been a participant and in which any related person had or will have a direct or indirect material interest, as required under Item 404(a) of Regulation S-K.</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Financial Accounting Standards Board (FASB) and SEC rules and regulations. Management advises the Audit Committee and the full Board of Directors on a regular basis of any such transaction that is proposed to be entered into or continued and seeks 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Related Persons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in Surface Ophthalmics, Inc. and Related Agreements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owns 3,500,000 common shares of Surface Ophthalmics, Inc. (“Surface”), representing approximately 20% of Surface’s outstanding equity. The Company accounts for this investment under the equity method of accounting, as management has concluded that the Company has the ability to exercise significant influence over Surface’s operating and financial policies.</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Under the equity method, the Company recognizes its proportionate share of Surface’s net earnings or losses in its consolidated statements of operations and adjusts the carrying amount of its investment accordingly. The Company’s share of earnings or losses is based on its ownership interest in Surface, and intra-entity profits and losses are eliminated.</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During the year ended December 31, 2021, the Company reduced the carrying value of its investment in Surface to zero after recognizing cumulative equity method losses equal to its investment balance of $5,320,000. The Company does not have any contractual commitments to provide additional funding or financial support to Surface and has not guaranteed any obligations of Surface. Accordingly, the Company has not recognized additional losses in excess of its investment balance. As of December 31, 2025 and 2024, the Company’s cumulative share of Surface’s net losses exceeded the carrying value of the investment; however, such unrecognized losses were not material to the Company’s consolidated financial statements. Future equity method income, if any, will be recognized only to the extent it exceeds the cumulative unrecognized losses.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summarizes the Company’s investment in Surface as of 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2"/>
          </w:tcPr>
          <w:p>
            <w:pPr>
              <w:jc w:val="center"/>
              <w:ind w:right="361"/>
              <w:spacing w:after="0"/>
              <w:rPr>
                <w:sz w:val="20"/>
                <w:szCs w:val="20"/>
                <w:color w:val="auto"/>
              </w:rPr>
            </w:pPr>
            <w:r>
              <w:rPr>
                <w:rFonts w:ascii="Times New Roman" w:cs="Times New Roman" w:eastAsia="Times New Roman" w:hAnsi="Times New Roman"/>
                <w:sz w:val="17"/>
                <w:szCs w:val="17"/>
                <w:b w:val="1"/>
                <w:bCs w:val="1"/>
                <w:color w:val="auto"/>
                <w:w w:val="98"/>
              </w:rPr>
              <w:t>Share of Equity Method</w:t>
            </w: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Cost Basis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center"/>
              <w:ind w:right="341"/>
              <w:spacing w:after="0"/>
              <w:rPr>
                <w:sz w:val="20"/>
                <w:szCs w:val="20"/>
                <w:color w:val="auto"/>
              </w:rPr>
            </w:pPr>
            <w:r>
              <w:rPr>
                <w:rFonts w:ascii="Times New Roman" w:cs="Times New Roman" w:eastAsia="Times New Roman" w:hAnsi="Times New Roman"/>
                <w:sz w:val="17"/>
                <w:szCs w:val="17"/>
                <w:b w:val="1"/>
                <w:bCs w:val="1"/>
                <w:color w:val="auto"/>
                <w:w w:val="97"/>
              </w:rPr>
              <w:t>Losses</w:t>
            </w:r>
          </w:p>
        </w:tc>
        <w:tc>
          <w:tcPr>
            <w:tcW w:w="180" w:type="dxa"/>
            <w:vAlign w:val="bottom"/>
          </w:tcPr>
          <w:p>
            <w:pPr>
              <w:spacing w:after="0"/>
              <w:rPr>
                <w:sz w:val="19"/>
                <w:szCs w:val="19"/>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Net Carrying value</w:t>
            </w:r>
          </w:p>
        </w:tc>
      </w:tr>
      <w:tr>
        <w:trPr>
          <w:trHeight w:val="207"/>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5,320,000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(5,320,000</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Mark L. Baum was a director of Surface until 2023 and Adrienne Graves was a director of Surface until 2024. Perry J. Sternberg, director of the Company, is currently a director of Surface.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of Remaining Interests in Melt Pharmaceuticals, Inc.</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September 2025, Harrow entered into an Agreement and Plan of Merger to acquire the remaining equity interests in Melt Pharmaceuticals, Inc. (“Melt”) that it did not already own. The transaction closed on November 17, 2025. At closing, Harrow paid approximately $4.3 million in cash and agreed to provide contingent consideration tied to specified regulatory, reimbursement and commercial milestones for MELT-300, including potential cash payments and an equity issuance if such milestones are achieved on or before December 31, 2035.</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At the time the transaction was approved, Harrow’s Chief Executive Officer, Mark L. Baum, Chief Financial Officer, Andrew R. Boll, and John P. Saharek, former Chief Executive Officer of ImprimisRx, among others, held equity interests in Melt and therefore had indirect interests in the transaction. In connection with the closing of the merger on November 17, 2025, Mr. Baum received approximately $428,000</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Mr. Boll received approximately $204,000 in cash, and Mr. Saharek received approximately $10,000 in cash at closing and became entitled to contingent consideration on the same terms as other Melt equity holders if the applicable milestones are achieved. For that reason, the transaction was reviewed as a related-person transaction under Harrow’s related-person transaction approval procedures. The transaction was reviewed, negotiated and approved by a special committee of the Board composed solely of independent and disinterested directors. Neither the Chief Executive Officer nor the President and Chief Financial Officer participated in the special committee’s approval of the transaction. The special committee determined that the transaction was advisable and in the best interests of Harrow and its stockholders.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r>
    </w:tbl>
    <w:p>
      <w:pPr>
        <w:sectPr>
          <w:pgSz w:w="11900" w:h="16838" w:orient="portrait"/>
          <w:cols w:equalWidth="0" w:num="1">
            <w:col w:w="11240"/>
          </w:cols>
          <w:pgMar w:left="320" w:top="62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annual report or Notice of Internet Availability of Proxy Materials addressed to those stockholders. This process, which is commonly referred to as “householding,” can provide added convenience for stockholders and cost savings for companies.</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This year, a number of brokers with account holders who are the Company’s stockholders will be “householding” our proxy materials. A single copy of the Notice of Internet Availability of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annual report or Notice of Internet Availability of Proxy Materials from us, please notify your broker, direct your written request to Harrow, Inc., c/o Corporate Secretary, 1A Burton Hills Blvd., Suite 200, Nashville, TN 37215 or call Investor Relations at (615) 733-4731,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7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STOCKHOLDER PROPOSALS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Proposals for 2027 Annual Meeting of Stockholders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Pursuant to Rule 14a-8 under the Exchange Act, stockholders may present proper proposals for inclusion in our proxy statement and for consideration at our next annual meeting of stockholders. To be eligible for inclusion in our proxy statement for our 2027 Annual Meeting, a stockholder’s proposal must be received by our Corporate Secretary at our principal executive offices no later than December 25, 2026, unless the date of our 2027 Annual Meeting is more than 30 days before or after the one-year anniversary date of the Annual Meeting, in which case such proposals must be received by the Company a reasonable time before the Company begins to print and send applicable proxy materials to stockholders.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Advance Notice Requirements for the 2027 Annual Meeting of Stockholders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Our Bylaws require advance notice of business to be brought before a stockholders’ meeting, including nominations of persons for election as directors. To be timely, in the case of a stockholder seeking to have a proposal included in the Company’s proxy statement, notice of business must be received by our Corporate Secretary at our principal executive offices not less than 120 days nor more than 180 days prior to the anniversary date of the mailing of the proxy materials for the preceding year’s annual meeting, or between October 26, 2026, and December 25, 2026, for our 2027 Annual Meeting, except if we did not hold an annual meeting the previous year, or if the date of the applicable annual meeting of stockholders has been changed by more than 30 days from the date of the previous year’s annual meeting, then the deadline is a reasonable time before we begin to print and mail our proxy materials to stockholders, and not later than the close of business on the later of (i) the 90th day prior to the scheduled annual meeting or (ii) the 15th day following the day on which public announcement of the date of the annual meeting was first made. If a stockholder is not seeking inclusion of the proposal in the Company’s proxy statement, timely notice of business to be brought before our 2027 Annual Meeting must be received by our Corporate Secretary at our principal executive offices not less than 90 days prior to the date of the annual meeting. Any notice of a stockholder proposal must contain specified information concerning the matters to be brought before such meeting and concerning the stockholder proposing such matters.</w:t>
      </w:r>
    </w:p>
    <w:p>
      <w:pPr>
        <w:spacing w:after="0" w:line="181"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In addition to satisfying the foregoing advance notice requirements under our Bylaws, to comply with the universal proxy rules for the 2027 Annual Meeting, stockholders who intend to solicit proxies in support of director nominees other than the Company’s nominees must provide notice that sets forth the information required by Rule 14a-19 under the Exchange Act no later than March 20, 2027, except if we did not hold an annual meeting the previous year, or if the date of the applicable annual meeting of stockholders has been changed by more than 30 days from the date of the previous year’s annual meeting, then the notice</w:t>
      </w:r>
    </w:p>
    <w:p>
      <w:pPr>
        <w:spacing w:after="0" w:line="5"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7"/>
          <w:szCs w:val="17"/>
          <w:color w:val="auto"/>
        </w:rPr>
        <w:t>must be provided by the later of 60 days prior to the date of the annual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the annual meeting was first made.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r>
    </w:tbl>
    <w:p>
      <w:pPr>
        <w:sectPr>
          <w:pgSz w:w="11900" w:h="16838" w:orient="portrait"/>
          <w:cols w:equalWidth="0" w:num="1">
            <w:col w:w="11240"/>
          </w:cols>
          <w:pgMar w:left="320" w:top="623" w:right="339" w:bottom="1440" w:gutter="0" w:footer="0" w:header="0"/>
        </w:sectPr>
      </w:pPr>
    </w:p>
    <w:bookmarkStart w:id="50" w:name="page51"/>
    <w:bookmarkEnd w:id="50"/>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 copy of our Bylaws may be obtained by written request to the Corporate Secretary at Harrow, Inc., c/o Corporate Secretary, 1A Burton Hills Blvd., Suite 200, Nashville, TN 37215. Our Bylaws are also available by accessing the exhibits to the Annual Report filed with the SEC. If a stockholder does not comply with the requirements of Rule 14a-4(c)(2) under the Exchange Act, and we do comply with such requirements, then we may exercise discretionary voting authority under proxies that we solicit to vote in accordance with our best judgment on any such stockholder proposal or nomination.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 xml:space="preserve">As indicated in the Notice of Internet Availability of Proxy Materials, a copy of this Proxy Statement and the Annual Report has been posted on the website </w:t>
      </w:r>
      <w:r>
        <w:rPr>
          <w:rFonts w:ascii="Times New Roman" w:cs="Times New Roman" w:eastAsia="Times New Roman" w:hAnsi="Times New Roman"/>
          <w:sz w:val="17"/>
          <w:szCs w:val="17"/>
          <w:u w:val="single" w:color="auto"/>
          <w:color w:val="auto"/>
        </w:rPr>
        <w:t>www.proxyvote.com</w:t>
      </w:r>
      <w:r>
        <w:rPr>
          <w:rFonts w:ascii="Times New Roman" w:cs="Times New Roman" w:eastAsia="Times New Roman" w:hAnsi="Times New Roman"/>
          <w:sz w:val="17"/>
          <w:szCs w:val="17"/>
          <w:color w:val="auto"/>
        </w:rPr>
        <w:t>. Upon the written request of any stockholder entitled to vote at the Annual Meeting, we will provide, without charge, additional copies of the Annual Report upon the receipt of a written or oral request by any stockholder.</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 xml:space="preserve">We have elected to provide this Proxy Statement and the Annual Report over the Internet through a “notice and access” model. The Notice of Internet Availability of Proxy Materials provides instructions on how you may access this Proxy Statement and the Annual Report on the Internet at </w:t>
      </w:r>
      <w:r>
        <w:rPr>
          <w:rFonts w:ascii="Times New Roman" w:cs="Times New Roman" w:eastAsia="Times New Roman" w:hAnsi="Times New Roman"/>
          <w:sz w:val="17"/>
          <w:szCs w:val="17"/>
          <w:u w:val="single" w:color="auto"/>
          <w:color w:val="auto"/>
        </w:rPr>
        <w:t>www.proxyvote.com</w:t>
      </w:r>
      <w:r>
        <w:rPr>
          <w:rFonts w:ascii="Times New Roman" w:cs="Times New Roman" w:eastAsia="Times New Roman" w:hAnsi="Times New Roman"/>
          <w:sz w:val="17"/>
          <w:szCs w:val="17"/>
          <w:color w:val="auto"/>
        </w:rPr>
        <w:t xml:space="preserve"> or request a printed copy at no charge. In addition, the Notice of Internet Availability of Proxy Materials provides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2" w:lineRule="exact"/>
        <w:rPr>
          <w:sz w:val="20"/>
          <w:szCs w:val="20"/>
          <w:color w:val="auto"/>
        </w:rPr>
      </w:pPr>
    </w:p>
    <w:p>
      <w:pPr>
        <w:jc w:val="both"/>
        <w:ind w:firstLine="387"/>
        <w:spacing w:after="0" w:line="274" w:lineRule="auto"/>
        <w:rPr>
          <w:sz w:val="20"/>
          <w:szCs w:val="20"/>
          <w:color w:val="auto"/>
        </w:rPr>
      </w:pPr>
      <w:r>
        <w:rPr>
          <w:rFonts w:ascii="Times New Roman" w:cs="Times New Roman" w:eastAsia="Times New Roman" w:hAnsi="Times New Roman"/>
          <w:sz w:val="17"/>
          <w:szCs w:val="17"/>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Mark L. Baum</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 of the Board of Directors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r>
    </w:tbl>
    <w:p>
      <w:pPr>
        <w:sectPr>
          <w:pgSz w:w="11900" w:h="16838" w:orient="portrait"/>
          <w:cols w:equalWidth="0" w:num="1">
            <w:col w:w="11240"/>
          </w:cols>
          <w:pgMar w:left="320" w:top="62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7"/>
          <w:szCs w:val="17"/>
          <w:b w:val="1"/>
          <w:bCs w:val="1"/>
          <w:color w:val="auto"/>
        </w:rPr>
        <w:t>Q&amp;A ABOUT THE PROXY MATERIALS AND ANNUAL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Why am I receiving these materials?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You are receiving these materials because the Board of Directors of Harrow, Inc. is soliciting your proxy to vote your shares at the 2026 Annual Meeting of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When and where is the Annual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Annual Meeting will be held on June 18, 2026, at 8:00 a.m. Central Time, at 1A Burton Hills Blvd., Suite 200, Nashville, Tennessee 37215.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What am I voting 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will be asked to vote on:</w:t>
      </w:r>
    </w:p>
    <w:p>
      <w:pPr>
        <w:spacing w:after="0" w:line="208" w:lineRule="exact"/>
        <w:rPr>
          <w:sz w:val="20"/>
          <w:szCs w:val="20"/>
          <w:color w:val="auto"/>
        </w:rPr>
      </w:pPr>
    </w:p>
    <w:p>
      <w:pPr>
        <w:ind w:left="600" w:hanging="297"/>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the four director nominees named in this Proxy Statement;</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advisory vote to approve the compensation of the Company’s named executive officers;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the selection of Deloitte &amp; Touche LLP as the Company’s independent registered public accounting firm for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Who can vote?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Only stockholders of record at the close of business on April 21, 2026 are entitled to vote at the Annual Meeting. Each share of common stock is entitled to one vote.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Why did I receive a Notice of Internet Availability of Proxy Materials instead of paper copies?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accordance with SEC rules, the Company is furnishing proxy materials to many stockholders over the Internet rather than mailing paper copies. The notice contains instructions on how to access the proxy materials online and request paper copies.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What is the difference between holding shares as a stockholder of record and as a beneficial owner in street name?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your shares are registered directly in your name with the Company’s transfer agent, you are the stockholder of record. If your shares are held in a brokerage account or by a bank or other nominee, you are the beneficial owner of shares held in street name and have the right to direct your broker, bank or other nominee on how to vote your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do I vote, and can I vote in person at the Annual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you are a stockholder of record, you may vote by following the instructions provided in the proxy materials or by voting in person at the Annual Meeting. If your shares are held through a broker, bank or other nominee, you should follow the voting instructions provided by that institution. Street name holders may attend the Annual Meeting, but must obtain a legal proxy from their broker, bank or other nominee to vote their shares in person.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Can I revoke my proxy?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Yes. If you are a stockholder of record, you may revoke your proxy at any time before it is voted by submitting a later-dated proxy, delivering written notice of revocation to the Company’s Corporate Secretary, or voting in person at the Annual Meeting. If your shares are held in street name, you should contact your broker, bank or other nominee for instructions.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What constitutes a quorum?</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 quorum will be present if a majority of the shares entitled to vote are represented at the Annual Meeting, either in person or by proxy. Abstentions and broker non-votes are counted for purposes of determining the presence of a quorum.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What vote is required to approve each proposal, and what effect do abstentions and broker non-votes have?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Proposal 1, the four nominees receiving the highest number of votes cast will be elected. For Proposal 2 and Proposal 3, approval requires the affirmative vote of a majority of the votes cast on the proposal at a meeting at which a quorum is present. Abstentions and broker non-votes will not affect the outcome of any proposal. Proposal 3 is considered a routine matter, and brokers generally may vote uninstructed shares on that proposal; the other proposals are non-routine matters.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Where can I find the proxy materials?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proxy materials are available at </w:t>
      </w:r>
      <w:r>
        <w:rPr>
          <w:rFonts w:ascii="Times New Roman" w:cs="Times New Roman" w:eastAsia="Times New Roman" w:hAnsi="Times New Roman"/>
          <w:sz w:val="17"/>
          <w:szCs w:val="17"/>
          <w:u w:val="single" w:color="auto"/>
          <w:color w:val="auto"/>
        </w:rPr>
        <w:t>www.proxyvote.com</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Who bears the cost of solicitation?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will bear the cost of soliciting proxies, including preparing, assembling, printing and mailing the proxy materials and making them available on the Internet. The Company also may reimburse brokers, banks and other nominees for their reasonable costs in forwarding proxy materials to beneficial owners.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Harrow, Inc. 2026 Proxy Statement</w:t>
            </w:r>
          </w:p>
        </w:tc>
        <w:tc>
          <w:tcPr>
            <w:tcW w:w="4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r>
    </w:tbl>
    <w:p>
      <w:pPr>
        <w:sectPr>
          <w:pgSz w:w="11900" w:h="16838" w:orient="portrait"/>
          <w:cols w:equalWidth="0" w:num="1">
            <w:col w:w="11240"/>
          </w:cols>
          <w:pgMar w:left="320" w:top="623" w:right="339" w:bottom="1440"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141210" cy="8558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558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141210" cy="8478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141210" cy="8462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lowerRoman"/>
      <w:start w:val="9"/>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lowerRoman"/>
      <w:start w:val="2"/>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3"/>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9"/>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amp;"/>
      <w:numFmt w:val="bullet"/>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2026-04-24T15:41:27Z</dcterms:created>
  <dcterms:modified xsi:type="dcterms:W3CDTF">2026-04-24T15:41:27Z</dcterms:modified>
</cp:coreProperties>
</file>