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Principi Anthony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HARROW HEALTH,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HARROW HEALTH,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 WOODMONT BLVD., SUITE 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93,798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17,006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34,091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15,723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15,723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76,535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12,690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89,225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4,573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93,798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-4277995</wp:posOffset>
            </wp:positionV>
            <wp:extent cx="7033895" cy="4320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32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awarded Restricted Stock Units for his service as director of the Company that vested quarterly in equal installments over a one-year periods following the date of grant. The shares underlying such Restricted Stock Units were deferred to the Reporting Person until his resignation from the Company's board of directors.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received as a compensatory award for no consideration.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Anthony Principi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09/30/2020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87" TargetMode="External"/><Relationship Id="rId14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2020-09-30T17:54:24Z</dcterms:created>
  <dcterms:modified xsi:type="dcterms:W3CDTF">2020-09-30T17:54:24Z</dcterms:modified>
</cp:coreProperties>
</file>