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-237490</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360" w:type="dxa"/>
            <w:vAlign w:val="bottom"/>
          </w:tcPr>
          <w:p>
            <w:pPr>
              <w:jc w:val="center"/>
              <w:ind w:right="9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60" w:type="dxa"/>
            <w:vAlign w:val="bottom"/>
            <w:vMerge w:val="restart"/>
          </w:tcPr>
          <w:p>
            <w:pPr>
              <w:jc w:val="center"/>
              <w:ind w:right="94"/>
              <w:spacing w:after="0" w:line="144"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360" w:type="dxa"/>
            <w:vAlign w:val="bottom"/>
            <w:vMerge w:val="restart"/>
          </w:tcPr>
          <w:p>
            <w:pPr>
              <w:jc w:val="center"/>
              <w:ind w:right="94"/>
              <w:spacing w:after="0"/>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5"/>
        </w:trPr>
        <w:tc>
          <w:tcPr>
            <w:tcW w:w="63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3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1"/>
        </w:trPr>
        <w:tc>
          <w:tcPr>
            <w:tcW w:w="63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6360" w:type="dxa"/>
            <w:vAlign w:val="bottom"/>
            <w:vMerge w:val="restart"/>
          </w:tcPr>
          <w:p>
            <w:pPr>
              <w:jc w:val="center"/>
              <w:ind w:right="9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3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5301615</wp:posOffset>
            </wp:positionH>
            <wp:positionV relativeFrom="paragraph">
              <wp:posOffset>-640080</wp:posOffset>
            </wp:positionV>
            <wp:extent cx="59055" cy="6534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3415"/>
                    </a:xfrm>
                    <a:prstGeom prst="rect">
                      <a:avLst/>
                    </a:prstGeom>
                    <a:noFill/>
                  </pic:spPr>
                </pic:pic>
              </a:graphicData>
            </a:graphic>
          </wp:anchor>
        </w:drawing>
        <w:drawing>
          <wp:anchor simplePos="0" relativeHeight="251657728" behindDoc="1" locked="0" layoutInCell="0" allowOverlap="1">
            <wp:simplePos x="0" y="0"/>
            <wp:positionH relativeFrom="column">
              <wp:posOffset>4029075</wp:posOffset>
            </wp:positionH>
            <wp:positionV relativeFrom="paragraph">
              <wp:posOffset>-640080</wp:posOffset>
            </wp:positionV>
            <wp:extent cx="59055" cy="653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341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-1596390</wp:posOffset>
            </wp:positionH>
            <wp:positionV relativeFrom="paragraph">
              <wp:posOffset>23495</wp:posOffset>
            </wp:positionV>
            <wp:extent cx="7045325" cy="49314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325" cy="4931410"/>
                    </a:xfrm>
                    <a:prstGeom prst="rect">
                      <a:avLst/>
                    </a:prstGeom>
                    <a:noFill/>
                  </pic:spPr>
                </pic:pic>
              </a:graphicData>
            </a:graphic>
          </wp:anchor>
        </w:drawing>
      </w:r>
    </w:p>
    <w:p>
      <w:pPr>
        <w:spacing w:after="0" w:line="110" w:lineRule="exact"/>
        <w:rPr>
          <w:sz w:val="24"/>
          <w:szCs w:val="24"/>
          <w:color w:val="auto"/>
        </w:rPr>
      </w:pPr>
    </w:p>
    <w:p>
      <w:pPr>
        <w:sectPr>
          <w:pgSz w:w="11900" w:h="16838" w:orient="portrait"/>
          <w:cols w:equalWidth="0" w:num="2">
            <w:col w:w="2320" w:space="180"/>
            <w:col w:w="8580"/>
          </w:cols>
          <w:pgMar w:left="460" w:top="224" w:right="359" w:bottom="1440" w:gutter="0" w:footer="0" w:header="0"/>
        </w:sectPr>
      </w:pPr>
    </w:p>
    <w:p>
      <w:pPr>
        <w:spacing w:after="0" w:line="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Sparks Teresa</w:t>
        </w:r>
      </w:hyperlink>
    </w:p>
    <w:p>
      <w:pPr>
        <w:spacing w:after="0" w:line="307" w:lineRule="exact"/>
        <w:rPr>
          <w:sz w:val="24"/>
          <w:szCs w:val="24"/>
          <w:color w:val="auto"/>
        </w:rPr>
      </w:pPr>
    </w:p>
    <w:tbl>
      <w:tblPr>
        <w:tblLayout w:type="fixed"/>
        <w:tblInd w:w="80" w:type="dxa"/>
        <w:tblCellMar>
          <w:top w:w="0" w:type="dxa"/>
          <w:left w:w="0" w:type="dxa"/>
          <w:bottom w:w="0" w:type="dxa"/>
          <w:right w:w="0" w:type="dxa"/>
        </w:tblCellMar>
      </w:tblPr>
      <w:tr>
        <w:trPr>
          <w:trHeight w:val="165"/>
        </w:trPr>
        <w:tc>
          <w:tcPr>
            <w:tcW w:w="40" w:type="dxa"/>
            <w:vAlign w:val="bottom"/>
          </w:tcPr>
          <w:p>
            <w:pPr>
              <w:spacing w:after="0"/>
              <w:rPr>
                <w:sz w:val="14"/>
                <w:szCs w:val="1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(Last)</w:t>
            </w:r>
          </w:p>
        </w:tc>
        <w:tc>
          <w:tcPr>
            <w:tcW w:w="1240" w:type="dxa"/>
            <w:vAlign w:val="bottom"/>
          </w:tcPr>
          <w:p>
            <w:pPr>
              <w:ind w:left="120"/>
              <w:spacing w:after="0"/>
              <w:rPr>
                <w:sz w:val="20"/>
                <w:szCs w:val="20"/>
                <w:color w:val="auto"/>
              </w:rPr>
            </w:pPr>
            <w:r>
              <w:rPr>
                <w:rFonts w:ascii="Arial" w:cs="Arial" w:eastAsia="Arial" w:hAnsi="Arial"/>
                <w:sz w:val="13"/>
                <w:szCs w:val="13"/>
                <w:color w:val="auto"/>
              </w:rPr>
              <w:t>(First)</w:t>
            </w:r>
          </w:p>
        </w:tc>
        <w:tc>
          <w:tcPr>
            <w:tcW w:w="1300" w:type="dxa"/>
            <w:vAlign w:val="bottom"/>
          </w:tcPr>
          <w:p>
            <w:pPr>
              <w:ind w:left="120"/>
              <w:spacing w:after="0"/>
              <w:rPr>
                <w:sz w:val="20"/>
                <w:szCs w:val="20"/>
                <w:color w:val="auto"/>
              </w:rPr>
            </w:pPr>
            <w:r>
              <w:rPr>
                <w:rFonts w:ascii="Arial" w:cs="Arial" w:eastAsia="Arial" w:hAnsi="Arial"/>
                <w:sz w:val="13"/>
                <w:szCs w:val="13"/>
                <w:color w:val="auto"/>
              </w:rPr>
              <w:t>(Middle)</w:t>
            </w:r>
          </w:p>
        </w:tc>
      </w:tr>
      <w:tr>
        <w:trPr>
          <w:trHeight w:val="276"/>
        </w:trPr>
        <w:tc>
          <w:tcPr>
            <w:tcW w:w="40" w:type="dxa"/>
            <w:vAlign w:val="bottom"/>
          </w:tcPr>
          <w:p>
            <w:pPr>
              <w:spacing w:after="0"/>
              <w:rPr>
                <w:sz w:val="23"/>
                <w:szCs w:val="23"/>
                <w:color w:val="auto"/>
              </w:rPr>
            </w:pPr>
          </w:p>
        </w:tc>
        <w:tc>
          <w:tcPr>
            <w:tcW w:w="2340" w:type="dxa"/>
            <w:vAlign w:val="bottom"/>
            <w:gridSpan w:val="2"/>
          </w:tcPr>
          <w:p>
            <w:pPr>
              <w:spacing w:after="0"/>
              <w:rPr>
                <w:sz w:val="20"/>
                <w:szCs w:val="20"/>
                <w:color w:val="auto"/>
              </w:rPr>
            </w:pPr>
            <w:r>
              <w:rPr>
                <w:rFonts w:ascii="Arial" w:cs="Arial" w:eastAsia="Arial" w:hAnsi="Arial"/>
                <w:sz w:val="17"/>
                <w:szCs w:val="17"/>
                <w:color w:val="0000FF"/>
              </w:rPr>
              <w:t>C/O HARROW HEALTH, INC.</w:t>
            </w:r>
          </w:p>
        </w:tc>
        <w:tc>
          <w:tcPr>
            <w:tcW w:w="1300" w:type="dxa"/>
            <w:vAlign w:val="bottom"/>
          </w:tcPr>
          <w:p>
            <w:pPr>
              <w:spacing w:after="0"/>
              <w:rPr>
                <w:sz w:val="23"/>
                <w:szCs w:val="23"/>
                <w:color w:val="auto"/>
              </w:rPr>
            </w:pPr>
          </w:p>
        </w:tc>
      </w:tr>
      <w:tr>
        <w:trPr>
          <w:trHeight w:val="264"/>
        </w:trPr>
        <w:tc>
          <w:tcPr>
            <w:tcW w:w="40" w:type="dxa"/>
            <w:vAlign w:val="bottom"/>
          </w:tcPr>
          <w:p>
            <w:pPr>
              <w:spacing w:after="0"/>
              <w:rPr>
                <w:sz w:val="22"/>
                <w:szCs w:val="22"/>
                <w:color w:val="auto"/>
              </w:rPr>
            </w:pPr>
          </w:p>
        </w:tc>
        <w:tc>
          <w:tcPr>
            <w:tcW w:w="3640" w:type="dxa"/>
            <w:vAlign w:val="bottom"/>
            <w:gridSpan w:val="3"/>
          </w:tcPr>
          <w:p>
            <w:pPr>
              <w:spacing w:after="0"/>
              <w:rPr>
                <w:sz w:val="20"/>
                <w:szCs w:val="20"/>
                <w:color w:val="auto"/>
              </w:rPr>
            </w:pPr>
            <w:r>
              <w:rPr>
                <w:rFonts w:ascii="Arial" w:cs="Arial" w:eastAsia="Arial" w:hAnsi="Arial"/>
                <w:sz w:val="17"/>
                <w:szCs w:val="17"/>
                <w:color w:val="0000FF"/>
              </w:rPr>
              <w:t>102 WOODMONT BLVD. SUITE 610</w:t>
            </w:r>
          </w:p>
        </w:tc>
      </w:tr>
      <w:tr>
        <w:trPr>
          <w:trHeight w:val="154"/>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r>
      <w:tr>
        <w:trPr>
          <w:trHeight w:val="262"/>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36"/>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7"/>
                <w:szCs w:val="17"/>
                <w:color w:val="0000FF"/>
              </w:rPr>
              <w:t>NASHVILLE</w:t>
            </w:r>
          </w:p>
        </w:tc>
        <w:tc>
          <w:tcPr>
            <w:tcW w:w="1240" w:type="dxa"/>
            <w:vAlign w:val="bottom"/>
          </w:tcPr>
          <w:p>
            <w:pPr>
              <w:ind w:left="120"/>
              <w:spacing w:after="0"/>
              <w:rPr>
                <w:sz w:val="20"/>
                <w:szCs w:val="20"/>
                <w:color w:val="auto"/>
              </w:rPr>
            </w:pPr>
            <w:r>
              <w:rPr>
                <w:rFonts w:ascii="Arial" w:cs="Arial" w:eastAsia="Arial" w:hAnsi="Arial"/>
                <w:sz w:val="17"/>
                <w:szCs w:val="17"/>
                <w:color w:val="0000FF"/>
              </w:rPr>
              <w:t>TN</w:t>
            </w:r>
          </w:p>
        </w:tc>
        <w:tc>
          <w:tcPr>
            <w:tcW w:w="1300" w:type="dxa"/>
            <w:vAlign w:val="bottom"/>
          </w:tcPr>
          <w:p>
            <w:pPr>
              <w:ind w:left="120"/>
              <w:spacing w:after="0"/>
              <w:rPr>
                <w:sz w:val="20"/>
                <w:szCs w:val="20"/>
                <w:color w:val="auto"/>
              </w:rPr>
            </w:pPr>
            <w:r>
              <w:rPr>
                <w:rFonts w:ascii="Arial" w:cs="Arial" w:eastAsia="Arial" w:hAnsi="Arial"/>
                <w:sz w:val="17"/>
                <w:szCs w:val="17"/>
                <w:color w:val="0000FF"/>
              </w:rPr>
              <w:t>37205</w:t>
            </w:r>
          </w:p>
        </w:tc>
      </w:tr>
      <w:tr>
        <w:trPr>
          <w:trHeight w:val="154"/>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r>
      <w:tr>
        <w:trPr>
          <w:trHeight w:val="302"/>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240" w:type="dxa"/>
            <w:vAlign w:val="bottom"/>
          </w:tcPr>
          <w:p>
            <w:pPr>
              <w:ind w:left="120"/>
              <w:spacing w:after="0"/>
              <w:rPr>
                <w:sz w:val="20"/>
                <w:szCs w:val="20"/>
                <w:color w:val="auto"/>
              </w:rPr>
            </w:pPr>
            <w:r>
              <w:rPr>
                <w:rFonts w:ascii="Arial" w:cs="Arial" w:eastAsia="Arial" w:hAnsi="Arial"/>
                <w:sz w:val="13"/>
                <w:szCs w:val="13"/>
                <w:color w:val="auto"/>
              </w:rPr>
              <w:t>(State)</w:t>
            </w:r>
          </w:p>
        </w:tc>
        <w:tc>
          <w:tcPr>
            <w:tcW w:w="1300" w:type="dxa"/>
            <w:vAlign w:val="bottom"/>
          </w:tcPr>
          <w:p>
            <w:pPr>
              <w:ind w:left="1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08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60" w:type="dxa"/>
            <w:vAlign w:val="bottom"/>
          </w:tcPr>
          <w:p>
            <w:pPr>
              <w:spacing w:after="0"/>
              <w:rPr>
                <w:sz w:val="12"/>
                <w:szCs w:val="12"/>
                <w:color w:val="auto"/>
              </w:rPr>
            </w:pPr>
          </w:p>
        </w:tc>
        <w:tc>
          <w:tcPr>
            <w:tcW w:w="3760" w:type="dxa"/>
            <w:vAlign w:val="bottom"/>
            <w:gridSpan w:val="3"/>
          </w:tcPr>
          <w:p>
            <w:pPr>
              <w:spacing w:after="0" w:line="140" w:lineRule="exact"/>
              <w:rPr>
                <w:rFonts w:ascii="Arial" w:cs="Arial" w:eastAsia="Arial" w:hAnsi="Arial"/>
                <w:sz w:val="16"/>
                <w:szCs w:val="16"/>
                <w:color w:val="0000EE"/>
              </w:rPr>
            </w:pPr>
            <w:hyperlink r:id="rId13">
              <w:r>
                <w:rPr>
                  <w:rFonts w:ascii="Arial" w:cs="Arial" w:eastAsia="Arial" w:hAnsi="Arial"/>
                  <w:sz w:val="16"/>
                  <w:szCs w:val="16"/>
                  <w:color w:val="0000EE"/>
                </w:rPr>
                <w:t xml:space="preserve">HARROW HEALTH,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HROW</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00" w:type="dxa"/>
            <w:vAlign w:val="bottom"/>
            <w:tcBorders>
              <w:bottom w:val="single" w:sz="8" w:color="0000EE"/>
            </w:tcBorders>
          </w:tcPr>
          <w:p>
            <w:pPr>
              <w:spacing w:after="0"/>
              <w:rPr>
                <w:sz w:val="3"/>
                <w:szCs w:val="3"/>
                <w:color w:val="auto"/>
              </w:rPr>
            </w:pPr>
          </w:p>
        </w:tc>
        <w:tc>
          <w:tcPr>
            <w:tcW w:w="1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40" w:type="dxa"/>
            <w:vAlign w:val="bottom"/>
            <w:vMerge w:val="restart"/>
          </w:tcPr>
          <w:p>
            <w:pPr>
              <w:ind w:left="60"/>
              <w:spacing w:after="0" w:line="166"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1"/>
        </w:trPr>
        <w:tc>
          <w:tcPr>
            <w:tcW w:w="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40" w:type="dxa"/>
            <w:vAlign w:val="bottom"/>
          </w:tcPr>
          <w:p>
            <w:pPr>
              <w:ind w:left="38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7"/>
        </w:trPr>
        <w:tc>
          <w:tcPr>
            <w:tcW w:w="2380" w:type="dxa"/>
            <w:vAlign w:val="bottom"/>
            <w:gridSpan w:val="3"/>
          </w:tcPr>
          <w:p>
            <w:pPr>
              <w:ind w:left="60"/>
              <w:spacing w:after="0"/>
              <w:rPr>
                <w:sz w:val="20"/>
                <w:szCs w:val="20"/>
                <w:color w:val="auto"/>
              </w:rPr>
            </w:pPr>
            <w:r>
              <w:rPr>
                <w:rFonts w:ascii="Arial" w:cs="Arial" w:eastAsia="Arial" w:hAnsi="Arial"/>
                <w:sz w:val="17"/>
                <w:szCs w:val="17"/>
                <w:color w:val="0000FF"/>
              </w:rPr>
              <w:t>06/21/2023</w:t>
            </w: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ind w:left="38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6"/>
        </w:trPr>
        <w:tc>
          <w:tcPr>
            <w:tcW w:w="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200" w:type="dxa"/>
            <w:vAlign w:val="bottom"/>
            <w:tcBorders>
              <w:bottom w:val="single" w:sz="8" w:color="2C2C2C"/>
            </w:tcBorders>
          </w:tcPr>
          <w:p>
            <w:pPr>
              <w:spacing w:after="0"/>
              <w:rPr>
                <w:sz w:val="9"/>
                <w:szCs w:val="9"/>
                <w:color w:val="auto"/>
              </w:rPr>
            </w:pPr>
          </w:p>
        </w:tc>
        <w:tc>
          <w:tcPr>
            <w:tcW w:w="14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08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6"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7"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7" w:lineRule="exact"/>
        <w:rPr>
          <w:sz w:val="24"/>
          <w:szCs w:val="24"/>
          <w:color w:val="auto"/>
        </w:rPr>
      </w:pPr>
    </w:p>
    <w:p>
      <w:pPr>
        <w:ind w:left="320" w:right="500"/>
        <w:spacing w:after="0" w:line="24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4" w:lineRule="exact"/>
        <w:rPr>
          <w:sz w:val="24"/>
          <w:szCs w:val="24"/>
          <w:color w:val="auto"/>
        </w:rPr>
      </w:pPr>
    </w:p>
    <w:p>
      <w:pPr>
        <w:sectPr>
          <w:pgSz w:w="11900" w:h="16838" w:orient="portrait"/>
          <w:cols w:equalWidth="0" w:num="2">
            <w:col w:w="3760" w:space="100"/>
            <w:col w:w="7220"/>
          </w:cols>
          <w:pgMar w:left="460" w:top="224"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tcPr>
          <w:p>
            <w:pPr>
              <w:ind w:left="7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3"/>
                <w:szCs w:val="13"/>
                <w:color w:val="auto"/>
              </w:rPr>
            </w:pPr>
          </w:p>
        </w:tc>
        <w:tc>
          <w:tcPr>
            <w:tcW w:w="190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780" w:type="dxa"/>
            <w:vAlign w:val="bottom"/>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520" w:type="dxa"/>
            <w:vAlign w:val="bottom"/>
          </w:tcPr>
          <w:p>
            <w:pPr>
              <w:spacing w:after="0"/>
              <w:rPr>
                <w:sz w:val="11"/>
                <w:szCs w:val="11"/>
                <w:color w:val="auto"/>
              </w:rPr>
            </w:pPr>
          </w:p>
        </w:tc>
        <w:tc>
          <w:tcPr>
            <w:tcW w:w="1780" w:type="dxa"/>
            <w:vAlign w:val="bottom"/>
          </w:tcPr>
          <w:p>
            <w:pPr>
              <w:ind w:left="740"/>
              <w:spacing w:after="0" w:line="132"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5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52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2"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8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5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vMerge w:val="continue"/>
          </w:tcPr>
          <w:p>
            <w:pPr>
              <w:spacing w:after="0"/>
              <w:rPr>
                <w:sz w:val="11"/>
                <w:szCs w:val="11"/>
                <w:color w:val="auto"/>
              </w:rPr>
            </w:pPr>
          </w:p>
        </w:tc>
        <w:tc>
          <w:tcPr>
            <w:tcW w:w="6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52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52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320" w:type="dxa"/>
            <w:vAlign w:val="bottom"/>
          </w:tcPr>
          <w:p>
            <w:pPr>
              <w:spacing w:after="0"/>
              <w:rPr>
                <w:sz w:val="12"/>
                <w:szCs w:val="12"/>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00" w:type="dxa"/>
            <w:vAlign w:val="bottom"/>
          </w:tcPr>
          <w:p>
            <w:pPr>
              <w:spacing w:after="0"/>
              <w:rPr>
                <w:sz w:val="12"/>
                <w:szCs w:val="12"/>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9"/>
              </w:rPr>
              <w:t>Amount of</w:t>
            </w:r>
          </w:p>
        </w:tc>
        <w:tc>
          <w:tcPr>
            <w:tcW w:w="500" w:type="dxa"/>
            <w:vAlign w:val="bottom"/>
          </w:tcPr>
          <w:p>
            <w:pPr>
              <w:spacing w:after="0"/>
              <w:rPr>
                <w:sz w:val="11"/>
                <w:szCs w:val="11"/>
                <w:color w:val="auto"/>
              </w:rPr>
            </w:pPr>
          </w:p>
        </w:tc>
        <w:tc>
          <w:tcPr>
            <w:tcW w:w="7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7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11"/>
                <w:szCs w:val="11"/>
                <w:color w:val="auto"/>
              </w:rPr>
            </w:pPr>
          </w:p>
        </w:tc>
        <w:tc>
          <w:tcPr>
            <w:tcW w:w="7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5"/>
              </w:rPr>
              <w:t>Underlying</w:t>
            </w:r>
          </w:p>
        </w:tc>
        <w:tc>
          <w:tcPr>
            <w:tcW w:w="500" w:type="dxa"/>
            <w:vAlign w:val="bottom"/>
          </w:tcPr>
          <w:p>
            <w:pPr>
              <w:spacing w:after="0"/>
              <w:rPr>
                <w:sz w:val="11"/>
                <w:szCs w:val="11"/>
                <w:color w:val="auto"/>
              </w:rPr>
            </w:pPr>
          </w:p>
        </w:tc>
        <w:tc>
          <w:tcPr>
            <w:tcW w:w="7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line="132"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00" w:type="dxa"/>
            <w:vAlign w:val="bottom"/>
          </w:tcPr>
          <w:p>
            <w:pPr>
              <w:spacing w:after="0" w:line="132"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V</w:t>
            </w: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w:t>
            </w:r>
          </w:p>
        </w:tc>
        <w:tc>
          <w:tcPr>
            <w:tcW w:w="2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500" w:type="dxa"/>
            <w:vAlign w:val="bottom"/>
          </w:tcPr>
          <w:p>
            <w:pPr>
              <w:spacing w:after="0" w:line="132"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vMerge w:val="continue"/>
          </w:tcPr>
          <w:p>
            <w:pPr>
              <w:spacing w:after="0"/>
              <w:rPr>
                <w:sz w:val="14"/>
                <w:szCs w:val="14"/>
                <w:color w:val="auto"/>
              </w:rPr>
            </w:pPr>
          </w:p>
        </w:tc>
        <w:tc>
          <w:tcPr>
            <w:tcW w:w="50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00" w:type="dxa"/>
            <w:vAlign w:val="bottom"/>
          </w:tcPr>
          <w:p>
            <w:pPr>
              <w:ind w:left="60"/>
              <w:spacing w:after="0"/>
              <w:rPr>
                <w:sz w:val="20"/>
                <w:szCs w:val="20"/>
                <w:color w:val="auto"/>
              </w:rPr>
            </w:pPr>
            <w:r>
              <w:rPr>
                <w:rFonts w:ascii="Arial" w:cs="Arial" w:eastAsia="Arial" w:hAnsi="Arial"/>
                <w:sz w:val="13"/>
                <w:szCs w:val="13"/>
                <w:color w:val="0000FF"/>
              </w:rPr>
              <w:t>RSU</w:t>
            </w:r>
            <w:r>
              <w:rPr>
                <w:rFonts w:ascii="Arial" w:cs="Arial" w:eastAsia="Arial" w:hAnsi="Arial"/>
                <w:sz w:val="21"/>
                <w:szCs w:val="21"/>
                <w:color w:val="008000"/>
                <w:vertAlign w:val="superscript"/>
              </w:rPr>
              <w:t>(1)</w:t>
            </w:r>
          </w:p>
        </w:tc>
        <w:tc>
          <w:tcPr>
            <w:tcW w:w="780" w:type="dxa"/>
            <w:vAlign w:val="bottom"/>
          </w:tcPr>
          <w:p>
            <w:pPr>
              <w:ind w:left="3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00" w:type="dxa"/>
            <w:vAlign w:val="bottom"/>
          </w:tcPr>
          <w:p>
            <w:pPr>
              <w:jc w:val="right"/>
              <w:ind w:right="179"/>
              <w:spacing w:after="0"/>
              <w:rPr>
                <w:sz w:val="20"/>
                <w:szCs w:val="20"/>
                <w:color w:val="auto"/>
              </w:rPr>
            </w:pPr>
            <w:r>
              <w:rPr>
                <w:rFonts w:ascii="Arial" w:cs="Arial" w:eastAsia="Arial" w:hAnsi="Arial"/>
                <w:sz w:val="13"/>
                <w:szCs w:val="13"/>
                <w:color w:val="0000FF"/>
              </w:rPr>
              <w:t>06/21/2023</w:t>
            </w:r>
          </w:p>
        </w:tc>
        <w:tc>
          <w:tcPr>
            <w:tcW w:w="1120" w:type="dxa"/>
            <w:vAlign w:val="bottom"/>
          </w:tcPr>
          <w:p>
            <w:pPr>
              <w:spacing w:after="0"/>
              <w:rPr>
                <w:sz w:val="21"/>
                <w:szCs w:val="21"/>
                <w:color w:val="auto"/>
              </w:rPr>
            </w:pPr>
          </w:p>
        </w:tc>
        <w:tc>
          <w:tcPr>
            <w:tcW w:w="460" w:type="dxa"/>
            <w:vAlign w:val="bottom"/>
          </w:tcPr>
          <w:p>
            <w:pPr>
              <w:ind w:left="200"/>
              <w:spacing w:after="0"/>
              <w:rPr>
                <w:sz w:val="20"/>
                <w:szCs w:val="20"/>
                <w:color w:val="auto"/>
              </w:rPr>
            </w:pPr>
            <w:r>
              <w:rPr>
                <w:rFonts w:ascii="Arial" w:cs="Arial" w:eastAsia="Arial" w:hAnsi="Arial"/>
                <w:sz w:val="13"/>
                <w:szCs w:val="13"/>
                <w:color w:val="0000FF"/>
              </w:rPr>
              <w:t>A</w:t>
            </w:r>
          </w:p>
        </w:tc>
        <w:tc>
          <w:tcPr>
            <w:tcW w:w="320" w:type="dxa"/>
            <w:vAlign w:val="bottom"/>
          </w:tcPr>
          <w:p>
            <w:pPr>
              <w:spacing w:after="0"/>
              <w:rPr>
                <w:sz w:val="21"/>
                <w:szCs w:val="21"/>
                <w:color w:val="auto"/>
              </w:rPr>
            </w:pPr>
          </w:p>
        </w:tc>
        <w:tc>
          <w:tcPr>
            <w:tcW w:w="460" w:type="dxa"/>
            <w:vAlign w:val="bottom"/>
          </w:tcPr>
          <w:p>
            <w:pPr>
              <w:ind w:left="60"/>
              <w:spacing w:after="0"/>
              <w:rPr>
                <w:sz w:val="20"/>
                <w:szCs w:val="20"/>
                <w:color w:val="auto"/>
              </w:rPr>
            </w:pPr>
            <w:r>
              <w:rPr>
                <w:rFonts w:ascii="Arial" w:cs="Arial" w:eastAsia="Arial" w:hAnsi="Arial"/>
                <w:sz w:val="13"/>
                <w:szCs w:val="13"/>
                <w:color w:val="0000FF"/>
              </w:rPr>
              <w:t>7,744</w:t>
            </w:r>
          </w:p>
        </w:tc>
        <w:tc>
          <w:tcPr>
            <w:tcW w:w="260" w:type="dxa"/>
            <w:vAlign w:val="bottom"/>
          </w:tcPr>
          <w:p>
            <w:pPr>
              <w:spacing w:after="0"/>
              <w:rPr>
                <w:sz w:val="21"/>
                <w:szCs w:val="21"/>
                <w:color w:val="auto"/>
              </w:rPr>
            </w:pPr>
          </w:p>
        </w:tc>
        <w:tc>
          <w:tcPr>
            <w:tcW w:w="800" w:type="dxa"/>
            <w:vAlign w:val="bottom"/>
          </w:tcPr>
          <w:p>
            <w:pPr>
              <w:ind w:left="340"/>
              <w:spacing w:after="0"/>
              <w:rPr>
                <w:sz w:val="20"/>
                <w:szCs w:val="20"/>
                <w:color w:val="auto"/>
              </w:rPr>
            </w:pPr>
            <w:r>
              <w:rPr>
                <w:rFonts w:ascii="Arial" w:cs="Arial" w:eastAsia="Arial" w:hAnsi="Arial"/>
                <w:sz w:val="11"/>
                <w:szCs w:val="11"/>
                <w:color w:val="008000"/>
              </w:rPr>
              <w:t>(2)</w:t>
            </w:r>
          </w:p>
        </w:tc>
        <w:tc>
          <w:tcPr>
            <w:tcW w:w="720" w:type="dxa"/>
            <w:vAlign w:val="bottom"/>
          </w:tcPr>
          <w:p>
            <w:pPr>
              <w:jc w:val="right"/>
              <w:ind w:right="242"/>
              <w:spacing w:after="0"/>
              <w:rPr>
                <w:sz w:val="20"/>
                <w:szCs w:val="20"/>
                <w:color w:val="auto"/>
              </w:rPr>
            </w:pPr>
            <w:r>
              <w:rPr>
                <w:rFonts w:ascii="Arial" w:cs="Arial" w:eastAsia="Arial" w:hAnsi="Arial"/>
                <w:sz w:val="11"/>
                <w:szCs w:val="11"/>
                <w:color w:val="008000"/>
              </w:rPr>
              <w:t>(2)</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00" w:type="dxa"/>
            <w:vAlign w:val="bottom"/>
          </w:tcPr>
          <w:p>
            <w:pPr>
              <w:ind w:left="40"/>
              <w:spacing w:after="0"/>
              <w:rPr>
                <w:sz w:val="20"/>
                <w:szCs w:val="20"/>
                <w:color w:val="auto"/>
              </w:rPr>
            </w:pPr>
            <w:r>
              <w:rPr>
                <w:rFonts w:ascii="Arial" w:cs="Arial" w:eastAsia="Arial" w:hAnsi="Arial"/>
                <w:sz w:val="17"/>
                <w:szCs w:val="17"/>
                <w:color w:val="0000FF"/>
              </w:rPr>
              <w:t>7,744</w:t>
            </w: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40" w:type="dxa"/>
            <w:vAlign w:val="bottom"/>
          </w:tcPr>
          <w:p>
            <w:pPr>
              <w:ind w:left="320"/>
              <w:spacing w:after="0"/>
              <w:rPr>
                <w:sz w:val="20"/>
                <w:szCs w:val="20"/>
                <w:color w:val="auto"/>
              </w:rPr>
            </w:pPr>
            <w:r>
              <w:rPr>
                <w:rFonts w:ascii="Arial" w:cs="Arial" w:eastAsia="Arial" w:hAnsi="Arial"/>
                <w:sz w:val="13"/>
                <w:szCs w:val="13"/>
                <w:color w:val="0000FF"/>
              </w:rPr>
              <w:t>7,744</w:t>
            </w:r>
          </w:p>
        </w:tc>
        <w:tc>
          <w:tcPr>
            <w:tcW w:w="740" w:type="dxa"/>
            <w:vAlign w:val="bottom"/>
          </w:tcPr>
          <w:p>
            <w:pPr>
              <w:ind w:left="32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5"/>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160"/>
              <w:spacing w:after="0"/>
              <w:rPr>
                <w:sz w:val="20"/>
                <w:szCs w:val="20"/>
                <w:color w:val="auto"/>
              </w:rPr>
            </w:pPr>
            <w:r>
              <w:rPr>
                <w:rFonts w:ascii="Arial" w:cs="Arial" w:eastAsia="Arial" w:hAnsi="Arial"/>
                <w:sz w:val="13"/>
                <w:szCs w:val="13"/>
                <w:color w:val="0000FF"/>
              </w:rPr>
              <w:t>Stock</w:t>
            </w: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180" w:hanging="135"/>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Restricted Stock Units were received as a compensatory award for no consideration.</w:t>
      </w:r>
    </w:p>
    <w:p>
      <w:pPr>
        <w:spacing w:after="0" w:line="48" w:lineRule="exact"/>
        <w:rPr>
          <w:rFonts w:ascii="Arial" w:cs="Arial" w:eastAsia="Arial" w:hAnsi="Arial"/>
          <w:sz w:val="13"/>
          <w:szCs w:val="13"/>
          <w:color w:val="008000"/>
        </w:rPr>
      </w:pPr>
    </w:p>
    <w:p>
      <w:pPr>
        <w:ind w:left="40" w:right="440" w:firstLine="5"/>
        <w:spacing w:after="0" w:line="254" w:lineRule="auto"/>
        <w:tabs>
          <w:tab w:leader="none" w:pos="165"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Award of Restricted Stock Units vests quarterly in equal installments over a one-year period following the date of grant. The shares underlying such Restricted Stock Units will not be delivered to the Reporting Person and may not be transferred or sold until the termination of service.</w:t>
      </w:r>
    </w:p>
    <w:p>
      <w:pPr>
        <w:ind w:left="6580"/>
        <w:spacing w:after="0" w:line="181" w:lineRule="auto"/>
        <w:rPr>
          <w:sz w:val="20"/>
          <w:szCs w:val="20"/>
          <w:color w:val="auto"/>
        </w:rPr>
      </w:pPr>
      <w:r>
        <w:rPr>
          <w:rFonts w:ascii="Arial" w:cs="Arial" w:eastAsia="Arial" w:hAnsi="Arial"/>
          <w:sz w:val="16"/>
          <w:szCs w:val="16"/>
          <w:color w:val="0000FF"/>
        </w:rPr>
        <w:t xml:space="preserve">/s/ Andrew R. Boll Attorney in </w:t>
      </w:r>
      <w:r>
        <w:rPr>
          <w:rFonts w:ascii="Arial" w:cs="Arial" w:eastAsia="Arial" w:hAnsi="Arial"/>
          <w:sz w:val="32"/>
          <w:szCs w:val="32"/>
          <w:color w:val="0000FF"/>
          <w:vertAlign w:val="subscript"/>
        </w:rPr>
        <w:t>06/23/2023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360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3604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Fact for Teresa F. Sparks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-18415</wp:posOffset>
            </wp:positionV>
            <wp:extent cx="10788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7886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-85090</wp:posOffset>
            </wp:positionV>
            <wp:extent cx="4959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5935" cy="8255"/>
                    </a:xfrm>
                    <a:prstGeom prst="rect">
                      <a:avLst/>
                    </a:prstGeom>
                    <a:noFill/>
                  </pic:spPr>
                </pic:pic>
              </a:graphicData>
            </a:graphic>
          </wp:anchor>
        </w:drawing>
      </w:r>
    </w:p>
    <w:p>
      <w:pPr>
        <w:spacing w:after="0" w:line="34"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4"/>
          <w:szCs w:val="24"/>
          <w:color w:val="auto"/>
        </w:rPr>
      </w:pPr>
    </w:p>
    <w:p>
      <w:pPr>
        <w:jc w:val="both"/>
        <w:ind w:left="40" w:right="3420" w:firstLine="5"/>
        <w:spacing w:after="0" w:line="315" w:lineRule="auto"/>
        <w:tabs>
          <w:tab w:leader="none" w:pos="179"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50335" TargetMode="External"/><Relationship Id="rId13"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2023-06-23T15:42:26Z</dcterms:created>
  <dcterms:modified xsi:type="dcterms:W3CDTF">2023-06-23T15:42:26Z</dcterms:modified>
</cp:coreProperties>
</file>