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20,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HROWM</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20, 2023, Harrow Health, Inc. along with its wholly-owned subsidiaries, Harrow IP, LLC and Harrow Eye, LLC (individually and together the “Company”) completed the previously announced acquisition from Novartis Technology, LLC and Novartis Innovative Therapies AG (together, “Novartis”) of the exclusive commercial rights to assets associated with the following ophthalmic products (collectively the “Products”) in the U.S. (the “Acquisition”): ILEVRO® (nepafenac ophthalmic suspension) 0.3%; NEVANAC® (nepafenac ophthalmic suspension) 0.1%; VIGAMOX® (moxifloxacin hydrochloride ophthalmic solution) 0.5%; MAXIDEX® (dexamethasone ophthalmic suspension) 0.1%; and TRIESENCE® (triamcinolone acetonide injectable suspension) 40 mg/ml.</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the Asset Purchase Agreement between the Company and Novartis (the “Purchase Agreement”), the Company made a one-time payment of $130,000,000 at closing, with up to another $45,000,000 due in a milestone payment related to the commercial availability of Triesence. Pursuant to the Purchase Agreement and various ancillary agreements, immediately following the closing and subject to certain conditions, for a period that the Company expects to last approximately six months, and prior to the transfer of the Products’ new drug applications (the “NDAs”) to the Company, Novartis will continue to sell the Products on the Company’s behalf and transfer the net profit from the sale of the Products to the Company. Novartis has agreed to supply certain Products to the Company for a period of time after the NDAs are transferred to the Company and to assist the Company with the transfer of the manufacturing of the Products to other third-party manufacturers, if needed.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funded the initial purchase price payable at closing of the Acquisition with (i) net proceeds of a $59,750,000 borrowing pursuant to the previously announced Loan and Security Agreement entered into with B. Riley Commercial Capital, LLC (the “Senior Secured Loan”) drawn at closing of the Acquisition, (ii) proceeds of recent sales of the Company’s common stock and 11.875% senior unsecured notes due 2027 and (iii) available cash on hand.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On January 23, 2023, the Company issued a press release announcing the closing of the Acquisition. A copy of the press release is attached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to this Current Report on Form 8-K.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to this Current Report on Form 8-K and incorporated herein by reference is the Company’s Unaudited Pro Forma Condensed Consolidated Balance Sheet at September 30, 2022, giving effect to:</w:t>
      </w:r>
    </w:p>
    <w:p>
      <w:pPr>
        <w:spacing w:after="0" w:line="162" w:lineRule="exact"/>
        <w:rPr>
          <w:sz w:val="20"/>
          <w:szCs w:val="20"/>
          <w:color w:val="auto"/>
        </w:rPr>
      </w:pPr>
    </w:p>
    <w:p>
      <w:pPr>
        <w:ind w:left="13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received by the Company in connection with the Company’s sale and divestment of its non-ophthalmology related compounding revenue line and related intangible assets, and the net gain on sale;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shares of the Company’s common stock, after deducting underwriting discounts and commissions, structuring and commitment fees, and estimated offering expenses payable by the Company;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11.875% senior unsecured notes due 2027 (the “Notes”) (including the exercise of the underwriters’ option to purchase additional Notes), after deducting underwriting discounts and commissions, structuring and commitment fees, and estimated offering expenses payable by the Company;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the Senior Secured Loan, after deducting underwriting discounts and commissions, structuring and commitment fees, original issue discount, and estimated offering expenses payable by the Company;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by the Company in connection with closing of the Acquisition, including estimated expenses related to the Acquisition.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Harrow Health Press Release dated January 23, 2023</w:t>
      </w:r>
    </w:p>
    <w:p>
      <w:pPr>
        <w:spacing w:after="0" w:line="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Unaudited Pro Forma Consolidated Balance Sheet</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HARROW HEALTH, INC.</w:t>
            </w:r>
          </w:p>
        </w:tc>
      </w:tr>
      <w:tr>
        <w:trPr>
          <w:trHeight w:val="4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23, 2023</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8"/>
        </w:trPr>
        <w:tc>
          <w:tcPr>
            <w:tcW w:w="3700" w:type="dxa"/>
            <w:vAlign w:val="bottom"/>
          </w:tcPr>
          <w:p>
            <w:pPr>
              <w:spacing w:after="0"/>
              <w:rPr>
                <w:sz w:val="17"/>
                <w:szCs w:val="17"/>
                <w:color w:val="auto"/>
              </w:rPr>
            </w:pPr>
          </w:p>
        </w:tc>
        <w:tc>
          <w:tcPr>
            <w:tcW w:w="2500" w:type="dxa"/>
            <w:vAlign w:val="bottom"/>
          </w:tcPr>
          <w:p>
            <w:pPr>
              <w:ind w:left="19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9"/>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164465</wp:posOffset>
            </wp:positionV>
            <wp:extent cx="1440180"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018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line="225" w:lineRule="auto"/>
        <w:rPr>
          <w:sz w:val="20"/>
          <w:szCs w:val="20"/>
          <w:color w:val="auto"/>
        </w:rPr>
      </w:pPr>
      <w:r>
        <w:rPr>
          <w:rFonts w:ascii="Times New Roman" w:cs="Times New Roman" w:eastAsia="Times New Roman" w:hAnsi="Times New Roman"/>
          <w:sz w:val="17"/>
          <w:szCs w:val="17"/>
          <w:b w:val="1"/>
          <w:bCs w:val="1"/>
          <w:color w:val="auto"/>
        </w:rPr>
        <w:t>Harrow Closes Acquisition of U.S. Rights to ILEVRO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b w:val="1"/>
          <w:bCs w:val="1"/>
          <w:color w:val="auto"/>
        </w:rPr>
        <w:t>, NEVANAC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b w:val="1"/>
          <w:bCs w:val="1"/>
          <w:color w:val="auto"/>
        </w:rPr>
        <w:t>, VIGAMOX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b w:val="1"/>
          <w:bCs w:val="1"/>
          <w:color w:val="auto"/>
        </w:rPr>
        <w:t>, MAXIDEX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b w:val="1"/>
          <w:bCs w:val="1"/>
          <w:color w:val="auto"/>
        </w:rPr>
        <w:t>, and TRIESENCE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b w:val="1"/>
          <w:bCs w:val="1"/>
          <w:color w:val="auto"/>
        </w:rPr>
        <w:t xml:space="preserve"> and Will Begin Receiving Net Profit Payments for Acquired Products</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NASHVILLE, Tenn., January 23, 2023 – Harrow (Nasdaq: HROW), a leading U.S. eyecare pharmaceutical company, today announced the closing of its previously announced acquisition of the exclusive U.S. commercial rights to five branded ophthalmic products: ILEVRO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NEVANAC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VIGAMOX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MAXIDEX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TRIESENCE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an asset purchase agreement, Harrow paid $130 million at closing, with an additional milestone payment due upon the commercial availability of TRIESENCE. Harrow and the seller have entered into an estimated six-month transition period during which the seller will continue to sell the products in the U.S. and transfer all net profits from the products to Harrow. During the transition period, the product NDAs will be transferred to Harrow. Upon the transfer of a product NDA, Harrow will assume control over all U.S. market activities for the subject product.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Harrow expects these products to be immediately financially accretive and reaffirms 2023 guidance of $135 million to $143 million in net revenues and $44 million to $50 million in adjusted EBITDA. Harrow believes that both net revenues and adjusted EBITDA should grow further during 2024 and for at least three to five years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Harrow (Nasdaq: HROW) is a leading U.S. eyecare pharmaceutical company serving ophthalmologists and optometrists by providing FDA-approved branded ophthalmic pharmaceuticals and innovative compounded prescription medicines that are accessible and affordable. Harrow’s mission is to help eyecare professionals protect the gift of sight for their patients. For more information about Harrow, please visit the Investors section of the corporate website, </w:t>
      </w:r>
      <w:r>
        <w:rPr>
          <w:rFonts w:ascii="Times New Roman" w:cs="Times New Roman" w:eastAsia="Times New Roman" w:hAnsi="Times New Roman"/>
          <w:sz w:val="18"/>
          <w:szCs w:val="18"/>
          <w:u w:val="single" w:color="auto"/>
          <w:color w:val="auto"/>
        </w:rPr>
        <w:t>harrow.com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including net revenues and adjusted EBITDA guidance,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the continued impact of the COVID-19 pandemic and any future health epidemics on our financial condition, liquidity and results of operations; our ability to make commercially available our FDA-approved products and compounded formulations and technologies in a timely manner or at all; market acceptance of the Company’s products and challenges related to the marketing of the Company’s products; risks related to our pharmacy operations; our ability to enter into other strategic alliances, including arrangements with pharmacies, physicians and healthcare organizations for the development and distribution of our products;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products; unexpected new data, safety and technical issues; regulatory and market developments impacting compounding pharmacies, outsourcing facilities and the pharmaceutical industry; changes in federal and state laws and related policies; competition; and market conditions. These and additional risks and uncertainties are more fully described in Harrow’s filings with the Securities and Exchange Commission, including its Annual Report on Form 10-K and its Quarterly Reports on Form 10-Q. Such documents may be read free of charge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Company’s results of operations determined in accordance with U.S. generally accepted accounting principles (GAAP),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 a more complete understanding of the Company’s results of operations and the factors and trends affecting its business. However, Adjusted EBITDA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Adjusted EBITDA as net loss attributable to Harrow Health, Inc., excluding the effects of stock-based compensation and expenses, interest, taxes, depreciation, amortization, investment loss, net, gain on forgiveness of debt, and, if any and when specified, other non-recurring income or expense items. Management believes that the most directly comparable GAAP financial measure to Adjusted EBITDA is net loss attributable to Harrow Health, Inc. The Company is not able to provide a reconciliation of projected Adjusted EBITDA to expected results due to the unknown effect, timing and potential significance of transaction-related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392"/>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Investors</w:t>
            </w:r>
          </w:p>
        </w:tc>
        <w:tc>
          <w:tcPr>
            <w:tcW w:w="384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Media</w:t>
            </w:r>
          </w:p>
        </w:tc>
        <w:tc>
          <w:tcPr>
            <w:tcW w:w="5000" w:type="dxa"/>
            <w:vAlign w:val="bottom"/>
            <w:gridSpan w:val="2"/>
          </w:tcPr>
          <w:p>
            <w:pPr>
              <w:spacing w:after="0"/>
              <w:rPr>
                <w:sz w:val="24"/>
                <w:szCs w:val="24"/>
                <w:color w:val="auto"/>
              </w:rPr>
            </w:pPr>
          </w:p>
        </w:tc>
      </w:tr>
      <w:tr>
        <w:trPr>
          <w:trHeight w:val="218"/>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Jamie Webb</w:t>
            </w:r>
          </w:p>
        </w:tc>
        <w:tc>
          <w:tcPr>
            <w:tcW w:w="6680" w:type="dxa"/>
            <w:vAlign w:val="bottom"/>
            <w:gridSpan w:val="4"/>
          </w:tcPr>
          <w:p>
            <w:pPr>
              <w:ind w:left="1180"/>
              <w:spacing w:after="0"/>
              <w:rPr>
                <w:sz w:val="20"/>
                <w:szCs w:val="20"/>
                <w:color w:val="auto"/>
              </w:rPr>
            </w:pPr>
            <w:r>
              <w:rPr>
                <w:rFonts w:ascii="Times New Roman" w:cs="Times New Roman" w:eastAsia="Times New Roman" w:hAnsi="Times New Roman"/>
                <w:sz w:val="18"/>
                <w:szCs w:val="18"/>
                <w:color w:val="auto"/>
              </w:rPr>
              <w:t>Deb Holliday</w:t>
            </w: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of Communications and Investor Relations</w:t>
            </w:r>
          </w:p>
        </w:tc>
        <w:tc>
          <w:tcPr>
            <w:tcW w:w="6680" w:type="dxa"/>
            <w:vAlign w:val="bottom"/>
            <w:gridSpan w:val="4"/>
          </w:tcPr>
          <w:p>
            <w:pPr>
              <w:ind w:left="1180"/>
              <w:spacing w:after="0"/>
              <w:rPr>
                <w:sz w:val="20"/>
                <w:szCs w:val="20"/>
                <w:color w:val="auto"/>
              </w:rPr>
            </w:pPr>
            <w:r>
              <w:rPr>
                <w:rFonts w:ascii="Times New Roman" w:cs="Times New Roman" w:eastAsia="Times New Roman" w:hAnsi="Times New Roman"/>
                <w:sz w:val="18"/>
                <w:szCs w:val="18"/>
                <w:color w:val="auto"/>
              </w:rPr>
              <w:t>Holliday Communications, Inc.</w:t>
            </w:r>
          </w:p>
        </w:tc>
      </w:tr>
      <w:tr>
        <w:trPr>
          <w:trHeight w:val="194"/>
        </w:trPr>
        <w:tc>
          <w:tcPr>
            <w:tcW w:w="170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jwebb@harrowinc.com</w:t>
            </w:r>
          </w:p>
        </w:tc>
        <w:tc>
          <w:tcPr>
            <w:tcW w:w="2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8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deb@hollidaycommunications.net</w:t>
            </w:r>
          </w:p>
        </w:tc>
        <w:tc>
          <w:tcPr>
            <w:tcW w:w="3020" w:type="dxa"/>
            <w:vAlign w:val="bottom"/>
          </w:tcPr>
          <w:p>
            <w:pPr>
              <w:spacing w:after="0"/>
              <w:rPr>
                <w:sz w:val="16"/>
                <w:szCs w:val="16"/>
                <w:color w:val="auto"/>
              </w:rPr>
            </w:pPr>
          </w:p>
        </w:tc>
      </w:tr>
      <w:tr>
        <w:trPr>
          <w:trHeight w:val="237"/>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615-733-4737</w:t>
            </w:r>
          </w:p>
        </w:tc>
        <w:tc>
          <w:tcPr>
            <w:tcW w:w="2860" w:type="dxa"/>
            <w:vAlign w:val="bottom"/>
          </w:tcPr>
          <w:p>
            <w:pPr>
              <w:spacing w:after="0"/>
              <w:rPr>
                <w:sz w:val="20"/>
                <w:szCs w:val="20"/>
                <w:color w:val="auto"/>
              </w:rPr>
            </w:pPr>
          </w:p>
        </w:tc>
        <w:tc>
          <w:tcPr>
            <w:tcW w:w="36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412-877-4519</w:t>
            </w:r>
          </w:p>
        </w:tc>
        <w:tc>
          <w:tcPr>
            <w:tcW w:w="302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68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-END-</w:t>
            </w:r>
          </w:p>
        </w:tc>
      </w:tr>
      <w:tr>
        <w:trPr>
          <w:trHeight w:val="439"/>
        </w:trPr>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ind w:left="101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accompanying unaudited pro forma condensed consolidated balance sheet for Harrow Health, Inc. and subsidiaries (the “Company”) as of September 30, 2022 gives effect to the following transactions:</w:t>
      </w:r>
    </w:p>
    <w:p>
      <w:pPr>
        <w:spacing w:after="0" w:line="189"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received by the Company in connection with the Company’s sale and divestment of its non-ophthalmology related compounding revenue line and related intangible assets, and the net gain on sale;</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2,376,426 shares of the Company’s common stock, at a price of $10.52 per share, after deducting underwriting discounts and commissions, structuring and commitment fees, and estimated offering expenses payable by the Company;</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$40,250,000 aggregate principal amount of 11.875% senior unsecured notes due 2027, after deducting underwriting discounts and commissions, structuring and commitment fees, and estimated offering expenses payable by the Company;</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$59,750,000 from a Senior Secured Loan facility, after deducting underwriting discounts and commissions, structuring and commitment fees, original issue discount and estimated offering expenses payable by the Company;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paid by the Company to Novartis Technology, LLC (“Novartis”) for the exclusive commercial rights to assets associated with the following ophthalmic products in the U.S. (the “Acquisition”): ILEVRO® (nepafenac ophthalmic suspension) 0.3%; NEVANAC® (nepafenac ophthalmic suspension) 0.1%; VIGAMOX® (moxifloxacin hydrochloride ophthalmic solution) 0.5%; MAXIDEX® (dexamethasone ophthalmic suspension) 0.1%; and TRIESENCE® (triamcinolone acetonide injectable suspension) 40 mg/ml (the “Products”), and estimated expenses related to the Acquisition.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pro forma condensed consolidated balance sheet reflects the transactions described above as if such events occurred on September 30,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has been prepared under U.S. GAAP. The adjustments necessary to fairly present the unaudited pro forma condensed consolidated balance sheet have been made based on available information and in the opinion of management are reasonable. Assumptions underlying the pro forma adjustments are described in the accompanying notes, which should be read in conjunction with this unaudited pro forma condensed consolidated balance sheet.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is for illustrative purposes only and does not purport to represent what our financial position would have been had the events noted above in fact occurred on the assumed date. Accordingly, the unaudited pro forma condensed consolidated balance sheet should not be used to project our financial position on any future date.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should be read in conjunction with the accompanying notes and the consolidated financial statements and notes thereto of the Company included in our filings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Historical</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Pro Forma</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September 30,</w:t>
            </w:r>
          </w:p>
        </w:tc>
        <w:tc>
          <w:tcPr>
            <w:tcW w:w="180" w:type="dxa"/>
            <w:vAlign w:val="bottom"/>
          </w:tcPr>
          <w:p>
            <w:pPr>
              <w:spacing w:after="0"/>
              <w:rPr>
                <w:sz w:val="19"/>
                <w:szCs w:val="19"/>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Pro Forma</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September 30,</w:t>
            </w: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2022</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Adjustments</w:t>
            </w:r>
          </w:p>
        </w:tc>
        <w:tc>
          <w:tcPr>
            <w:tcW w:w="17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44,959,000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(9,554,000)</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(a) (b) (c) (d) (e)</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35,405,000</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Eton Pharmaceuticals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4,162,000</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4,162,000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6,743,000</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6,743,000</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5,283,000</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5,283,000</w:t>
            </w:r>
          </w:p>
        </w:tc>
        <w:tc>
          <w:tcPr>
            <w:tcW w:w="0" w:type="dxa"/>
            <w:vAlign w:val="bottom"/>
          </w:tcPr>
          <w:p>
            <w:pPr>
              <w:spacing w:after="0"/>
              <w:rPr>
                <w:sz w:val="1"/>
                <w:szCs w:val="1"/>
                <w:color w:val="auto"/>
              </w:rPr>
            </w:pPr>
          </w:p>
        </w:tc>
      </w:tr>
      <w:tr>
        <w:trPr>
          <w:trHeight w:val="23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2,927,000</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2,927,000</w:t>
            </w:r>
          </w:p>
        </w:tc>
        <w:tc>
          <w:tcPr>
            <w:tcW w:w="0" w:type="dxa"/>
            <w:vAlign w:val="bottom"/>
          </w:tcPr>
          <w:p>
            <w:pPr>
              <w:spacing w:after="0"/>
              <w:rPr>
                <w:sz w:val="1"/>
                <w:szCs w:val="1"/>
                <w:color w:val="auto"/>
              </w:rPr>
            </w:pPr>
          </w:p>
        </w:tc>
      </w:tr>
      <w:tr>
        <w:trPr>
          <w:trHeight w:val="203"/>
        </w:trPr>
        <w:tc>
          <w:tcPr>
            <w:tcW w:w="406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64,074,000</w:t>
            </w: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(9,554,000)</w:t>
            </w:r>
          </w:p>
        </w:tc>
        <w:tc>
          <w:tcPr>
            <w:tcW w:w="32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54,520,000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3,291,000</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3,291,000</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costs,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1,878,000</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1,878,000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7,688,000</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7,688,000</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19,632,000</w:t>
            </w:r>
          </w:p>
        </w:tc>
        <w:tc>
          <w:tcPr>
            <w:tcW w:w="1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129,814,000</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(a) (e)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149,446,000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Melt Pharmaceuticals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2,097,000</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2,097,000</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332,000</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332,000</w:t>
            </w: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98,992,000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120,260,000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219,252,000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14,112,000</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14,112,000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3,441,000</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3,441,000</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115,000</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115,000</w:t>
            </w:r>
          </w:p>
        </w:tc>
        <w:tc>
          <w:tcPr>
            <w:tcW w:w="0" w:type="dxa"/>
            <w:vAlign w:val="bottom"/>
          </w:tcPr>
          <w:p>
            <w:pPr>
              <w:spacing w:after="0"/>
              <w:rPr>
                <w:sz w:val="1"/>
                <w:szCs w:val="1"/>
                <w:color w:val="auto"/>
              </w:rPr>
            </w:pPr>
          </w:p>
        </w:tc>
      </w:tr>
      <w:tr>
        <w:trPr>
          <w:trHeight w:val="198"/>
        </w:trPr>
        <w:tc>
          <w:tcPr>
            <w:tcW w:w="40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Current portion of loans payable, net of</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discount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5,557,000</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(d)</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5,557,000</w:t>
            </w:r>
          </w:p>
        </w:tc>
        <w:tc>
          <w:tcPr>
            <w:tcW w:w="0" w:type="dxa"/>
            <w:vAlign w:val="bottom"/>
          </w:tcPr>
          <w:p>
            <w:pPr>
              <w:spacing w:after="0"/>
              <w:rPr>
                <w:sz w:val="1"/>
                <w:szCs w:val="1"/>
                <w:color w:val="auto"/>
              </w:rPr>
            </w:pPr>
          </w:p>
        </w:tc>
      </w:tr>
      <w:tr>
        <w:trPr>
          <w:trHeight w:val="22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703,000</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703,000</w:t>
            </w: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18,371,000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5,557,000</w:t>
            </w:r>
          </w:p>
        </w:tc>
        <w:tc>
          <w:tcPr>
            <w:tcW w:w="3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7,520,000</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7,520,000</w:t>
            </w:r>
          </w:p>
        </w:tc>
        <w:tc>
          <w:tcPr>
            <w:tcW w:w="0" w:type="dxa"/>
            <w:vAlign w:val="bottom"/>
          </w:tcPr>
          <w:p>
            <w:pPr>
              <w:spacing w:after="0"/>
              <w:rPr>
                <w:sz w:val="1"/>
                <w:szCs w:val="1"/>
                <w:color w:val="auto"/>
              </w:rPr>
            </w:pPr>
          </w:p>
        </w:tc>
      </w:tr>
      <w:tr>
        <w:trPr>
          <w:trHeight w:val="198"/>
        </w:trPr>
        <w:tc>
          <w:tcPr>
            <w:tcW w:w="4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Loans payable, net of current portion and unamortized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72,239,000</w:t>
            </w:r>
          </w:p>
        </w:tc>
        <w:tc>
          <w:tcPr>
            <w:tcW w:w="180" w:type="dxa"/>
            <w:vAlign w:val="bottom"/>
            <w:shd w:val="clear" w:color="auto" w:fill="CCEEFF"/>
          </w:tcPr>
          <w:p>
            <w:pPr>
              <w:spacing w:after="0"/>
              <w:rPr>
                <w:sz w:val="17"/>
                <w:szCs w:val="17"/>
                <w:color w:val="auto"/>
              </w:rPr>
            </w:pPr>
          </w:p>
        </w:tc>
        <w:tc>
          <w:tcPr>
            <w:tcW w:w="16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86,789,000</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159,028,000</w:t>
            </w:r>
          </w:p>
        </w:tc>
        <w:tc>
          <w:tcPr>
            <w:tcW w:w="0" w:type="dxa"/>
            <w:vAlign w:val="bottom"/>
          </w:tcPr>
          <w:p>
            <w:pPr>
              <w:spacing w:after="0"/>
              <w:rPr>
                <w:sz w:val="1"/>
                <w:szCs w:val="1"/>
                <w:color w:val="auto"/>
              </w:rPr>
            </w:pPr>
          </w:p>
        </w:tc>
      </w:tr>
      <w:tr>
        <w:trPr>
          <w:trHeight w:val="24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vMerge w:val="continue"/>
            <w:shd w:val="clear" w:color="auto" w:fill="CCEEFF"/>
          </w:tcPr>
          <w:p>
            <w:pPr>
              <w:spacing w:after="0"/>
              <w:rPr>
                <w:sz w:val="20"/>
                <w:szCs w:val="20"/>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(c) (d)</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6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98,130,000</w:t>
            </w: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92,346,000</w:t>
            </w:r>
          </w:p>
        </w:tc>
        <w:tc>
          <w:tcPr>
            <w:tcW w:w="32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190,476,000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authorized, 27,074,307 issued and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actual; 29,450,733 shares issued and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pro forma</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27,000</w:t>
            </w: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29,000</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111,738,000</w:t>
            </w:r>
          </w:p>
        </w:tc>
        <w:tc>
          <w:tcPr>
            <w:tcW w:w="1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22,598,000</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134,336,000</w:t>
            </w:r>
          </w:p>
        </w:tc>
        <w:tc>
          <w:tcPr>
            <w:tcW w:w="0" w:type="dxa"/>
            <w:vAlign w:val="bottom"/>
          </w:tcPr>
          <w:p>
            <w:pPr>
              <w:spacing w:after="0"/>
              <w:rPr>
                <w:sz w:val="1"/>
                <w:szCs w:val="1"/>
                <w:color w:val="auto"/>
              </w:rPr>
            </w:pPr>
          </w:p>
        </w:tc>
      </w:tr>
      <w:tr>
        <w:trPr>
          <w:trHeight w:val="23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(110,548,000)</w:t>
            </w: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5,314,000</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(a)</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(105,234,000)</w:t>
            </w:r>
          </w:p>
        </w:tc>
        <w:tc>
          <w:tcPr>
            <w:tcW w:w="0" w:type="dxa"/>
            <w:vAlign w:val="bottom"/>
          </w:tcPr>
          <w:p>
            <w:pPr>
              <w:spacing w:after="0"/>
              <w:rPr>
                <w:sz w:val="1"/>
                <w:szCs w:val="1"/>
                <w:color w:val="auto"/>
              </w:rPr>
            </w:pPr>
          </w:p>
        </w:tc>
      </w:tr>
      <w:tr>
        <w:trPr>
          <w:trHeight w:val="171"/>
        </w:trPr>
        <w:tc>
          <w:tcPr>
            <w:tcW w:w="4060" w:type="dxa"/>
            <w:vAlign w:val="bottom"/>
            <w:tcBorders>
              <w:top w:val="single" w:sz="8" w:color="CCEEFF"/>
            </w:tcBorders>
          </w:tcPr>
          <w:p>
            <w:pPr>
              <w:ind w:left="360"/>
              <w:spacing w:after="0" w:line="171" w:lineRule="exact"/>
              <w:rPr>
                <w:sz w:val="20"/>
                <w:szCs w:val="20"/>
                <w:color w:val="auto"/>
              </w:rPr>
            </w:pPr>
            <w:r>
              <w:rPr>
                <w:rFonts w:ascii="Times New Roman" w:cs="Times New Roman" w:eastAsia="Times New Roman" w:hAnsi="Times New Roman"/>
                <w:sz w:val="18"/>
                <w:szCs w:val="18"/>
                <w:color w:val="auto"/>
              </w:rPr>
              <w:t>TOTAL HARROW HEALTH</w:t>
            </w: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1,217,000</w:t>
            </w:r>
          </w:p>
        </w:tc>
        <w:tc>
          <w:tcPr>
            <w:tcW w:w="1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27,914,000</w:t>
            </w: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29,131,000</w:t>
            </w:r>
          </w:p>
        </w:tc>
        <w:tc>
          <w:tcPr>
            <w:tcW w:w="0" w:type="dxa"/>
            <w:vAlign w:val="bottom"/>
          </w:tcPr>
          <w:p>
            <w:pPr>
              <w:spacing w:after="0"/>
              <w:rPr>
                <w:sz w:val="1"/>
                <w:szCs w:val="1"/>
                <w:color w:val="auto"/>
              </w:rPr>
            </w:pPr>
          </w:p>
        </w:tc>
      </w:tr>
      <w:tr>
        <w:trPr>
          <w:trHeight w:val="23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(355,000)</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(355,000)</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862,000</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27,914,000</w:t>
            </w:r>
          </w:p>
        </w:tc>
        <w:tc>
          <w:tcPr>
            <w:tcW w:w="320" w:type="dxa"/>
            <w:vAlign w:val="bottom"/>
            <w:tcBorders>
              <w:top w:val="single" w:sz="8" w:color="CCEEFF"/>
              <w:bottom w:val="single" w:sz="8" w:color="CCEEFF"/>
            </w:tcBorders>
          </w:tcPr>
          <w:p>
            <w:pPr>
              <w:spacing w:after="0"/>
              <w:rPr>
                <w:sz w:val="18"/>
                <w:szCs w:val="18"/>
                <w:color w:val="auto"/>
              </w:rPr>
            </w:pPr>
          </w:p>
        </w:tc>
        <w:tc>
          <w:tcPr>
            <w:tcW w:w="15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28,776,000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06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TOTAL LIABILITIES AND</w:t>
            </w: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98,992,000</w:t>
            </w:r>
          </w:p>
        </w:tc>
        <w:tc>
          <w:tcPr>
            <w:tcW w:w="180" w:type="dxa"/>
            <w:vAlign w:val="bottom"/>
            <w:shd w:val="clear" w:color="auto" w:fill="CCEEFF"/>
          </w:tcPr>
          <w:p>
            <w:pPr>
              <w:spacing w:after="0"/>
              <w:rPr>
                <w:sz w:val="16"/>
                <w:szCs w:val="16"/>
                <w:color w:val="auto"/>
              </w:rPr>
            </w:pPr>
          </w:p>
        </w:tc>
        <w:tc>
          <w:tcPr>
            <w:tcW w:w="16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120,260,000</w:t>
            </w:r>
          </w:p>
        </w:tc>
        <w:tc>
          <w:tcPr>
            <w:tcW w:w="1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219,252,000</w:t>
            </w: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gridSpan w:val="2"/>
            <w:vMerge w:val="continue"/>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CONSOLIDATED BALANCE SHEET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as of September 30, 2022 is based on the historical consolidated balance sheet of Harrow Health, Inc. and subsidiaries as of September 30, 2022, after giving effect to:</w:t>
      </w:r>
    </w:p>
    <w:p>
      <w:pPr>
        <w:spacing w:after="0" w:line="162" w:lineRule="exact"/>
        <w:rPr>
          <w:sz w:val="20"/>
          <w:szCs w:val="20"/>
          <w:color w:val="auto"/>
        </w:rPr>
      </w:pPr>
    </w:p>
    <w:p>
      <w:pPr>
        <w:ind w:left="980" w:hanging="648"/>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received by the Company in connection with the Company’s sale and divestment of its non-ophthalmology related compounding revenue line and related intangible assets, and the net gain on sale, which sale and divestment occurred in October 2022;</w:t>
      </w:r>
    </w:p>
    <w:p>
      <w:pPr>
        <w:spacing w:after="0" w:line="16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received from the sale of 2,376,426 shares of the Company’s common stock, at a price of $10.52 per share, after deducting underwriting discounts and commissions, structuring and commitment fees, and estimated offering expenses payable by the Company, which sale closed on December 16, 2022;</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$40,250,000 aggregate principal amount of 11.875% senior unsecured notes due 2027, after deducting underwriting discounts and commissions, structuring and commitment fees, and estimated offering expenses payable by the Company, which sale closed in December 2022 and January 2023;</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a $59,750,000 borrowing pursuant to a Senior Secured Loan facility drawn at closing of the Acquisition, after deducting underwriting discounts and commissions, structuring and commitment fees, original issue discount, and estimated offering expenses payable by the Company; and</w:t>
      </w:r>
    </w:p>
    <w:p>
      <w:pPr>
        <w:spacing w:after="0" w:line="17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paid by the Company to Novartis for the Products and estimated expenses related to the Acquisition.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described in (i) through (v) above are referred to herein collectively as the “Recent Transactions.”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assumptions and estimates have been made in determining the costs and net proceeds from the Recent Transactions in the unaudited pro forma condensed consolidated balance sheet. These preliminary estimates and assumptions are subject to change as the Company finalizes the calculations related to the Recent Transactions. These changes could result in material variances between the Company’s future consolidated financial position and the amounts presented in the unaudited pro forma condensed consolidated balance sheet, including variances in values recorded, as well as expenses and cash flows associated with these items.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Period Presented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as of September 30, 2022 is presented as if the Recent Transactions occurred on September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PRO FORMA AND RECLASSIFICATION ADJUSTMENTS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 forma adjustments are made to reflect the estimated amounts related to the Recent Transactions. The following describes the pro forma adjustments related to the Recent Transactions made in the accompanying unaudited pro forma condensed consolidated balance sheet as of September 30, 2022, giving effect to the Recent Transactions as if they had occurred on September 30, 2022:</w:t>
      </w:r>
    </w:p>
    <w:p>
      <w:pPr>
        <w:spacing w:after="0" w:line="176" w:lineRule="exact"/>
        <w:rPr>
          <w:sz w:val="20"/>
          <w:szCs w:val="20"/>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cash received ($6,000,000) by the Company in connection with the Company’s sale and divestment of its non-ophthalmology related compounding revenue line and the adjustment to remove the unamortized balance of the related intangible assets ($686,000) resulting in a net gain of $5,314,000;</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net proceeds ($22,600,000) from the sale of 2,376,426 shares of the Company’s common stock, at a price of $10.52 per share, after deducting underwriting discounts and commissions, structuring and commitment fees, and estimated offering expenses payable by the Company ($2,400,000);</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net proceeds ($36,779,000) from the sale of $40,250,000 aggregate principal amount of 11.875% senior unsecured notes due 2027, after deducting underwriting discounts and commissions, structuring and commitment fees, and estimated offering expenses payable by the Company ($3,471,000);</w:t>
      </w:r>
    </w:p>
    <w:p>
      <w:pPr>
        <w:spacing w:after="0" w:line="17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net proceeds ($55,567,000) from a $59,750,000 draw on a Senior Secured Loan facility, after deducting underwriting discounts and commissions, structuring and commitment fees, original issue discount and estimated offering expenses payable by the Company ($4,183,000), with a current portion, net of unamortized discounts, of $5,557,000;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cash paid ($130,000,000) by the Company to Novartis for the Acquisition of the Products, and estimated expenses related to the Acquisition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2023-01-23T06:22:00Z</dcterms:created>
  <dcterms:modified xsi:type="dcterms:W3CDTF">2023-01-23T06:22:00Z</dcterms:modified>
</cp:coreProperties>
</file>