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August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40" w:hanging="8"/>
        <w:spacing w:after="0" w:line="530" w:lineRule="auto"/>
        <w:tabs>
          <w:tab w:leader="none" w:pos="490" w:val="left"/>
        </w:tabs>
        <w:numPr>
          <w:ilvl w:val="1"/>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480" w:hanging="148"/>
        <w:spacing w:after="0"/>
        <w:tabs>
          <w:tab w:leader="none" w:pos="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2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574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480" w:hanging="294"/>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1"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ind w:left="180" w:right="10480" w:firstLine="301"/>
        <w:spacing w:after="0" w:line="266" w:lineRule="auto"/>
        <w:tabs>
          <w:tab w:leader="none" w:pos="71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48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480" w:hanging="294"/>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9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380" w:type="dxa"/>
            <w:vAlign w:val="bottom"/>
          </w:tcPr>
          <w:p>
            <w:pPr>
              <w:spacing w:after="0"/>
              <w:rPr>
                <w:sz w:val="10"/>
                <w:szCs w:val="10"/>
                <w:color w:val="auto"/>
              </w:rPr>
            </w:pPr>
          </w:p>
        </w:tc>
        <w:tc>
          <w:tcPr>
            <w:tcW w:w="9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121"/>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8"/>
              </w:rPr>
              <w:t>OWNED</w:t>
            </w:r>
          </w:p>
        </w:tc>
        <w:tc>
          <w:tcPr>
            <w:tcW w:w="380" w:type="dxa"/>
            <w:vAlign w:val="bottom"/>
            <w:tcBorders>
              <w:bottom w:val="single" w:sz="8" w:color="auto"/>
            </w:tcBorders>
            <w:vMerge w:val="continue"/>
          </w:tcPr>
          <w:p>
            <w:pPr>
              <w:spacing w:after="0"/>
              <w:rPr>
                <w:sz w:val="10"/>
                <w:szCs w:val="10"/>
                <w:color w:val="auto"/>
              </w:rPr>
            </w:pPr>
          </w:p>
        </w:tc>
        <w:tc>
          <w:tcPr>
            <w:tcW w:w="9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3"/>
                <w:szCs w:val="13"/>
                <w:color w:val="auto"/>
              </w:rPr>
            </w:pPr>
          </w:p>
        </w:tc>
        <w:tc>
          <w:tcPr>
            <w:tcW w:w="9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PERSON WITH:</w:t>
            </w:r>
          </w:p>
        </w:tc>
        <w:tc>
          <w:tcPr>
            <w:tcW w:w="380" w:type="dxa"/>
            <w:vAlign w:val="bottom"/>
            <w:tcBorders>
              <w:bottom w:val="single" w:sz="8" w:color="auto"/>
            </w:tcBorders>
            <w:vMerge w:val="continue"/>
          </w:tcPr>
          <w:p>
            <w:pPr>
              <w:spacing w:after="0"/>
              <w:rPr>
                <w:sz w:val="12"/>
                <w:szCs w:val="12"/>
                <w:color w:val="auto"/>
              </w:rPr>
            </w:pPr>
          </w:p>
        </w:tc>
        <w:tc>
          <w:tcPr>
            <w:tcW w:w="9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60" w:hanging="305"/>
        <w:spacing w:after="0"/>
        <w:tabs>
          <w:tab w:leader="none" w:pos="2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1,075,000</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480" w:hanging="294"/>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1,075,000</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480" w:hanging="339"/>
        <w:spacing w:after="0"/>
        <w:tabs>
          <w:tab w:leader="none" w:pos="4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480" w:hanging="334"/>
        <w:spacing w:after="0"/>
        <w:tabs>
          <w:tab w:leader="none" w:pos="4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5.11% *</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480" w:hanging="339"/>
        <w:spacing w:after="0"/>
        <w:tabs>
          <w:tab w:leader="none" w:pos="4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Based upon 21,049,448 shares of common stock issued and outstanding as reported by the Issuer on its Form 10-Q filed with the Securities and Exchange Commission on August 6,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574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Opaleye, L.P.</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ind w:left="180" w:right="10480" w:firstLine="301"/>
        <w:spacing w:after="0" w:line="266" w:lineRule="auto"/>
        <w:tabs>
          <w:tab w:leader="none" w:pos="71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48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CITIZENSHIP OR PLACE OF ORGANIZATION</w:t>
      </w:r>
    </w:p>
    <w:p>
      <w:pPr>
        <w:spacing w:after="0" w:line="221"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color w:val="auto"/>
        </w:rPr>
        <w:t>Delaware</w:t>
      </w:r>
    </w:p>
    <w:p>
      <w:pPr>
        <w:spacing w:after="0" w:line="4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9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380" w:type="dxa"/>
            <w:vAlign w:val="bottom"/>
          </w:tcPr>
          <w:p>
            <w:pPr>
              <w:spacing w:after="0"/>
              <w:rPr>
                <w:sz w:val="10"/>
                <w:szCs w:val="10"/>
                <w:color w:val="auto"/>
              </w:rPr>
            </w:pPr>
          </w:p>
        </w:tc>
        <w:tc>
          <w:tcPr>
            <w:tcW w:w="9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121"/>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8"/>
              </w:rPr>
              <w:t>OWNED</w:t>
            </w:r>
          </w:p>
        </w:tc>
        <w:tc>
          <w:tcPr>
            <w:tcW w:w="380" w:type="dxa"/>
            <w:vAlign w:val="bottom"/>
            <w:tcBorders>
              <w:bottom w:val="single" w:sz="8" w:color="auto"/>
            </w:tcBorders>
            <w:vMerge w:val="continue"/>
          </w:tcPr>
          <w:p>
            <w:pPr>
              <w:spacing w:after="0"/>
              <w:rPr>
                <w:sz w:val="10"/>
                <w:szCs w:val="10"/>
                <w:color w:val="auto"/>
              </w:rPr>
            </w:pPr>
          </w:p>
        </w:tc>
        <w:tc>
          <w:tcPr>
            <w:tcW w:w="9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3"/>
                <w:szCs w:val="13"/>
                <w:color w:val="auto"/>
              </w:rPr>
            </w:pPr>
          </w:p>
        </w:tc>
        <w:tc>
          <w:tcPr>
            <w:tcW w:w="9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PERSON WITH:</w:t>
            </w:r>
          </w:p>
        </w:tc>
        <w:tc>
          <w:tcPr>
            <w:tcW w:w="380" w:type="dxa"/>
            <w:vAlign w:val="bottom"/>
            <w:tcBorders>
              <w:bottom w:val="single" w:sz="8" w:color="auto"/>
            </w:tcBorders>
            <w:vMerge w:val="continue"/>
          </w:tcPr>
          <w:p>
            <w:pPr>
              <w:spacing w:after="0"/>
              <w:rPr>
                <w:sz w:val="12"/>
                <w:szCs w:val="12"/>
                <w:color w:val="auto"/>
              </w:rPr>
            </w:pPr>
          </w:p>
        </w:tc>
        <w:tc>
          <w:tcPr>
            <w:tcW w:w="9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60" w:hanging="305"/>
        <w:spacing w:after="0"/>
        <w:tabs>
          <w:tab w:leader="none" w:pos="22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1,075,000</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480" w:hanging="294"/>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1,075,000</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480" w:hanging="339"/>
        <w:spacing w:after="0"/>
        <w:tabs>
          <w:tab w:leader="none" w:pos="48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480" w:hanging="334"/>
        <w:spacing w:after="0"/>
        <w:tabs>
          <w:tab w:leader="none" w:pos="48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5.11% *</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480" w:hanging="339"/>
        <w:spacing w:after="0"/>
        <w:tabs>
          <w:tab w:leader="none" w:pos="48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Based upon 21,049,448 shares of common stock issued and outstanding as reported by the Issuer on its Form 10-Q filed with the Securities and Exchange Commission on August 6,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574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I.R.S. IDENTIFICATION NOS. OF ABOVE PERSONS (ENTITIES ONLY)</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James Silverman</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ind w:left="180" w:right="10480" w:firstLine="301"/>
        <w:spacing w:after="0" w:line="266" w:lineRule="auto"/>
        <w:tabs>
          <w:tab w:leader="none" w:pos="7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48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CITIZENSHIP OR PLACE OF ORGANIZATION</w:t>
      </w:r>
    </w:p>
    <w:p>
      <w:pPr>
        <w:spacing w:after="0" w:line="221"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color w:val="auto"/>
        </w:rPr>
        <w:t>United States</w:t>
      </w:r>
    </w:p>
    <w:p>
      <w:pPr>
        <w:spacing w:after="0" w:line="4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9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380" w:type="dxa"/>
            <w:vAlign w:val="bottom"/>
          </w:tcPr>
          <w:p>
            <w:pPr>
              <w:spacing w:after="0"/>
              <w:rPr>
                <w:sz w:val="10"/>
                <w:szCs w:val="10"/>
                <w:color w:val="auto"/>
              </w:rPr>
            </w:pPr>
          </w:p>
        </w:tc>
        <w:tc>
          <w:tcPr>
            <w:tcW w:w="9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121"/>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8"/>
              </w:rPr>
              <w:t>OWNED</w:t>
            </w:r>
          </w:p>
        </w:tc>
        <w:tc>
          <w:tcPr>
            <w:tcW w:w="380" w:type="dxa"/>
            <w:vAlign w:val="bottom"/>
            <w:tcBorders>
              <w:bottom w:val="single" w:sz="8" w:color="auto"/>
            </w:tcBorders>
            <w:vMerge w:val="continue"/>
          </w:tcPr>
          <w:p>
            <w:pPr>
              <w:spacing w:after="0"/>
              <w:rPr>
                <w:sz w:val="10"/>
                <w:szCs w:val="10"/>
                <w:color w:val="auto"/>
              </w:rPr>
            </w:pPr>
          </w:p>
        </w:tc>
        <w:tc>
          <w:tcPr>
            <w:tcW w:w="9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3"/>
                <w:szCs w:val="13"/>
                <w:color w:val="auto"/>
              </w:rPr>
            </w:pPr>
          </w:p>
        </w:tc>
        <w:tc>
          <w:tcPr>
            <w:tcW w:w="9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PERSON WITH:</w:t>
            </w:r>
          </w:p>
        </w:tc>
        <w:tc>
          <w:tcPr>
            <w:tcW w:w="380" w:type="dxa"/>
            <w:vAlign w:val="bottom"/>
            <w:tcBorders>
              <w:bottom w:val="single" w:sz="8" w:color="auto"/>
            </w:tcBorders>
            <w:vMerge w:val="continue"/>
          </w:tcPr>
          <w:p>
            <w:pPr>
              <w:spacing w:after="0"/>
              <w:rPr>
                <w:sz w:val="12"/>
                <w:szCs w:val="12"/>
                <w:color w:val="auto"/>
              </w:rPr>
            </w:pPr>
          </w:p>
        </w:tc>
        <w:tc>
          <w:tcPr>
            <w:tcW w:w="9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60" w:hanging="305"/>
        <w:spacing w:after="0"/>
        <w:tabs>
          <w:tab w:leader="none" w:pos="22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1,075,000</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480" w:hanging="294"/>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1,075,000</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480" w:hanging="339"/>
        <w:spacing w:after="0"/>
        <w:tabs>
          <w:tab w:leader="none" w:pos="48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480" w:hanging="334"/>
        <w:spacing w:after="0"/>
        <w:tabs>
          <w:tab w:leader="none" w:pos="48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5.11% *</w:t>
      </w:r>
    </w:p>
    <w:p>
      <w:pPr>
        <w:spacing w:after="0" w:line="36"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480" w:hanging="339"/>
        <w:spacing w:after="0"/>
        <w:tabs>
          <w:tab w:leader="none" w:pos="48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Based upon 21,049,448 shares of common stock issued and outstanding as reported by the Issuer on its Form 10-Q filed with the Securities and Exchange Commission on August 6,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8 Pages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issuer is Imprimis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Company’s principal executive offices are located at 12264 El Camino Real, Suite 350, San Diego, CA 92130.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with respect to the shares of common stock of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Opaleye Fund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Opaleye, L.P. (the “</w:t>
      </w:r>
      <w:r>
        <w:rPr>
          <w:rFonts w:ascii="Arial" w:cs="Arial" w:eastAsia="Arial" w:hAnsi="Arial"/>
          <w:sz w:val="18"/>
          <w:szCs w:val="18"/>
          <w:u w:val="single" w:color="auto"/>
          <w:color w:val="auto"/>
        </w:rPr>
        <w:t>Opaleye Fund</w:t>
      </w:r>
      <w:r>
        <w:rPr>
          <w:rFonts w:ascii="Arial" w:cs="Arial" w:eastAsia="Arial" w:hAnsi="Arial"/>
          <w:sz w:val="18"/>
          <w:szCs w:val="18"/>
          <w:color w:val="auto"/>
        </w:rPr>
        <w:t>”), a private fund formed in the state of Delaware.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Investment Manager</w:t>
      </w:r>
    </w:p>
    <w:p>
      <w:pPr>
        <w:spacing w:after="0" w:line="22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Opaleye Management Inc. (the “</w:t>
      </w:r>
      <w:r>
        <w:rPr>
          <w:rFonts w:ascii="Arial" w:cs="Arial" w:eastAsia="Arial" w:hAnsi="Arial"/>
          <w:sz w:val="18"/>
          <w:szCs w:val="18"/>
          <w:u w:val="single" w:color="auto"/>
          <w:color w:val="auto"/>
        </w:rPr>
        <w:t>Investment Manager”</w:t>
      </w:r>
      <w:r>
        <w:rPr>
          <w:rFonts w:ascii="Arial" w:cs="Arial" w:eastAsia="Arial" w:hAnsi="Arial"/>
          <w:sz w:val="18"/>
          <w:szCs w:val="18"/>
          <w:color w:val="auto"/>
        </w:rPr>
        <w:t>), with respect to the shares of common stock held by the Opaleye Fund, a private fund to which the Investment Manager serves as investment manager.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Reporting Individual</w:t>
      </w:r>
    </w:p>
    <w:p>
      <w:pPr>
        <w:spacing w:after="0" w:line="22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Mr. James Silverman (the “</w:t>
      </w:r>
      <w:r>
        <w:rPr>
          <w:rFonts w:ascii="Arial" w:cs="Arial" w:eastAsia="Arial" w:hAnsi="Arial"/>
          <w:sz w:val="18"/>
          <w:szCs w:val="18"/>
          <w:u w:val="single" w:color="auto"/>
          <w:color w:val="auto"/>
        </w:rPr>
        <w:t>Reporting Individual”</w:t>
      </w:r>
      <w:r>
        <w:rPr>
          <w:rFonts w:ascii="Arial" w:cs="Arial" w:eastAsia="Arial" w:hAnsi="Arial"/>
          <w:sz w:val="18"/>
          <w:szCs w:val="18"/>
          <w:color w:val="auto"/>
        </w:rPr>
        <w:t>), with respect to the shares of common stock held by the Opaleye Fund. Mr. Silverman is the President of the Investment Manager.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Boston, Massachusetts 02108</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Citizenship is set forth in Row 4 of the cover page for each Reporting Person and is incorporated herein by reference for each such Reporting Person.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8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660" w:right="608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1,075,000 shares of common stock Opaleye, L.P. — 1,075,000 shares of common stock</w:t>
      </w: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1,075,000 shares of common stock</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right="804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5.11%* Opaleye, L.P. — 5.11%*</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5.11%*</w:t>
      </w:r>
    </w:p>
    <w:p>
      <w:pPr>
        <w:spacing w:after="0" w:line="211" w:lineRule="exact"/>
        <w:rPr>
          <w:sz w:val="20"/>
          <w:szCs w:val="20"/>
          <w:color w:val="auto"/>
        </w:rPr>
      </w:pPr>
    </w:p>
    <w:p>
      <w:pPr>
        <w:ind w:firstLine="8"/>
        <w:spacing w:after="0" w:line="308" w:lineRule="auto"/>
        <w:tabs>
          <w:tab w:leader="none" w:pos="1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upon 21,049,448 shares of common stock issued and outstanding as reported by the Issuer on its Form 10-Q filed with the Securities and Exchange Commission on August 6, 2018.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100" w:right="75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100" w:hanging="444"/>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100" w:right="564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1,075,000 shares of common stock Opaleye, L.P. — 1,075,000 shares of common stock</w:t>
      </w:r>
    </w:p>
    <w:p>
      <w:pPr>
        <w:ind w:left="1100"/>
        <w:spacing w:after="0"/>
        <w:rPr>
          <w:rFonts w:ascii="Arial" w:cs="Arial" w:eastAsia="Arial" w:hAnsi="Arial"/>
          <w:sz w:val="18"/>
          <w:szCs w:val="18"/>
          <w:color w:val="auto"/>
        </w:rPr>
      </w:pPr>
      <w:r>
        <w:rPr>
          <w:rFonts w:ascii="Arial" w:cs="Arial" w:eastAsia="Arial" w:hAnsi="Arial"/>
          <w:sz w:val="18"/>
          <w:szCs w:val="18"/>
          <w:color w:val="auto"/>
        </w:rPr>
        <w:t>James Silverman — 1,075,000 shares of common stock</w:t>
      </w:r>
    </w:p>
    <w:p>
      <w:pPr>
        <w:spacing w:after="0" w:line="210" w:lineRule="exact"/>
        <w:rPr>
          <w:rFonts w:ascii="Arial" w:cs="Arial" w:eastAsia="Arial" w:hAnsi="Arial"/>
          <w:sz w:val="18"/>
          <w:szCs w:val="18"/>
          <w:color w:val="auto"/>
        </w:rPr>
      </w:pPr>
    </w:p>
    <w:p>
      <w:pPr>
        <w:ind w:left="1100" w:hanging="444"/>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100" w:right="75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100" w:hanging="444"/>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Opaleye Management Inc. — 1,075,000 shares of common stock</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Opaleye, L.P. — 1,075,000 shares of common stock</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James Silverman — 1,075,000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owners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tabs>
          <w:tab w:leader="none" w:pos="5540" w:val="left"/>
          <w:tab w:leader="none" w:pos="764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Date: September 7, 2018</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760" w:type="dxa"/>
            <w:vAlign w:val="bottom"/>
          </w:tcPr>
          <w:p>
            <w:pPr>
              <w:spacing w:after="0"/>
              <w:rPr>
                <w:sz w:val="24"/>
                <w:szCs w:val="24"/>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Opaleye, L.P.</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September 7, 2018</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60" w:type="dxa"/>
            <w:vAlign w:val="bottom"/>
          </w:tcPr>
          <w:p>
            <w:pPr>
              <w:spacing w:after="0"/>
              <w:rPr>
                <w:sz w:val="17"/>
                <w:szCs w:val="17"/>
                <w:color w:val="auto"/>
              </w:rPr>
            </w:pPr>
          </w:p>
        </w:tc>
        <w:tc>
          <w:tcPr>
            <w:tcW w:w="2520" w:type="dxa"/>
            <w:vAlign w:val="bottom"/>
          </w:tcPr>
          <w:p>
            <w:pPr>
              <w:ind w:left="19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760" w:type="dxa"/>
            <w:vAlign w:val="bottom"/>
          </w:tcPr>
          <w:p>
            <w:pPr>
              <w:spacing w:after="0"/>
              <w:rPr>
                <w:sz w:val="18"/>
                <w:szCs w:val="18"/>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760" w:type="dxa"/>
            <w:vAlign w:val="bottom"/>
          </w:tcPr>
          <w:p>
            <w:pPr>
              <w:spacing w:after="0"/>
              <w:rPr>
                <w:sz w:val="24"/>
                <w:szCs w:val="24"/>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Opaleye Management Inc.</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September 7, 2018</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60" w:type="dxa"/>
            <w:vAlign w:val="bottom"/>
          </w:tcPr>
          <w:p>
            <w:pPr>
              <w:spacing w:after="0"/>
              <w:rPr>
                <w:sz w:val="17"/>
                <w:szCs w:val="17"/>
                <w:color w:val="auto"/>
              </w:rPr>
            </w:pPr>
          </w:p>
        </w:tc>
        <w:tc>
          <w:tcPr>
            <w:tcW w:w="2520" w:type="dxa"/>
            <w:vAlign w:val="bottom"/>
          </w:tcPr>
          <w:p>
            <w:pPr>
              <w:ind w:left="19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760" w:type="dxa"/>
            <w:vAlign w:val="bottom"/>
          </w:tcPr>
          <w:p>
            <w:pPr>
              <w:spacing w:after="0"/>
              <w:rPr>
                <w:sz w:val="20"/>
                <w:szCs w:val="20"/>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Joint Filing Agreement, dated September 7, 2018,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common stock, $0.001 par value per share, of Imprimis Pharmaceuticals,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7,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4"/>
      <w:numFmt w:val="bullet"/>
      <w:start w:val="1"/>
    </w:lvl>
  </w:abstractNum>
  <w:abstractNum w:abstractNumId="4">
    <w:nsid w:val="66EF438D"/>
    <w:multiLevelType w:val="hybridMultilevel"/>
    <w:lvl w:ilvl="0">
      <w:lvlJc w:val="left"/>
      <w:lvlText w:val="8"/>
      <w:numFmt w:val="bullet"/>
      <w:start w:val="1"/>
    </w:lvl>
  </w:abstractNum>
  <w:abstractNum w:abstractNumId="5">
    <w:nsid w:val="140E0F76"/>
    <w:multiLevelType w:val="hybridMultilevel"/>
    <w:lvl w:ilvl="0">
      <w:lvlJc w:val="left"/>
      <w:lvlText w:val="9"/>
      <w:numFmt w:val="bullet"/>
      <w:start w:val="1"/>
    </w:lvl>
  </w:abstractNum>
  <w:abstractNum w:abstractNumId="6">
    <w:nsid w:val="3352255A"/>
    <w:multiLevelType w:val="hybridMultilevel"/>
    <w:lvl w:ilvl="0">
      <w:lvlJc w:val="left"/>
      <w:lvlText w:val="*"/>
      <w:numFmt w:val="bullet"/>
      <w:start w:val="1"/>
    </w:lvl>
    <w:lvl w:ilvl="1">
      <w:lvlJc w:val="left"/>
      <w:lvlText w:val="%2"/>
      <w:numFmt w:val="decimal"/>
      <w:start w:val="10"/>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
      <w:numFmt w:val="bullet"/>
      <w:start w:val="1"/>
    </w:lvl>
    <w:lvl w:ilvl="1">
      <w:lvlJc w:val="left"/>
      <w:lvlText w:val="%2"/>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8"/>
      <w:numFmt w:val="bullet"/>
      <w:start w:val="1"/>
    </w:lvl>
  </w:abstractNum>
  <w:abstractNum w:abstractNumId="13">
    <w:nsid w:val="4E6AFB66"/>
    <w:multiLevelType w:val="hybridMultilevel"/>
    <w:lvl w:ilvl="0">
      <w:lvlJc w:val="left"/>
      <w:lvlText w:val="9"/>
      <w:numFmt w:val="bullet"/>
      <w:start w:val="1"/>
    </w:lvl>
  </w:abstractNum>
  <w:abstractNum w:abstractNumId="14">
    <w:nsid w:val="25E45D32"/>
    <w:multiLevelType w:val="hybridMultilevel"/>
    <w:lvl w:ilvl="0">
      <w:lvlJc w:val="left"/>
      <w:lvlText w:val="*"/>
      <w:numFmt w:val="bullet"/>
      <w:start w:val="1"/>
    </w:lvl>
    <w:lvl w:ilvl="1">
      <w:lvlJc w:val="left"/>
      <w:lvlText w:val="%2"/>
      <w:numFmt w:val="decimal"/>
      <w:start w:val="10"/>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2020-01-12T21:33:30Z</dcterms:created>
  <dcterms:modified xsi:type="dcterms:W3CDTF">2020-01-12T21:33:30Z</dcterms:modified>
</cp:coreProperties>
</file>