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1940" w:hanging="3792"/>
        <w:spacing w:after="0" w:line="501" w:lineRule="auto"/>
        <w:tabs>
          <w:tab w:leader="none" w:pos="7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140" w:right="1560" w:hanging="2892"/>
        <w:spacing w:after="0" w:line="501" w:lineRule="auto"/>
        <w:tabs>
          <w:tab w:leader="none" w:pos="3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______________ to ______________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3"/>
          </w:tcPr>
          <w:p>
            <w:pPr>
              <w:jc w:val="center"/>
              <w:ind w:left="357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20"/>
                <w:szCs w:val="20"/>
                <w:color w:val="auto"/>
              </w:rPr>
            </w:pPr>
          </w:p>
        </w:tc>
      </w:tr>
      <w:tr>
        <w:trPr>
          <w:trHeight w:val="45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3"/>
              </w:rPr>
              <w:t>Delaware</w:t>
            </w:r>
          </w:p>
        </w:tc>
        <w:tc>
          <w:tcPr>
            <w:tcW w:w="36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8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incorporation or organization)</w:t>
            </w:r>
          </w:p>
        </w:tc>
        <w:tc>
          <w:tcPr>
            <w:tcW w:w="36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12264 El Camino Real, Suite 350</w:t>
            </w:r>
          </w:p>
        </w:tc>
        <w:tc>
          <w:tcPr>
            <w:tcW w:w="3640" w:type="dxa"/>
            <w:vAlign w:val="bottom"/>
          </w:tcPr>
          <w:p>
            <w:pPr>
              <w:spacing w:after="0"/>
              <w:rPr>
                <w:sz w:val="24"/>
                <w:szCs w:val="24"/>
                <w:color w:val="auto"/>
              </w:rPr>
            </w:pPr>
          </w:p>
        </w:tc>
      </w:tr>
      <w:tr>
        <w:trPr>
          <w:trHeight w:val="220"/>
        </w:trPr>
        <w:tc>
          <w:tcPr>
            <w:tcW w:w="778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San Diego, CA 92130</w:t>
            </w:r>
          </w:p>
        </w:tc>
        <w:tc>
          <w:tcPr>
            <w:tcW w:w="3640" w:type="dxa"/>
            <w:vAlign w:val="bottom"/>
          </w:tcPr>
          <w:p>
            <w:pPr>
              <w:spacing w:after="0"/>
              <w:rPr>
                <w:sz w:val="19"/>
                <w:szCs w:val="19"/>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3"/>
              </w:rPr>
              <w:t>(Address of Principal Executive Offices)(Zip Code)</w:t>
            </w:r>
          </w:p>
        </w:tc>
        <w:tc>
          <w:tcPr>
            <w:tcW w:w="3640" w:type="dxa"/>
            <w:vAlign w:val="bottom"/>
          </w:tcPr>
          <w:p>
            <w:pPr>
              <w:spacing w:after="0"/>
              <w:rPr>
                <w:sz w:val="20"/>
                <w:szCs w:val="20"/>
                <w:color w:val="auto"/>
              </w:rPr>
            </w:pPr>
          </w:p>
        </w:tc>
      </w:tr>
      <w:tr>
        <w:trPr>
          <w:trHeight w:val="418"/>
        </w:trPr>
        <w:tc>
          <w:tcPr>
            <w:tcW w:w="778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(858) 704-4040</w:t>
            </w:r>
          </w:p>
        </w:tc>
        <w:tc>
          <w:tcPr>
            <w:tcW w:w="3640" w:type="dxa"/>
            <w:vAlign w:val="bottom"/>
          </w:tcPr>
          <w:p>
            <w:pPr>
              <w:spacing w:after="0"/>
              <w:rPr>
                <w:sz w:val="24"/>
                <w:szCs w:val="24"/>
                <w:color w:val="auto"/>
              </w:rPr>
            </w:pPr>
          </w:p>
        </w:tc>
      </w:tr>
      <w:tr>
        <w:trPr>
          <w:trHeight w:val="230"/>
        </w:trPr>
        <w:tc>
          <w:tcPr>
            <w:tcW w:w="7780" w:type="dxa"/>
            <w:vAlign w:val="bottom"/>
            <w:gridSpan w:val="3"/>
          </w:tcPr>
          <w:p>
            <w:pPr>
              <w:jc w:val="center"/>
              <w:ind w:left="355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Each Class</w:t>
            </w: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801" w:right="239" w:bottom="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16" w:lineRule="exact"/>
        <w:rPr>
          <w:sz w:val="24"/>
          <w:szCs w:val="24"/>
          <w:color w:val="auto"/>
        </w:rPr>
      </w:pPr>
    </w:p>
    <w:p>
      <w:pPr>
        <w:sectPr>
          <w:pgSz w:w="11900" w:h="16838" w:orient="portrait"/>
          <w:cols w:equalWidth="0" w:num="2">
            <w:col w:w="5000" w:space="720"/>
            <w:col w:w="5700"/>
          </w:cols>
          <w:pgMar w:left="240" w:top="801" w:right="239" w:bottom="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 ] </w:t>
      </w:r>
      <w:r>
        <w:rPr>
          <w:rFonts w:ascii="Arial" w:cs="Arial" w:eastAsia="Arial" w:hAnsi="Arial"/>
          <w:sz w:val="18"/>
          <w:szCs w:val="18"/>
          <w:b w:val="1"/>
          <w:bCs w:val="1"/>
          <w:color w:val="auto"/>
        </w:rPr>
        <w:t>No</w:t>
      </w:r>
      <w:r>
        <w:rPr>
          <w:rFonts w:ascii="Arial" w:cs="Arial" w:eastAsia="Arial" w:hAnsi="Arial"/>
          <w:sz w:val="18"/>
          <w:szCs w:val="18"/>
          <w:color w:val="auto"/>
        </w:rPr>
        <w:t xml:space="preserve"> [X]</w:t>
      </w:r>
    </w:p>
    <w:p>
      <w:pPr>
        <w:spacing w:after="0" w:line="22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As of June 30, 2014, the last business day of the registrant’s most recently completed second fiscal quarter, the aggregate market value of the common stock held by non-affiliates of the registrant was approximately $47 million, based on the closing price of $6.94 for the registrant’s common stock as quoted on The</w:t>
      </w:r>
    </w:p>
    <w:p>
      <w:pPr>
        <w:sectPr>
          <w:pgSz w:w="11900" w:h="16838" w:orient="portrait"/>
          <w:cols w:equalWidth="0" w:num="1">
            <w:col w:w="11420"/>
          </w:cols>
          <w:pgMar w:left="240" w:top="801" w:right="239" w:bottom="0" w:gutter="0" w:footer="0" w:header="0"/>
          <w:type w:val="continuous"/>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NASDAQ Capital Market on that date. For purposes of this calculation, it has been assumed that shares of common stock held by each director, each officer and each person who owns 10% or more of the outstanding common stock are held by affiliates of the registrant. The treatment of these persons as affiliates for purposes of this calculation is not conclusive as to whether such persons are, in fact, affiliates of the registrant.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March 11, 2015, there were 9,342,935 shares of the registrant’s common stock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for its 2015 Annual Meeting of Stockholders (Proxy Statement) are incorporated by reference in Part III of this annual report on Form 10-K (Annual Report),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4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ind w:left="140"/>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ind w:left="140"/>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8.</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00" w:type="dxa"/>
            <w:vAlign w:val="bottom"/>
            <w:gridSpan w:val="24"/>
            <w:shd w:val="clear" w:color="auto" w:fill="CCEEFF"/>
          </w:tcPr>
          <w:p>
            <w:pPr>
              <w:ind w:left="140"/>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Directors, Executive Officers and Corporate Governance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10000" w:type="dxa"/>
            <w:vAlign w:val="bottom"/>
            <w:gridSpan w:val="24"/>
          </w:tcPr>
          <w:p>
            <w:pPr>
              <w:ind w:left="1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Principal Accountant Fees and Services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0" w:type="dxa"/>
            <w:vAlign w:val="bottom"/>
            <w:gridSpan w:val="24"/>
          </w:tcPr>
          <w:p>
            <w:pPr>
              <w:ind w:left="140"/>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IV</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10000" w:type="dxa"/>
            <w:vAlign w:val="bottom"/>
            <w:gridSpan w:val="24"/>
            <w:shd w:val="clear" w:color="auto" w:fill="CCEEFF"/>
          </w:tcPr>
          <w:p>
            <w:pPr>
              <w:ind w:left="1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Exhibits, Financial Statement Schedules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5"/>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Imprimis Pharmaceuticals, Inc. has issued trademarks and/or pending trademark applications for Imprimis™, Imprimis Pharmaceuticals™, ImprimisRx™, SSP Technology™, Go Dropless™, LessDrops™, Dropless Cataract Surgery™, Dropless Cataract Therapy™, Dropless Therapy™, Say Goodbye™, Defeat IC™ and Accudel™. All other trademarks, trade names and service marks included in this Annual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both"/>
        <w:ind w:firstLine="648"/>
        <w:spacing w:after="0" w:line="267" w:lineRule="auto"/>
        <w:rPr>
          <w:sz w:val="20"/>
          <w:szCs w:val="20"/>
          <w:color w:val="auto"/>
        </w:rPr>
      </w:pPr>
      <w:r>
        <w:rPr>
          <w:rFonts w:ascii="Arial" w:cs="Arial" w:eastAsia="Arial" w:hAnsi="Arial"/>
          <w:sz w:val="17"/>
          <w:szCs w:val="17"/>
          <w:i w:val="1"/>
          <w:iCs w:val="1"/>
          <w:color w:val="auto"/>
        </w:rPr>
        <w:t>This Annual Report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Annual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but are not limited to risks related to: our ability to successfully implement our business plan, develop and commercialize our proprietary formulations in a timely manner or at all, identify and acquire additional proprietary formulations, manage our pharmacy operations, obtain financing necessary to operate our business, recruit and retain qualified personnel, manage any growth we may experience and successfully complete and realize the benefits of our acquisitions of Pharmacy Creations, LLC (Pharmacy Creations) and South Coast Specialty Compounding, Inc. D/B/A Park Compounding (Park)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 Item 1A of this Annual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Unless otherwise stated, all information regarding share amounts of common stock and prices per share of common stock described in this Annual Report reflect the reverse stock splits of our authorized, issued and outstanding common stock effected on February 28, 2012 and February 7, 2013. As used in this Annual Report, unless indicated or the context requires otherwise, the terms the “Company”, “Imprimis” “we”, “us” and “our” refer to Imprimis Pharmaceuticals, Inc. and its consolidated subsidiaries.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pharmaceutical company focused on developing and commercializing innovative and high quality proprietary compounded drug therapies and making these therapies available to physicians and patients at accessible prices. We own, market and sell a portfolio of proprietary combination formulations in ophthalmology and urology that we believe may offer competitive advantages and serve unmet needs in the marketplace. Our ophthalmology formulation portfolio, led by our Dropless Therapy™ and LessDrops™ formulations, serves the multi-billion dollar eye drop market and is designed to address patient compliance issues and provide other medical and economic benefits to physicians and patients. Our recently launched urology business, headed by our Defeat IC™ campaign, currently includes a patented compounded formulation for patients suffering from interstitial cystitis. We are also developing additional complementary proprietary compounded formulations to add to our ophthalmology and urology formulation portfolios. We make, dispense and sell our proprietary compounded formulations, as well as other non-proprietary products, through our compounding pharmacies Pharmacy Creations and Park.</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proprietary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investing in commercialization activities. We believe our model allows us to meet the realities of the current health care economy by offering quality pharmaceutical innovation at accessible prices.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recurring operating losses, and have had negative operating cash flows since July 24, 1998 (inception). In addition, we have an accumulated deficit of approximately $41.9 million at December 31, 2014. Beginning on April 1, 2014, we began generating revenue from sales of certain of our proprietary ophthalmic drug compounded formulations and other non-proprietary compounded formulations; however, we expect to incur further losses as we integrate and develop our pharmacy operations, evaluate other programs and continue the development of our formulations.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Compounded Formulations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Ophthalmic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Anti-Inflammatory and Anti-Bacterial Combination Formulations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2013, we acquired intellectual property related to compounded formulations for ocular injection of anti-inflammatory and anti-bacterial agents during ocular surgery. With the use of our SSP Technology™, which allows for increased solubility of active pharmaceutical ingredients and the creation of small, uniform particle sizes, these compounded formulations can be used as an intraoperative injectable or as a topical eye drop. These compounded formulations have begun to impact the fast-growing global cataract surgery eye drop market and the LASIK surgery market and may have potential in other ophthalmology markets for procedures where there is a risk of inflammation and infection.</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formulations provide physicians with the ability to address the primary ocular complications of ophthalmic surgery, infection risk and post-operative inflammation, due to patient non-compliance with traditional multiple bottle eye drop regimens, by reducing the complexity of, or in many cases altogether avoiding the need for post-operative eye drop regimens. Although our ophthalmology-related patent applications include other claims, we have focused our ophthalmology development and commercialization efforts to date on the proprietary compounded formulations described below, which we market as our Dropless Therapy and LessDrops formulations. The relative strengths of each of the active ingredients included in these formulations can be prescribed by the physician and tailored to individual patients.</w:t>
      </w:r>
    </w:p>
    <w:p>
      <w:pPr>
        <w:spacing w:after="0" w:line="220"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Tri-Moxi, a compounded formulation that is a combination of triamcinolone acetonide and moxifloxacin hydrochloride, used as an injection during ocular surgery and as an eye drop pre- and post-ocular surgery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Tri-Moxi-Vanc, a compounded formulation that is a combination of triamcinolone acetonide, moxifloxacin hydrochloride and vancomycin, used as an injection during ocular surgery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Pred-Moxi, a compounded formulation that is a combination of prednisolone and moxifloxacin hydrochloride, used as an eye drop pre- and post-ocular surgery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intend to utilize our SSP Technology platform to develop and offer various combinations of topical medicines. For example, we have filed patent claims and are currently evaluating eye drops that include combinations of a nonsteroidal anti-inflammatory drug and a steroid, with and without an added antibiotic.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Dropless Therapy Formulations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cataract surgery market continues to experience significant growth. According to a 2013 Market Scope report, 3.6 million cataract surgeries were performed in the U.S. and nearly 22 million cataract surgeries were performed globally, with expected annual market growth of approximately 3%. The National Eye Institute estimated that over 24 million Americans currently have cataracts and that this number will grow to 38 million by 2030 and to more than 50 million by 2050. According to the Journal of Cataract &amp; Refractive Surgery, this growth is due in part to the expanding aging population, and also to the lowered age at which patients require cataract surgery. The ophthalmology drug market is expected to reach an estimated $21.6 billion by 2018 (Transparency Market Research; January 24, 2014).</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treatment regimen for the prevention of post-cataract and other intraocular surgery complications is primarily a pre-operative and post-operative self-administered eye drop regimen, which requires strict patient compliance and careful adherence to a prescribed dosing schedule. Physicians have reported and studies have shown that eye drop regimens can be confusing to patients, creating non-compliance and incorrect dosing (Hennessy AL, Ophthalmology, 2010). Large studies conducted in the U.S. and Europe showed that antibiotics administered into the eye at the time of cataract surgery significantly reduced the risk of developing inflammation and infection (Shorstein, N.; Friling E, et al.; Rodríguez-Caravaca G, et al., 2013; J of Cataract Refract Surg, 2013 and Endophthalmitis Study Group, 2007).</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Dropless Therapy formulations include Tri-Moxi and Tri-Moxi-Vanc used as an injectable during ocular surgery. Ophthalmologists have reported that use of our Dropless Therapy formulations has substantially reduced or eliminated the need for patient-administered eye drops following ocular surgeries they have performed, thereby largely eliminating patient non-compliance and associated errors with post-operative care regimens. Physicians have also reported spending less time on instructions and follow-up with post-operative patients, as well as fewer calls from pharmacists seeking to change the physicians’ prescribed eye drop regimens, which collectively can reduce the physicians’ costs of patient care. By reducing reliance on post-operative eye drops, we believe use of our Dropless Therapy formulations can simplify the post-operative care process, provide safeguards against bacterial infection and inflammation and decrease overall costs. Since the launch of our associated Go Dropless™ educational campaign in April 2014, more than 240 ophthalmologists have started to use our Dropless Therapy formulations, and since their inception, our Dropless Therapy formulations have been used in over 50,000 ocular surgeries, primarily cataract surgeries. In the future, we aim for our Dropless Therapy to be initiated at additional high volume cataract surgery practices, hospitals and large ambulatory surgery centers throughout the 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LessDrops Formulations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the American Academy of Ophthalmology (AAO), over half of Americans require some form of vision correction and it is estimated that 43 million of these individuals are candidates for refractive surgery. Nearly 96% of the refractive surgery procedures performed today are LASIK (laser in situ keratomileusis) surgeries, an outpatient surgical procedure used to treat nearsightedness, farsightedness, and astigmatism (AAO), Demographics of Refractive Surgery Patients and Market Trends. Lombardo, A., et al). As of 2008, the AAO estimated 700,000 LASIK procedures are being performed annually in the U.S.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Pred-Moxi and Tri-Moxi topical compounded formulations, branded as LessDrops, were introduced during the first quarter of 2015 as combination eye drops for patients following laser refractive surgery, including LASIK and photorefractive keratectomy (PRK), cataract and other ocular surgeries. Similar to other ocular surgeries, current treatment regimens following LASIK and PRK surgeries require self-administered eye drops two or more times daily for up to four weeks. We estimate that our LessDrops compounded formulations can require up to 50% fewer drops to be administered by patients post-surgery and may cost up to 75% less than other currently available post-surgery drops regimens. Additionally and importantly, these topical compounded drops may be eligible for reimbursement to patients covered by both public and private insurance plans. We plan to continue to add to our portfolio of LessDrops topical compounded formulations and deliver additional eye drop choices for our customers.</w:t>
      </w:r>
    </w:p>
    <w:p>
      <w:pPr>
        <w:sectPr>
          <w:pgSz w:w="11900" w:h="16921" w:orient="portrait"/>
          <w:cols w:equalWidth="0" w:num="1">
            <w:col w:w="11420"/>
          </w:cols>
          <w:pgMar w:left="240" w:top="661"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Other Ophthalmic Formulations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Compounding pharmacies mix different ingredients to create specialized preparations ordered by a physician to treat an individually identified patient. Often this is because a standard medication approved by the FDA is not appropriate for individual patients. Compounded formulations can also help alleviate FDA-recognized shortages of drugs, because compounding pharmacies can prepare compounded alternatives to commercially available drugs when drugs are in short supply. These shortages are becoming more common: according to the FDA, there are currently over 75 drugs on the FDA’s shortage list. Eye surgeons are particularly concerned about drug shortages, especially for drugs such as epinephrine or phenylephrine, which are commonly used to dilate the pupil prior to and during intraocular procedures (among other things). In 2013, we acquired intellectual property related to lyophilized (or freeze-dried), preservative-free, sulfite-free epinephrine, phenylephrine and lidocaine, and we may rely on this intellectual property to develop mydriatic (pupil dilation) compounded formulations that use various combinations of these ingredients. We have made and expect to increase sales of multiple ophthalmic compounded formulations per patient or case in one or more kits. For example, we may sell a compounded formulation of injectable Tri-Moxi along with a mydriatic compounded formulation for the same individually identified patient, and also include additional non-proprietary ophthalmic compounded formulations, all as a part of a kit.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HLA Formulation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2014, we entered into a license agreement to acquire the U.S. commercialization and distribution rights to a patented urologic formulation of heparin and alkalinized lidocaine (HLA or Hep-Lido-A), which is delivered directly to the bladder for the treatment of interstitial cystitis (IC), also known as painful bladder syndrome. It is estimated that five to ten million women and men in the U.S. are affected by this chronic disease (Journal of Urology, 2008 and as published by the National Institutes of Health (NIH), RAND IC Epidemiology Study, 2009, and BACH study, 2009), and based on our self-directed survey of over 400 patients, we believe the total U.S. market opportunity for IC could exceed $4 billion a year. In 2014, physicians wrote more than 80,000 prescriptions for compounded HLA to treat IC and since the HLA compounded first became available as a compounded drug in 2011, there have been an estimated 140,000 HLA instillation procedures completed in the U.S. Importantly, based on our internal research, many of these instillation procedures were partially or fully reimbursed by private and public healthcare providers. Additionally, third-party studies of the use of heparin and alkalinized lidocaine instillations in patients with IC have indicated alleviation of IC symptoms, including pain and frequency and urgency of urination, with the use of this combination of ingredients. During the first quarter of 2015, we commercially launched our HLA compounded formulation and introduced Defeat IC, our national education campaign designed to increase awareness among medical practitioners about IC and our HLA treatment 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Injectable Pentoxifylline Formulation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2013, we acquired intellectual property related to an injectable formulation comprised of pentoxifylline for the treatment of certain fibrotic conditions, including Peyronie’s Disease (PD). According to claims data and various studies, 95,000 patients were diagnosed with PD during 2013, with an estimated 90,000 patients receiving either non-invasive or no treatment for PD. A researcher-initiated research study using our patent-pending pentoxifylline formulation for the treatment of PD was initiated in 2014, and we may commercially launch this formulation following the completion of the study and publication of its results, which is expected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our proprietary ophthalmic and urologic formulations, we have developed and plan to continue to build small internal sales and commercialization teams that are focused on growing sales of these formulations through, among other things, educating doctors, ambulatory surgery centers, healthcare systems, hospitals throughout the U.S. and other users about our products. Although we have engaged distributors for certain of our proprietary formulations in non-U.S. markets, we expect to continue to focus our efforts on our U.S. commercial opportunities during 2015. We also believe that our proprietary drug formulations could have commercial appeal in other markets, including veterinary and international markets, and we may choose to pursue commercialization of our proprietary formulations in selected other markets through licensing or collaborative arrangements with strategic partners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Proprietary Formulations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our proprietary ophthalmic and urologic formulations, we have also acquired intellectual property assets, including provisional patent applications, related to topical formulations for wound healing and other formulations for other potential uses and purposes. We are pursuing additional supporting data with respect to these formulations as part of our product assessment process, but these formulations are still in the initial stage of their development and validation and we do not expect to focus on or actively develop or market any of these formulations in the absence of a successful commercial assessment.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Compounding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Pharmacies and Expansion of Non-Proprietary Sales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Compounding pharmacies work with physicians to develop customized medications for individually identified patients, and the compounding pharmacy prepares these customized formulations upon receipt of a physician prescription for an individual patient. Examples of compounded formulations include medications with alternative dosage strengths or unique dosage forms, such as topical creams or gels, suspensions or solutions with more tolerable drug delivery vehicles. A physician may also work together with a pharmacist to repurpose or reformulate via the compounding process drugs that have been approved by the U.S. Food &amp; Drug Association (FDA) to meet a patient’s specific medical needs.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Pharmacy Creations and Park, our wholly owned pharmacies accredited by the Pharmacy Compounding Accreditation Board (PCAB), make, dispense and sell our proprietary ophthalmology and urology formulations. Our pharmacies also dispense prescriptions for complementary compounded formulations within the ophthalmology and urology therapeutic areas, as well as other non-proprietary compounded formulations in other therapeutic areas for an individually identified patient. We intend to leverage our marketing and sales of proprietary compounded formulations to provide us competitive advantages with respect to sales of certain non-proprietary products and compounded formulations. For example, our brand recognition and know-how allows us to market and sell non-proprietary formulations in the ophthalmology and urology markets, on which our sales efforts have been focused, and also in other areas, such as oncology, hormone replacement, autism, and other therapeutic markets. During 2015, we plan to expand our marketing and sales efforts of these non-proprietary products through our pharmacy businesses. Pharmacy Creations, our New Jersey-based pharmacy that we acquired in April 2014, and Park, our California-based pharmacy that we acquired in January 2015, are collectively licensed to distribute compounded formulations in 40 states. We are in the process of expanding our prescription fulfillment and distribution capabilities, with the goal of owning or otherwise having access to multiple facilities licensed in each of the 50 states in the United States. We intend to achieve this goal by expanding the operations of our current pharmacies, acquiring or building additional pharmacies and developing a broader network of Company-owned and third-party-owned compounding pharmacies to which we would have access. We are in the process of developing “ImprimisRx” as a uniform brand for our drug fulfillment facilities and operations, which we intend to launch in 2015. We operate our current pharmacy business under the regulatory framework described in the Drug Quality and Security Act (DQSA) of 2013, Section 503A of the Federal Food Drug and Cosmetic Act (FDCA) and applicable state pharmacy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Outsourcing Facilities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DQSA provides that a pharmacy engaged in preparing sterile compounded drug formulations may voluntarily elect to register as an “outsourcing facility,” a new entity governed by Section 503B of the FDCA. Outsourcing facilities must comply with certain requirements under Section 503B, including satisfying current good manufacturing practice (cGMP) standards, and are permitted to compound large quantities of drug formulations if the drug formulations appear on the FDA’s drug shortage list or the component bulk drug substances appear on a “clinical need” list to be established by the FDA. Outsourcing facilities may prepare drug formulations in advance of a prescription and distribute formulations across state lines without limitation. In February 2015, we entered into a lease agreement for space in New Jersey and began construction efforts to build an outsourcing facility, which we expect to be completed in the fourth quarter of 2015 and will replace our current New Jersey based pharmacy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Commercialization Pathway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model for the selection and development of proprietary formulations focuses on assessing new development opportunities using a four-step proprietary process, which includes the identification, evaluation, validation, and ultimately commercialization of selected opportunities. Our relationships with inventive physicians and pharmacists provide us with access to numerous formulation candidates and technologies to evaluate and validate. These compounded drug formulations are initially made for individual patients and are developed based on the physician’s and pharmacist’s experience formulating a new therapy to address an unmet need. As a result of our review process, we focus our commercialization efforts on a select group of promising formulations that we believe may be patentable and that could have broad appeal to patients and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65150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15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Identify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innovation model, which serves as our research and development pipeline, relies on our relationships and partnerships with inventors to identify and secure new development assets. We are strategically attentive to the ideas generated by pharmacists dealing directly with doctors and their patients to address specific and often unmet patient needs in our identification of formulations to develop and commercialize. We believe that going forward, our growing group of collaborative relationships with physicians and pharmacists will bring additional clinically and commercially relevant formulation opportunities to our Company for potential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we have identified potential formulations and technology for development, we subject them to our proprietary evaluation process. We invest heavily in intellectual property review and analysis at this stage, which includes analyzing the patentability of each formulation and, more generally, trying to understand the surrounding intellectual property landscape. We also evaluate any existing supportive clinical data, identify one or more appropriate commercialization pathways to make the therapy available to patients and, for selected candidates, ultimately seek to acquire development rights through ownership or licensing of promising formulations.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Validate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Following the identification and evaluation process and our acquisition of development rights, we seek to validate and support potential drug formulations through our review of existing clinical data and documented patient experience and through our support of investigator-initiated studies, which are typically funded by us and conducted by leading physician groups. Any clinical data we obtain may be used to support clinical confidence for physicians prescribing the formulation in compounded form or, if we decide to pursue FDA approval for a particular candidate, to support a development program in connection with the pursuit of such approval. The costs associated with our validation approach may be significantly lower than a traditional FDA approval process because, to the extent we consider and select a commercialization pathway as a compounded formulation, our approach would not require FDA approval for the marketing and sale of the formulation.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Following successful results in the first three steps of our assessment, we focus on commercialization. As part of the development of potential formulations, we evaluate and select an appropriate commercialization pathway to make these therapies available to patients. We consider multiple commercialization pathways, including dispensing formulations through compounding pharmacies and other prescription dispensing facilities pursuant to a prescription for an individually identified patient and pursuing FDA approval to market and sell a drug formulation or technology. We are pursuing, and expect to continue to pursue, a compounding commercialization strategy for our currently available proprietary formulations and the other assets that we currently own or have rights to and that we may develop in the future, and we do not presently expect to pursue FDA approval for any of these formulations or other assets. For any non-drug assets we consider, such as drug-delivery vehicles, we may choose to seek partnerships with wholesalers in order to make these technologies available to pharmacies. Depending on the selected commercialization pathway, we would build, or contract with a third party to build, appropriately targeted commercialization teams in order to make the therapies available to physicians and patients.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Impracor Program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Historically, our business focused on developing, obtaining FDA approval for, and commercializing our former topical pain management product candidate Impracor. After considering the totality of circumstances surrounding the development of and clinical trial requirements for Impracor, including certain manufacturing and formulation issues, in November 2013 we announced our discontinuation of the proposed Phase 3 clinical trial for Impracor. We do not expect to resume a Phase 3 clinical trial for Impracor or otherwise invest in the commercial development of this asset.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The drug products available through branded and generic drug companies with which our formulations compete have been approved for marketing and sale by the FDA, are required to be manufactured in facilities compliant with cGMP standards, and are permitted to be manufactured, produced and distributed in large bulk quantities. Although we prepare our compounded formulations in accordance with the standards provided by United States Pharmacopoeia (USP) &lt;795&gt; and USP &lt;797&gt; and applicable state and federal law, our proprietary compounded formulations are not required to be, and have not been, approved for marketing and sale by the FDA and, as a result, some physicians may be unwilling to prescribe, and some patients may be unwilling to use, our formulations. Additionally, formulations compounded in accordance with FDCA Section 503A must be prepared and dispensed in connection with a physician prescription for an individually identified patient and cannot be prepared in significant quantities without or in advance of such a prescription or manufactured and distributed by wholesalers in bulk quantities. These facets of our operations may subject our business to limitations our competitors with FDA-approved drugs may not face.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product safety and efficacy considerations, other competitive factors in the pharmacy and pharmaceutical markets include product quality and price, reputation, service and access to scientific and technical information. The competitive environment requires an ongoing, extensive search for medical and technological innovations and the ability to develop those innovations into products and market these products effectively. Developments by our competitors could make our formulations or technologies uncompetitive or obsolete. In addition, because we are significantly smaller than our primary competitors, we may lack the financial and other resources and experience needed to identify and acquire rights to, develop, produce, distribute, market and commercialize any of the formulations we seek to make available or compete for market share in these sectors.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success and ability to compete depends upon our ability to protect our intellectual property. We conduct a comprehensive analysis of the intellectual property landscape prior to acquiring rights to formulations and filing patent applications. As of December 31, 2014, we owned one issued U.S. patent and one issued Canadian patent, which cover certain technology related to our former product candidate Impracor. Our existing patents expire in 2016 in the U.S. and 2018 in Canada, and we do not expect the life of these patents to be extended beyond these dates. In addition, as of March 2, 2015, we owned 12 U.S. patent applications, including nine utility and three provisional patent applications, and we owned five international patent applications filed under the Patent Cooperation Treaty. We expect to file additional patent applications in the U.S. and pursue patent protection for certain of our formulations in other important international jurisdictions in the future. In addition, as of March 2, 2015, we have acquired rights under one U.S. patent and U.S. patent application pursuant to our current in-license agreements. As of March 2, 2015, we had 12 pending U.S. trademark applications, including applications for Imprimis, Imprimis Pharmaceuticals, ImprimisRx, SSP Technology, Go Dropless, LessDrops, Dropless Cataract Surgery, Dropless Cataract Therapy, Dropless Therapy, Say Goodbye, Defeat IC and Accudel. We may choose to pursue trademark protection in other jurisdictions for one or more of these or other marks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subject to federal, state and local laws, regulations, and administrative practices, including, without limitation: federal, state and local licensure and registration requirements concerning the operation of pharmacies and the practice of pharmacy; the Health Insurance Portability and Accountability Act (HIPAA); the Patient Protection and Affordable Care Act (ACA); statutes and regulations of the FDA, the U.S. Federal Trade Commission, the U.S. Drug Enforcement Administration and the U.S. Consumer Product Safety Commission, as well as regulations promulgated by comparable state agencies concerning the sale, advertisement and promotion of the products we sell.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Among the various federal and state laws and regulations which may govern or impact our current and planned operations are the following: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Regulation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pharmacy operations are regulated by both individual states and the federal government. Every state has laws and regulations addressing pharmacy operations, including regulations relating specifically to compounding pharmacy operations. These regulations generally include licensing requirements for pharmacists and pharmacies, as well as regulations related to compounding processes, safety protocols, purity, sterility, storage, controlled substances, recordkeeping and regular inspections, among other things. State rules and regulations are updated periodically, generally under the jurisdiction of individual state boards of pharmacy. Failure to comply with the state pharmacy regulations of a particular state could result in a pharmacy being prohibited from operating in that state, financial penalties and/or becoming subject to additional oversight from that state’s board of pharmacy. In addition, many states are considering imposing, or have already begun to impose, more stringent requirements on compounding pharmacies. If our pharmacy operations become subject to additional licensure requirements, are unable to maintain their required licenses or if states place burdensome restrictions or limitations on pharmacies, our ability to operate in some states could be limited, which may have an adverse impact on our business.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of the states into which we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Furthermore, under federal law, Section 503A of the FDCA seeks to limit the amount of compounded products that a pharmacy can dispense interstate. The interpretation and enforcement of that provision is dependent on the FDA entering into a standard Memorandum of Understanding (MOU) with each state setting forth limits on interstate compounding. The FDA has stated in guidance issued in February 2015 that it will not enforce interstate restrictions until after it publishes a final standard MOU and has made it available to the states for signature for some designated period of time. The FDA has proposed a 180-day period for states to agree to the standard MOU after the final version is presented to states. Until a final MOU is issued and presented to the states to consider whether to sign, the extent of such interstate dispensing restrictions imposed by Section 503A is unknown. If the final standard MOU is not signed by a particular state, then interstate shipments of compounded preparations from a pharmacy located in that state would be limited to quantities not greater than 5% total prescription orders dispensed or distributed by such pharmacy. The current draft standard MOU presented by the FDA in February 2015 would limit interstate shipments of compounded drug units to 30% of all compounded and non-compounded units dispensed or distributed by the pharmacy per month. If the final standard MOU contains a 30% limit on interstate distribution, or if the FDA applies the 5% limit in Section 503A because a state refuses to sign the MOU, then those limitations would have an adverse effect on the interstate dispensing or distribution of compounded drug products by Pharmacy Creations or Park. To the extent that any of the foregoing laws or regulations restrict interstate shipping by Pharmacy Creations or Park, they could have an adverse effect on our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648"/>
        <w:spacing w:after="0" w:line="253" w:lineRule="auto"/>
        <w:rPr>
          <w:sz w:val="20"/>
          <w:szCs w:val="20"/>
          <w:color w:val="auto"/>
        </w:rPr>
      </w:pPr>
      <w:r>
        <w:rPr>
          <w:rFonts w:ascii="Arial" w:cs="Arial" w:eastAsia="Arial" w:hAnsi="Arial"/>
          <w:sz w:val="18"/>
          <w:szCs w:val="18"/>
          <w:color w:val="auto"/>
        </w:rPr>
        <w:t>Certain provisions of the FDCA govern the preparation, handling, storage, marketing and distribution of pharmaceutical products. The DQSA clarifies and strengthens the federal regulatory framework governing compounding pharmacies. Title 1 of the DQSA, the Compounding Quality Act, modifies provisions of the Section 503A of the FDCA that were found to be unconstitutional by the U.S. Supreme Court in 2002. In general, Section 503A provides that pharmacies are exempt from the provisions of the FDCA requiring compliance with cGMP, labeling with adequate directions for use and FDA approval prior to marketing if the pharmacy complies with certain other requirements. Among other things, to comply with Section 503A, a compounded drug must be compounded by a licensed pharmacist for an identified individual patient on the basis of a valid prescription. Pharmacies may only compound in limited quantities before receipt of a prescription for an individual patient, and Section 503A limits the distribution of compounded drug products outside of the state in which the pharmacy is located, as described in the previous paragraph. 503A also provides certain requirements for compounding from bulk substances and prohibits compounding of products that have been withdrawn from the market for reasons of safety or efficacy and products that are demonstrably difficult to compound.</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DQSA also contained a new Section 503B of the FDCA. Section 503B provides that a facility engaged in preparing sterile compounded drug formulations may voluntarily elect to register as an “outsourcing facility,” a new entity permitted to compound large quantities of drug formulations without a prescription if the drug formulations appear on the FDA’s drug shortage list or the bulk drug substances contained in a formulation appear on a “clinical need” list to be established by the FDA, as well as distribute these formulations out of state without limitation. Entities voluntarily registering as outsourcing facilities are subject to cGMP requirements and regular FDA inspection. Currently, we operate our pharmacy business under Section 503A and applicable state pharmacy laws. However, in February 2015, entered into a lease agreement and began construction efforts for an outsourcing facility in New Jersey. We expect construction efforts to be completed during the fourth quarter of 2015. The FDA has issued final guidance addressing key aspects of Section 503A, and has requested comments with respect to key aspects of Section 503B of the FDCA. The scope of the regulations and guidance ultimately adopted by the FDA could have a significant impact on our business.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February 13, 2015, the FDA released new draft documents and guidance related to compounding of human drugs, in particular areas concerning certain provisions described in the DQSA. Among other things within the February 2015 guidance, the FDA describes that, in the event a facility is registered as an outsourcing facility, all of the facility’s compounded drugs must be compounded in accordance with Section 503B, and to cGMP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Privacy and HIPAA</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pharmacy operations involve the receipt, use and disclosure of confidential medical, pharmacy and other health-related information. In addition, we use aggregated and blinded (anonymous) data for research and analysis purposes. The federal privacy regulations under the Health Insurance Portability and Accountability Act of 1996 (HIPAA) are designed to protect the medical information of a healthcare patient or health plan enrollee that could be used to identify the individual. Among other things, HIPAA limits certain uses and disclosures of protected health information and requires compliance with federal security regulations regarding the storage, utilization of, access to and transmission of electronic protected health information. In 2009, the Health Information for Economic and Clinical Health Act modified certain provisions of HIPAA to strengthen its privacy and security provisions. The requirements imposed by HIPAA are extensive. In addition, most states have enacted privacy and security laws that protect identifiable patient information that is not health-related. Further, several states have enacted more protective and comprehensive pharmacy-related privacy legislation that not only applies to patient records but also prohibits the transfer or use for commercial purposes of pharmacy data that identifies prescribers. These regulations impose substantial requirements on covered entities and their business associates regarding the storage, utilization of, access to and transmission of personal health and non-health information. Many of these laws apply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and Medicaid Reimbursement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Medicare is a federally funded program that provides health insurance coverage for qualified persons age 65 or older and for some disabled persons with certain specific conditions. State-funded Medicaid programs provide medical benefits to groups of low-income and disabled individuals, some of whom may have inadequate or no medical insurance. Currently, most of our commercially available formulations are sold in cash transactions and our customers may choose to seek available reimbursement opportunities to the extent that they exist. We are currently in communications with third-party public and private payors regarding potential reimbursement options for certain of our proprietary formulations and we have begun hiring public and private payor billers in anticipation of the potential reimbursement opportunities for certain formulations. However,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(PPACA) and the Health Care and Education Reconciliation Act of 2010, which amended PPACA (collectively, the Health Reform Law), will result in sweeping changes to the existing U.S. system for the delivery and financing of health care and may have a considerable impact on our business. As a result, we may be unable to satisfy the requirements of Medicare, Medicaid or other third-party payors and we may never be able to obtain reimbursement from such payors for any of our formulations. To the extent we obtain third-party reimbursement for our compounded formulations, we may become subject to Medicare, Medicaid and other publicly financed health benefit plan regulations prohibiting kickbacks, beneficiary inducement and the submission of false claims.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FDA New Drug Application Process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to pursue FDA approval to market and sell one or more of our formulations through the FDA’s new drug application (NDA) process. Since the active pharmaceutical ingredients in all of our formulations have already been approved by the FDA, we could choose to pursue FDA approval of one or more of our formulations under Section 505(b)(2) of the FDCA. Section 505(b)(2) permits the submission of an NDA where at least some of the information required for approval comes from studies not conducted by or for the applicant and for which the applicant has not obtained a right of reference. The applicant may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performed for the new product and included in the NDA.</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and approved. Also, the FDA or other regulatory authorities require post-marketing reporting to monitor the adverse effects of the drug. Results of post-marketing programs may limit or expand the further marketing of the products.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fines and potential civil and criminal penalties. Physicians may prescribe legally available drugs for uses that are not described in the drug’s labeling and that differ from those tested by us and approved by the FDA. Such off-label uses can be common in some medical specialties, as physicians may believe that such off-label uses are the best treatment for certain patients in varied circumstances. The FDA does not regulate the behavior of physicians in their choice of treatments. The FDA does, however, impose stringent restrictions on manufacturers’ communications regarding off-label use.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we pursue commercialization of our proprietary formulations in countries other than the United States, then we would need to obtain the approvals required by the regulatory authorities of such foreign countries comparable to the FDA and state boards of pharmacy, and we would be subject to a variety of other foreign statutes and regulations comparable to those described in this section relating to our U.S. operations. The regulatory framework and requirements vary by country and could involve additional licensing requirements and product testing and review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and Other Matters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or may become subject to environmental laws and regulations governing, among other things, any use and disposal by us of hazardous or potentially hazardous substances in connection with our research and use of our formulations. In addition, we are subject to work safety and labor laws that govern certain of our operations and our employee relations. In each of these areas, as above, the FDA and other government agencies have broad regulatory and enforcement powers, including, among other things, the ability to levy fines and civil penalties, suspend or delay issuance of approvals, licenses or permits, seize or recall products, and withdraw approvals, any one or more of which could have a material adverse effect on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research and development expenses primarily include expenses related to the development of intellectual property acquired during the fiscal year ended December 31, 2013 and researcher and investigator-initiated evaluations and research conducted during the fiscal year ended December 31, 2014 related to our ophthalmic formulations and certain other assets.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2013, we incurred $1,616,082 in research and development expenses, as compared to $236,660 during the year ended December 31, 2014. Research and development activities decreased during the 2014 fiscal year as a result of our shift in business strategy away from our Impracor Phase 3 development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2, 2015, we employed 64 employees, of which 56 are full-time employees and 8 are part-time employees. Our employees are engaged in pharmacy operations, sales, marketing, research, development, and general and administrative functions. We expect to add additional employees in all departmental functions as we carry out our business plan in the next 12 months. We are not party to any collective bargaining agreements with any of our employees. We have never experienced a work stoppage, and we believe our employee relations are good. We hire independent contractor labor and consultants on an as-needed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were incorporated in Delaware in January 2006 as Bywater Resources, Inc. in order to conduct mineral exploration activities. We changed our name to Transdel Pharmaceuticals, Inc. on September 11, 2007. In September 2007, we closed a merger transaction with Transdel Pharmaceuticals Holdings, Inc., upon completion of which we began our operations as a pharmaceutical company.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we requested that the Bankruptcy Court dismiss the Chapter 11 Case. On December 8, 2011, the Bankruptcy Court entered an order dismissing the Chapter 11 Case.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February 28, 2012, we changed our name to Imprimis Pharmaceuticals, Inc. and effected a one-for-eight reverse split of our authorized, issued and outstanding common stock, and on February 7, 2013 we effected a one-for-five reverse split of our authorized, issued and outstanding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 2014 and January 1, 2015, we completed our acquisitions of all of the outstanding capital stock of Pharmacy Creations and Park,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currently traded on The NASDAQ Capital Market under the symbol IMMY. Our executive offices are located at 12264 El Camino Real, Suite 350, San Diego, California 92130 and our telephone number at such office is (858) 704-4040. Our website address is imprimispharma.com. Information contained on our website is not deemed part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Our business, financial condition, results of operations and stock price could be materially adversely affected by any of these risks.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incurred losses in every year of our operations, including net losses of $(10,118,103) and $(7,643,124) for the years ended December 31, 2014 and 2013, respectively. As of December 31, 2014, our accumulated deficit was $(41,865,495). On June 26, 2011, we suspended our operations and filed the Chapter 11 Case in the Bankruptcy Court.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Although we have been generating revenue from our pharmacy operations following the closing of our acquisitions of Pharmacy Creations on April 1, 2014 and Park on January 1, 2015, our ability to generate significant revenues and achieve profitability will depend on a number of factors, including our ability, alone or with others, to identify promising development opportunities and select appropriate commercialization strategies, develop and commercialize our proprietary compounded formulations, interest physicians and health care organizations in our proprietary formulations, successfully market and sell these formulations, integrate and operate Pharmacy Creations, Park and any other pharmacies or outsourcing facilities we may build or acquire in the future, establish a network of pharmacies with a broad geographic footprint, and comply with federal and state laws related to pharmaceutical compounding and, if applicable, FDA regulations for any formulations for which we pursue FDA approval, as well as the other risk factors described in this Item 1A, many of which are outside of our direct control. Our ultimate success will depend on many factors, including factors outside of our control. These activities are costly and susceptible to failure, and we may never be able to achieve or sustain market acceptance of any of our proprietary formulations or generate sufficient revenue to support our business from our pharmacy operations, or reach the level of sales and revenues necessary to achieve and sustain profitability.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third-party pharmacies, through which we can market and sell our proprietary formulations and other non-proprietary products in all 50 states. On April 1, 2014, we completed the acquisition of Pharmacy Creations, a New Jersey-based compounding pharmacy, and on January 1, 2015, we completed the acquisition of Park, a California-based compounding pharmacy, through which we have rights to dispense formulations in 40 states. Additionally, in February 2015, we entered into a lease agreement for space in New Jersey and began construction efforts to build an outsourcing facility, which we expect to be completed during the fourth quarter of 2015. We have limited experience acquiring, building or operating compounding pharmacies or other prescription dispensing facilities or commercializing our formulations through ownership of or licensing arrangements with these pharmacies. We expect to expand our operations and personnel in the pharmacy operations area in order to further develop this compounding pharmacy network, but we may experience difficulties implementing this strategy, including difficulties that arise as a result of our lack of experience, and we may be unsuccessful. For instance, we may not be successful in our efforts to integrate, manage or otherwise realize the benefits we expect from our acquisitions of Pharmacy Creations, Park or any additional pharmacy businesses or outsourcing facilities we seek to acquire or build in the future, we may not be able to satisfy applicable federal and state licensing and other requirements for any such pharmacy businesses in a timely manner or at all, changes to state and federal pharmacy regulations may restrict compounding operations or make them more costly, we may be unable to achieve a sufficient physician and patient customer base to sustain our pharmacy operations, and we may not be able to enter into licensing or other arrangements with third-party pharmacies or outsourcing facilities when desired, on acceptable terms, or at all. Moreover, all such efforts to expand out pharmacy operations and establish a pharmacy network will involve significant costs and other resources, which we may not be able to afford, disrupt our other operations and distract management and our other employees from other aspects of our operations. Our business could materially suffer if we are unable to further develop this pharmacy network and, even if we are successful, we may be unable to generate sufficient revenue to recover our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07"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expect to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efficacy of our formulations for any particular indication.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these non-FDA approved compounded formulations, particularly when an FDA-approved alternative is available. Other reasons physicians may be unwilling to prescribe or patients may be unwilling to use our proprietary customizable compounded formulations could include the following, among others: we are limited in our ability to discuss the efficacy or safety of our formulations with potential purchasers of our formulations to the extent applicable data is available; our pharmacy operations are primarily operating on a cash-pay basis and reimbursement may or may not be available from third-party payors, including the government Medicare and Medicaid programs; and our formulations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sufficient revenue through Pharmacy Creations and Park or other compounding pharmacies we may acquire or develop or with which we may partner to fund our operations and recover our development costs.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involves the preparation and sale of our proprietary formulations through a network of compounding pharmacies and outsourcing facilities. We are in the process of establishing an internal sales force to pursue marketing and sales of our proprietary and other formulations in the states in which Pharmacy Creations and Park are authorized to operate under federal and state pharmacy laws. We are also pursuing additional strategic transactions to broaden our geographic reach, including our plans to open our own outsourcing facility in New Jersey, which is currently under construction that we expect to be completed in the fourth quarter of 2015. Our Company has limited experience operating pharmacies and commercializing compounded formulations and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obtained FDA approval, only limited data will be available, if any, with respect to the safety and efficacy of our formulations for any particular indication, and we will be subject to regulatory limitations with respect to the information we can provide regarding the safety and efficacy of our formulations even if such data is available. As a result, physicians may not be interested in prescribing our formulations to their patients, and we may not generate significant revenue from sales of our proprietary formulations and other products. In addition, we are substantially dependent on Pharmacy Creations, Park, any other pharmacies or prescription dispensing facilities we acquire or develop and any pharmacy partners with which we may contract to compound and sell our formulations in sufficient volumes to accommodate the number of prescriptions they receive. We may be unable to acquire, build or enter into agreements with pharmacies or outsourcing facilities of sufficient size, reputation and quality to implement our business plan, and our pharmacy partners may be unable to compound our formulations successfully. If physicians and healthcare organizations were to request our formulations in quantities our pharmacies or pharmacy partners are unable to fill, our business would suffer.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our proprietary formulations are comprised of active pharmaceutical ingredients that are components of drugs that have received marketing approval from the FDA, although our proprietary compounded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prohibitions 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These and other restrictions on the activities of compounding pharmacies may significantly limit the market available for compounded formulations, as compared to the market available for FDA-approved drugs.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pharmacy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including state pharmacy licensure, registration or permit standards; rules and regulations issued pursuant to HIPAA and other state and federal laws related to the use, disclosure and transmission of health information; state and federal controlled substance laws; and statutes and regulations related to FDA approval for the sale and marketing of new drugs and medical devices. Our failure to comply with any of these laws and regulations could severely limit or curtail our pharmacy operations, which would materially harm our business and prospects. Further, our business could be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Pharmacy Creations, Park or any other pharmacy or outsourcing facility we acquire or build or with which we partner fails to comply with the Controlled Substances Act, FDCA, or state statutes and regulations, the pharmacy could be required to cease operations or become subject to restrictions that could adversely affect our business.</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and subject pharmacies to oversight by state boards of pharmacy and other regulators that could impose burdensome requirements or restrictions on operations if a pharmacy is found not to comply with these laws. For example, on May 14, 2014, Pharmacy Creations entered into a voluntary interim consent order with the Office of the Attorney General of the State of New Jersey and New Jersey State Board of Pharmacy related to its sterile compounding activities, pursuant to which Pharmacy Creations has agreed to conduct four additional mandatory third-party inspections by August 2015. Completing these additional third-party inspections will involve significant additional costs to us and will distract management and Pharmacy Creations employees from other aspects of our business. This consent order is not a disciplinary action or sanction or an admission of liability on the part of the pharmacy, and we believe that Pharmacy Creations is in material compliance with applicable regulatory requirements. However, if Pharmacy Creations or Park fails to comply with such requirements, it could be forced to permanently or temporarily cease or limit its sterile compounding operations, which would severely limit our ability to market and sell our proprietary formulations and would materially harm our operations and prospects. Any such noncompliance could also result in complaints or adverse actions by respective state boards of pharmacy, FDA inspection of the facility to determine compliance with the FDCA, loss of FDCA exemptions provided under Section 503A, warning letters, injunctions, prosecution, fines, loss of required government licenses, certifications and approvals, any of which could involve significant costs and could cause us to be unable to realize the expected benefits of these pharmacies’ operations. Although we ultimately expect to distribute our proprietary formulations through a network of compounding pharmacies, we may not be successful in establishing such a network and the loss or limitation of Pharmacy Creation’s or Park’s ability to compound sterile formulations would have an immediate adverse impact on our ability to successfully and timely implement our business plan.</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of the states into which Pharmacy Creations and Park deliver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Further, under federal law Section 503A of the FDCA seeks to limit the amount of compounded products that a pharmacy can dispense interstate. The interpretation and enforcement of that provision is dependent on the FDA entering into a MOU with each state setting forth limits on interstate compounding. In February 2015, the FDA presented a draft MOU that, if adopted, and signed by states would limit the amount of interstate units dispensed from a compounding pharmacy to 30% of all compounded and non-compounded units dispensed or distributed by the pharmacy per month. This MOU, if adopted and signed by states, and any other state laws or requirements that may be enacted that prohibit or restrict the interstate operations of pharmacies could involve significant additional costs to us in order to sell compounded formulations in certain states and could have an adverse effect on our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There are many competitive risks related to the marketing and sale of our proprietary formulations and operating a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and we may lack the financial and other resources needed to develop, produce, distribute, market and commercialize any of our proprietary formulations or compete for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USP &lt;795&gt; and USP &lt;797&gt; and applicable state and federal law, our proprietary compounded formulations are not required to be, and have not been, approved for marketing and sale by the FDA and, as a result, some physicians may be unwilling to prescribe, and some patients may be unwilling to use, our formulations. Additionally,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who can in turn sell to and supply hospitals and retail pharmacies. As a result, our business may not be scalable on the scope available to our competitors with FDA-approved drugs, which may limit our potential for profitable operations. These facets of our operations may subject our business to limitations our competitors with FDA-approved drugs may not face.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if any,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developing the products, which may require that we seek to raise additional funds to continue our operations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success of our proprietary formulations include the size of the market for such products, which could be smaller than we expect, the timing of market entry relative to competitive products, the availability of alternative compounded formulations or approved drugs, the price of our formulations and services relative to these alternative products, the availability of third-party reimbursement and the success of our sales and marketing efforts.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including our proprietary formulations and pharmacy operations, is highly dependent upon medical and patient perceptions of us and the safety and quality of our products. We could be adversely affected if we or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For instance, to the extent any of the components of approved drugs or other ingredients used by Pharmacy Creations and Park to produce our compounded formulations have quality or other problems that adversely affect the finished compounded preparations, our business could be adversely affected.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To assure compliance with USP guidelines, we have implemented a policy whereby 100% of all sterile compound batches produced by Pharmacy Creations and Park are tested both in-house and externally by an independent, FDA registered laboratory that we understand based on the laboratory’s representations operates in compliance with current good laboratory practices prior to their delivery to patients and physicians.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such laboratory testing may produce false positives, which could harm our business and impact our pharmacy operations and licensure even if the impacted formulations are ultimately found to be sterile and no patients were harmed by them. If adverse events or deaths or a product recall, either voluntarily or as required by the FDA or a state board of pharmacy, were associated with one of our proprietary formulations or any compounds prepared by Pharmacy Creations, Park, or any other acquired or developed pharmacy or pharmacy partner, our reputation may suffer, physicians may be unwilling to prescribe our proprietary formulations or order any prescriptions from such pharmacies, we may become subject to product and professional liability lawsuits, or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Currently, Pharmacy Creations and Park operate on mostly a cash-pay basis and do not submit large amounts of claims for reimbursement through Medicare, Medicaid or other third-party payors, although our customers may choose to seek available reimbursement opportunities to the extent that they exist. We are currently in communications with third-party public and private payors regarding potential reimbursement options for certain of our proprietary formulations, but we may be unsuccessful in these efforts. Many third-party payors have imposed significant restrictions on reimbursement for compounded formulations in recent years. Additionally, even if we were to pursue and obtain FDA-approval for a particular product candidate, significant uncertainty exists as to the reimbursement status of newly approved health care products.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it may not be sufficient to allow us to sell the products on a competitive basis. If government and other third-party payors do not provide adequate coverage and reimbursement levels for our formulations, the market acceptance for our formulations may be limited.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estimates of our future operating and capital expenditures are based upon our current business plan, the anticipated expenses associated with our Pharmacy Creations and Park operations and our current expectations regarding the commercialization of our proprietary formulations. Our projections have varied significantly in the past as a result of changes to our business model and strategy, including our discontinuation of our historical Impracor program in November 2013, and our acquisitions of Pharmacy Creations, Park and product development opportunities. We have limited experience operating a pharmacy and commercializing compounded formulations, and we may not accurately estimate expenses and potential revenue associated with these activities. Additionally, our operating expenses may fluctuate significantly as a result of a variety of factors, including those discussed in this Item 1A, some of which are outside of our direct control. If we are unable to correctly estimate the amount of cash necessary to fund our business, we could spend our available financial resources much faster than we currently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our acquisition of Pharmacy Creations and Park to provide us with limited research and development support and access to additional novel compounded formulations. However, we have historically relied, and we expect to continue to rely, primarily upon third parties to provide us with additional opportunities. In 2013, we entered into three asset purchase agreements for development opportunities as a result of referrals from Professional Compounding Centers of America (PCCA) pursuant to our strategic alliance agreement with PCCA. Although the term of the strategic alliance agreement currently extends until February 18, 2016 and automatically extends for successive one year periods unless either party provides notice of non-renewal, we do not expect to obtain additional referrals and development opportunities through PCCA. In October 2014, we entered into a license agreement with Urigen that provides us with, in exchange for certain royalty and diligence obligations, development and commercialization rights in the U.S. with respect to HLA for the prevention and treatment of lower urinary tract disorders. We may seek to enter into similar arrangements with other third parties and for other formulations in the future, but only if we are able to identify attractive formulations and negotiate agreements with their owners on terms acceptable to us, which we may not be able to do. If we are unable to utilize Pharmacy Creations, Park and our current and future relationships with pharmacists, physicians and other inventors to provide us with additional development opportunities, our growth opportunities may be limited. Moreover, we have limited resources to acquire additional potential product development assets and integrate them into our business and acquisition opportunities may involve competition among several potential purchasers, which could include large multi-national pharmaceutical companies and other competitors that have access to greater financial resources than we do.</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pharmacist, physician and research consultants and advisors also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existing or any new product candidates. As a result, we face financial and operational risks and uncertainties in connection with any future product or technology acquisitions, and those we do complete may not be beneficial to us in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will acquire rights in the future. We have entered into three asset purchase agreements for assets related to compoundable formulations and one license agreement for rights to commercialize a compounding formulation since May 2013.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There are numerous difficulties and risks inherent in acquiring, developing and commercializing new formulations and product candidates, including the risks identified in this Item 1A.</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develop a commercialization strategy for the product candidate. These commercialization strategies could include, among others, marketing and selling the formulation in compounded form through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distract our management.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charges specific to the transaction and not incident to our operations,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efforts to complete any significant transaction, we would need to expend significant resources to conduct business, legal and financial due diligence, with the goal of identifying and evaluating material risks involved in the transaction. Despite our efforts, we may be unsuccessful in ascertaining or evaluating all such risks and, as a result, we may not realize the expected benefits of any such transaction, whether due to unidentified risks, integration difficulties, regulatory setbacks or other events, and we may incur material liabilities for the past activities of acquired businesses. If any of these events were to occur, we could be subject to significant costs and damage to our reputation and our business, results of operations and financial condition could be adversely affected.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only recently started generating cash from operations, but do not yet receive significant revenues from these operations. Although we believe we have sufficient cash reserves to operate our business for at least the next 12 months, we will need significant additional capital to execute our business plan and fund our proposed business operations. Additionally, our plans for this period may change, our estimates of our operating expenses and working capital requirements could be inaccurate, we may pursue acquisitions of pharmacies or other strategic transactions that involve one-time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raised $21.5 million in funds through equity financings since April 2012. We may seek to obtain additional capital through additional equity or debt financings, funding from corporate partnerships or licensing arrangements, sales or assets or other financing transactions. If additional capital is not available when necessary and on acceptable terms, we may need to forego pursuit of potentially valuable development or acquisition opportunities, we may not be able to continue to operate our business pursuant to our business plan or we may be forced to discontinue our operations entirely.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be required to relinquish potentially valuable rights to our product candidates or proprietary technologies, or grant licenses on terms that are not favorable to us. If we raise funds by incurring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financial or operational covenants with which we must comply.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with the development of internal sales teams and education campaigns to market our proprietary ophthalmology and urology formulations. We will need to expend significant resources to further establish and grow this internal infrastructure and properly train sales personnel with respect to regulatory compliance matters. We may also choose to engage third parties to provide sales and marketing services for us, either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we may be unable to sell our formulations or services or generate revenue.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and other system failures.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such cybersecurity or system failure, accident or breach to date, if such an event were to occur, it could result in a material disruption of our operations, substantial costs to rectify or correct the failure, if possible, and potentially violation of HIPAA and other privacy laws applicable to our pharmacy operations. If any disruption or security breach resulted in a loss of or damage to our data or applications or inappropriate disclosure of confidential or proprietary information, we could incur liability, further development of our proprietary formulations could be delayed, and our pharmacies could be disrupted, subject to restriction or forced to terminate their operations, any of which could severely harm our business and prospects.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our current business strategy is focused on developing and commercializing product opportunities as compounded formulations, we may choose to seek FDA regulatory approval to market and sell one or more of our assets as a FDA-approved drug.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of our potential product candidates, we would be required to demonstrate through preclinical studies and clinical trials that the product candidate is safe and effective for each intended use. Preclinical and clinical studies may fail to demonstrate the safety and efficacy of our potential product candidates. Even promising results from preclinical and early clinical studies do not accurately predict positive results in later, large-scale trials.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with respect to its distribution, which could limit revenues, and we would be subject to extensive and costly post-approval requirements and oversight with respect to our commercialization of the product candidate.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or the termination of, any clinical and non-clinical trials for any product candidates for which we seek FDA approval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may take significantly longer to complete and involve significantly more costs than expected.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trial for Impracor.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with clinical research organizations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on research and development efforts for the product candidate and would have a material adverse effect on our business, results of operations, financial condition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formulations.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CROs and others to design, conduct, analyze and interpret the results of studies in connection with the research and development of our products. In addition, we have in the past provided and expect to continue to provide grants to physicians and other healthcare organizations to support investigator-initiated studies of our proprietary formulations. We generally have only very limited contractual rights in connection with the conduct of any such studies. In addition, if we were to participate in clinical trials conducted under an approved investigator-sponsored NDA, correspondence and communication with the FDA pertaining to these trials would strictly be between the investigator and the FDA. The communication and information provided by the investigator may not be appropriate and accurate, which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for any drug candidates we determine to pursue are not in our direct control.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to regulatory agencies. Failure of these third parties to meet their obligations could adversely affect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would be subject to extensive continuing regulatory requirements and review, including review of adverse drug experiences and clinical results from any post-marketing tests or continued actions required as a condition of approval. The manufacturer and manufacturing facilities we would use to produce any such drug preparations would be subject to periodic review and inspection by the FDA, and we would be reliant on these third parties to maintain their manufacturing processes in compliance with FDA and all other applicable regulatory requirements. Any changes to a product that may have achieved approval, including the way it is manufactured or promoted, would often require FDA approval before the product, as modified, could be marketed. In addition, we and our contract manufacturers would be subject to ongoing FDA requirements for submission of safety and other post-market information. If we or our contract manufacturers failed to comply with these or any other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Historically, our business was focused on developing and commercializing our product candidate Impracor under the regulatory pathway provided by Section 505(b)(2) of the FDCA. In August 2013, our contract manufacturer for the materials to be used in a proposed Phase 3 clinical trial of Impracor notified us that such materials had demonstrated out of specification and decreasing stability test results, which we believe could likely have resulted in the materials being unusable for the duration of the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trial for Impracor and terminated all development programs for Impracor. We do not expect we will identify or pursue a successful commercialization pathway for Impracor. Even if we were to pursue commercialization of Impracor or sell compounded formulations utilizing the Impracor technology through our pharmacy operations, we would not expect to achieve sales and revenues necessary to recover our historical costs associated with the Impracor development program.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March 2, 2015, we owned 12 U.S. patent applications, including nine utility and three provisional patent applications, and we owned five international patent applications filed under the Patent Cooperation Treaty. However, the applications we have filed or may file may never yield patents that protect our inventions and intellectual property assets. Failure to obtain patents for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in patents or other appropriate intellectual property protection in not obtained and their competitiveness and value decreases.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to which we have acquired rights,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We also have invention or patent assignment agreements with our current employees and certain consultants. However, our employees and consultants may breach these agreements and we may not have adequate remedies for any breach, or our trade secrets may otherwise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While we have filed five international patent applications under the Patent Cooperation Treaty,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were to file international patent applications for any of our current or future proprietary formulations and patents were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or unauthorized use. Moreover, attempting to enforce our patent rights in foreign jurisdictions could result in substantial costs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rights of others. If our products infringe or conflict with the patent or other intellectual property rights of others, third parties could bring legal actions against us claiming damages and seeking to enjoin our manufacturing and marketing of affected products. Patent litigation is costly and time consuming and may divert management’s attention and our resources. We may not have sufficient resources to bring any such actions to a successful conclusion. If we are not successful in defending against these legal actions should they arise, we may be subject to monetary liability, be forced to alter our products or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CEO,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CEO,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to and leadership of our Company would likely materially adversely impact the Company. We presently do not have key man insurance for Mr. Baum.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terminated all of our employees following our filing of the Chapter 11 Case. Since the dismissal of the Chapter 11 Case in December 2011, we have developed a new business model and have focused on rebuilding our management, pharmacy, research and development, sales and marketing and other personnel in order to pursue this business model. However, because of our history, we may have significant difficulty attracting and retaining necessary employees. In addition, because of the specialized nature of our business, our ability to develop products and to compete will remain highly dependent, in large part,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including our research and development activities. Our agreements with our consultants typically provide that the consultant may terminate the agreement with advanced notice to us. If any of our consultants terminates their engagement with us, or we are unable to engage highly qualified replacements as necessary for our business,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 We may not be able to manage our existing consultants or find other competent outside contractors and service providers on commercially reasonable terms, or at all.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1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although the details for implementation of many of the requirements under the Health Reform Law will depend on the promulgation of regulations by a number of federal government agencies. It is impossible to predict the final requirements of the Health Reform Law, any other changes to laws and regulations affecting the healthcare industry, or the net effect of these requirements or changes on our business, operations or financial performance.</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Because of their significant stock ownership, some of our existing stockholders are able to exert control over us and our significant corporate decisions, and sales of common stock by these stockholders from time to time could have an adverse effect on our stock price.</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executive officers and directors own or have the right to acquire within 60 days after March 10, 2015, in the aggregate, approximately 17% of our common stock that would be outstanding following such issuances. In addition, five individual stockholders own, or have the right to acquire within 60 days after March 10, 2015, an additional approximately 41% of our common stock that would be outstanding following such issuances. The sale of even a portion of these shares, or the perception that such sales may occur, would likely have a material adverse effect on our stock price. In addition,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Bylaws permit our stockholders to act by written consent, a limited number of stockholders may approve stockholder actions without holding a meeting of stockholders. This concentration of ownership may harm the market price of our common stock by, among other things:</w:t>
      </w:r>
    </w:p>
    <w:p>
      <w:pPr>
        <w:spacing w:after="0" w:line="224" w:lineRule="exact"/>
        <w:rPr>
          <w:sz w:val="20"/>
          <w:szCs w:val="20"/>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or changes to our board of directors;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operating results could be misstated, our reputation may be harmed and the trading price of our stock could decline. As we discuss in Item 9A of this Annual Report, our management concluded that our internal controls over financial reporting were effective as of December 31, 2014.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been “thinly-traded.” There have been, and may in the future continue to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97" w:lineRule="exact"/>
        <w:rPr>
          <w:sz w:val="20"/>
          <w:szCs w:val="20"/>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20" w:hanging="237"/>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or regulatory developments;</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 factors affecting our business discussed in this Item 1A.</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would likely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the dividend rights, dissolution or liquidation preferences, redemption prices, conversion rights, voting rights, and other rights, preferences and privileges for any series of our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of 1933, as amended (the “Securities Act”)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lease approximately 7,565 square feet of office space in San Diego, California, the current lease term for which expires on October 31,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facility serves as our corporate headquarters.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lease approximately 8,602 square feet of lab, warehouse and office space in Roxbury, New Jersey, the current lease term for which expires on July 31, 2022. This facility is currently under construction to serve as an outsourcing facility and pharmacy and will replace our current New Jersey based pharmacy facility.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4,500 square feet of lab and office space in Irvine, California, the current lease term for which expires on December 31, 2020. This facility is our California-based pharmacy.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approximately 3,137 square feet of lab and office space in Randolph, New Jersey, the current lease term for which expires on December 31, 2015. This facility is our current New Jersey-based pharmacy.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lease approximately 3,784 square feet of office space in San Diego, California, the current lease term for which expires on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space previously served as our corporate headquarters and is currently being subleased through the lease term.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additional space will be required in the near-term.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began trading on The NASDAQ Capital Market on February 8, 2013 under the symbol “IMMY”. Prior to that, our common stock was quoted for trading on several different over-the-counter quotation systems, including the OTC Marketplace QB tier, where it was quoted from February 24, 2012 until February 7, 2013.</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table sets forth (i) the high and low last-bid prices for our common stock for the periods indicated prior to February 8, 2013, as reported by the OTC Marketplace QB tier, and (ii) the high and low sale prices for our common stock as reported by The NASDAQ Capital Market for the periods indicated commencing on February 8, 2013. The liquidity of our shares when quoted on the OTC Marketplace QB tier was extremely limited, and the quotations during those periods reflect inter-dealer prices, without retail mark-up, mark-down or commission, and may not represent actual transactions.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Fiscal Year 2013</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High</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6"/>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Fiscal Year 2014</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6"/>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8.56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9.24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5, 2015 there were approximately 133 stockholders of record (excluding an indeterminable number of stockholders whose shares are held in street or “nominee” name)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paid any dividends on our common stock since our inception and do not expect to pay dividends on our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October 2014, we issued 4,000 restricted shares of common stock, valued at $29,160, to a consultant in consideration for consulting services provided. The common stock was sold and issued in reliance on the exemption from the registration requirements of the Securities Act afforded by Section 4(a)(2) thereof in reliance upon the following facts: the shares were issued to one consultant who represented to us that it was an accredited investor (as that term is defined in Rule 501 of Regulation D under the Securities Act) and that it was purchasing the securities for its own account and not with a view to distribute them; we did not use general solicitation or advertising to market the securities; and the shares were issued as restricted securities.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and December 2014, we issued an aggregate of 3,774 shares of common stock upon the exercise of warrants to purchase 9,363 shares of common stock, some of which were exercised for cash for gross proceeds of $373 and others of which were exercised pursuant to cashless exercise provisions. Certain of the warrants were issued in April 2012 as part of a private placement of securities, and certain of the warrants were issued in February and March 2013 to the lead underwriter for a registered public offering of our common stock. Neither the warrants nor the common stock issued upon exercise of the warrants have been registered under the Securities Act. The securities were sold and issued in reliance on the exemption from the registration requirements of the Securities Act afforded by Section 4(a)(2) thereof in reliance upon the following facts: we did not use general solicitation or advertising to market the securities; each warrant holder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consolidated financial statements and the related notes contained in this annual report on Form 10-K (Annual Report). In addition to historical information, the following discussion contains forward-looking statements based upon our current views, expectations and assumptions that are subject to risks and uncertainties. Actual results may differ substantially from those expressed or implied by any forward-looking statements due to a number of factors, including but not limited to the risks described in the section entitled “Risk Factors” and elsewhere in this Annual Report.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Unless otherwise stated, all information regarding share amounts of common stock and prices per share of common stock described in this Annual Report reflect the reverse stock splits of our authorized, issued and outstanding common stock effected on February 28, 2012 and February 7, 2013. As used in this discussion and analysis, unless indicated or the context requires otherwise, the terms the “Company”, “Imprimis” “we”, “us” and “our” refer to Imprimis Pharmaceuticals, Inc. and its consolidated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pharmaceutical company focused on developing and commercializing innovative and high quality proprietary compounded drug therapies and making these therapies available to physicians and patients at accessible prices. We own, market and sell a portfolio of proprietary combination formulations in ophthalmology and urology that we believe may offer competitive advantages and serve unmet needs in the marketplace. Our ophthalmology formulation portfolio, led by our Dropless Therapy™ and LessDrops™ formulations, serves the multi-billion dollar eye drop market and is designed to address patient compliance issues and provide other medical and economic benefits to physicians and patients. Our recently launched urology business, headed by our Defeat IC™ campaign, currently includes a patented compounded formulation for patients suffering from interstitial cystitis. We are also developing additional complementary proprietary compounded formulations to add to our ophthalmology and urology formulation portfolios. We make, dispense and sell our proprietary compounded formulations, as well as other non-proprietary products, through our compounding pharmacies Pharmacy Creations, LLC (Pharmacy Creations) and South Coast Specialty Compounding, Inc. D/B/A Park Compounding (Park).</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proprietary compounded formulations are born from the clinical experience of a network of inventors, including physician prescribers, clinical researchers and pharmacist formulators, who develop and prescribe customized medicines for individual patient needs. Working collaboratively with these inventors, we identify and evaluate intellectual property related to these drug formulations, assess relevant markets, and seek to validate the clinical experience of a development candidate with the objective of investing in commercialization activities. We believe our model allows us to meet the realities of the current health care economy by offering quality pharmaceutical innovation at accessible prices.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recurring operating losses, and have had negative operating cash flows since July 24, 1998 (inception). In addition, we have an accumulated deficit of approximately $41.9 million at December 31, 2014. Beginning on April 1, 2014, we began generating revenue from sales of certain of our proprietary ophthalmic drug formulations and other non-proprietary formulations; however, we expect to incur further losses as we integrate and develop our pharmacy operations, evaluate other programs and continue the development of our formulations.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Compounded Proprietary Formulations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Ophthalmic Formulations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currently commercially available ophthalmic formulations include the following, marketed under our Dropless Therapy and LessDrops campaigns:</w:t>
      </w:r>
    </w:p>
    <w:p>
      <w:pPr>
        <w:spacing w:after="0" w:line="197"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Tri-Moxi, a compounded formulation that is a combination of triamcinolone acetonide and moxifloxacin hydrochloride, used as an injection during ocular surgery and as an eye drop pre- and post-ocular surgery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Tri-Moxi-Vanc, a compounded formulation that is a combination of triamcinolone acetonide, moxifloxacin hydrochloride and vancomycin, used as an injection during ocular surgery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Pred-Moxi, a compounded formulation that is a combination of prednisolone and moxifloxacin hydrochloride, used as an eye drop pre- and post-ocular surgery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Dropless Therapy compounded formulations include Tri-Moxi and Tri-Moxi-Vanc used as an injectable during ocular surgery, which ophthalmologists have reported has substantially reduced or in most cases, eliminated the need for patient-administered eye drops following ocular surgeries they have performed. Since the launch of our associated Go Dropless™ educational campaign in April 2014, more than 240 ophthalmologists have started to use our Dropless Therapy compounded formulations, and since their inception, Dropless Therapy compounded formulations have been used in over 50,000 ocular surgeries, primarily cataract surgeries. In the future, we aim for our Dropless Therapy to be initiated at additional high volume cataract surgery practices, hospitals and large ambulatory surgery centers throughout the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257" w:lineRule="auto"/>
        <w:rPr>
          <w:sz w:val="20"/>
          <w:szCs w:val="20"/>
          <w:color w:val="auto"/>
        </w:rPr>
      </w:pPr>
      <w:r>
        <w:rPr>
          <w:rFonts w:ascii="Arial" w:cs="Arial" w:eastAsia="Arial" w:hAnsi="Arial"/>
          <w:sz w:val="18"/>
          <w:szCs w:val="18"/>
          <w:color w:val="auto"/>
        </w:rPr>
        <w:t>Our Pred-Moxi and Tri-Moxi topical compounded formulations, branded as LessDrops, were introduced during the first quarter of 2015 as combination compounded eye drops for patients following laser refractive surgery, including LASIK and photorefractive keratectomy (PRK), cataract and other ocular surgeries. We estimate that our LessDrops compounded formulations can require up to 50% fewer drops to be administered by patients post-surgery and may cost up to 75% less than other currently available post-surgery drops regimens. We plan to continue to add to our portfolio of LessDrops topical compounded formulations and deliver additional eye drop choices for our customers.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acquired intellectual property related to lyophilized (or freeze-dried), preservative-free, sulfite-free epinephrine, phenylephrine and lidocaine, commonly used as mydriatic (pupil dilation) compounded formulations that use various combinations of these ingredients. We have made and expect to increase sales of multiple ophthalmic compounded formulations per patient or case in one or more kits. For example, we may sell a compounded formulation of injectable Tri-Moxi along with a mydriatic compounded formulation for the same individually identified patient, and also include additional non-proprietary ophthalmic compounded formulations, all as a part of a kit.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Urologic Formulations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currently commercially available urologic compounded formulation consists of a patented formulation of heparin and alkalinized lidocaine (HLA or Hep-Lido-A), to which we acquired development and commercialization rights in 2014. HLA is delivered directly to the bladder for the treatment of interstitial cystitis (IC), also known as painful bladder syndrome. Since the HLA formulation first became available as a compounded drug in 2011, there have been an estimated 140,000 HLA instillation procedures completed in the U.S. During the first quarter of 2015, we commercially launched our HLA compounded formulation and introduced Defeat IC, our national education campaign designed to increase awareness among medical practitioners about IC and our HLA treatment option.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acquired intellectual property related to an injectable compounded formulation comprised of pentoxifylline for the treatment of certain fibrotic conditions, including Peyronie’s Disease (PD). A researcher-initiated study using our patent-pending pentoxifylline compounded formulation for the treatment of PD was initiated in 2014, and we may commercially launch this compounded formulation following the completion of the research and release of its results, which is expected in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Pharmacies and Outsourcing Facilities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One of our key strategies is the use of compounding pharmacies to formulate our proprietary compounded drug formulations and distribute them to physicians and patients. Compounding pharmacies work with physicians to develop customized medications for individually identified patients, and the compounding pharmacy prepares these customized formulations upon receipt of a physician prescription for an individual patient. Pharmacy Creations and Park, our wholly owned pharmacies accredited by the Pharmacy Compounding Accreditation Board (PCAB), make, dispense and sell our proprietary ophthalmology and urology compounded formulations, complementary compounded formulations within the ophthalmology and urology therapeutic areas, and other non-proprietary compounded formulations in other therapeutic areas. Our pharmacies are collectively licensed to distribute compounded formulations in 40 states. In February 2015, we entered into a lease agreement for space in New Jersey and began construction efforts to build an outsourcing facility, which will be required to comply with certain additional requirements, including adherence to current good manufacturing practices (cGMP), and will be permitted to compound large quantities of certain drug formulations without a prescription and distribute these formulations out of state without limitation. We expect construction efforts for our New Jersey-based outsourcing facility to be completed in the fourth quarter of 2015. We are also in the process of developing “ImprimisRx” as a uniform brand for our drug fulfillment facilities, pharmacies and operations, which we intend to launch in 2015. We operate our pharmacy business under the regulatory framework described in the Drug Quality and Security Act (DQSA) of 2013, the Federal Food Drug and Cosmetic Act (FDCA) and applicable state pharmacy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Impracor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business focused on developing, obtaining approval from the U.S. Food and Drug Administration (FDA) for, and commercializing our former topical pain management product candidate Impracor. After considering the totality of circumstances surrounding the development of and clinical trial requirements for Impracor, including certain manufacturing and formulation issues, in November 2013 we announced our discontinuation of the proposed Phase 3 clinical trial for Impracor. We do not expect to resume a Phase 3 clinical trial for Impracor or otherwise invest in the commercial development of this asset.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plan for the next 12 months is focused on increasing sales of our proprietary ophthalmic and urologic compounded formulations and certain non-proprietary products, normalization of pricing for our proprietary compounded formulations, and growing our prescription fulfillment and dispensing capabilities. Additionally, we plan to continue to pursue development and commercialization opportunities for certain of our ophthalmology, urology and other assets that we have not yet made commercially available as compounded formulations. All of these activities will require significant costs and other resources, which we may not have or be able to earn from operations or other sources. See “—Liquidity and Capital Resources”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7"/>
          <w:szCs w:val="17"/>
          <w:color w:val="auto"/>
        </w:rPr>
        <w:t>Although we have engaged distributors for certain of our proprietary compounded formulations in non-U.S. markets, we expect to continue to focus our efforts on our U.S. commercial opportunities during 2015. For our proprietary ophthalmic and urologic compounded formulations, we have developed and plan to continue to build small internal sales and commercialization teams that are focused on growing sales of these compounded formulations through, among other things, educating doctors, ambulatory surgery centers, hospitals throughout the U.S. and other users about our products. However, we have limited experience developing and commercializing compounded formulations and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and some physicians may be hesitant to prescribe, and some patients may be hesitant to purchase and use, these non-FDA approved formulations, particularly when an FDA-approved alternative is available.</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make, dispense and sell our commercially available proprietary compounded formulations and certain other non-proprietary products through our wholly-owned subsidiaries, Pharmacy Creations and Park, pursuant to a prescription for an individually identified patient. Additionally, in February 2015, we entered into a lease agreement for space in New Jersey and commenced construction efforts to build an outsourcing facility, which we expect to be completed in the fourth quarter of 2015. We plan to develop our pharmacy operations into a network of pharmacies and other prescription dispensing facilities to deliver our proprietary compounded formulations to patients. Our efforts to establish a widespread compounding pharmacy network may not be successful, whether due to difficulties integrating, managing or otherwise realizing the benefits of our acquisitions of Pharmacy Creations, Park or any additional pharmacy businesses or outsourcing facilities we seek to acquire or build in the future, inability to satisfy applicable federal and state licensing and other requirements for any such pharmacy businesses in a timely manner or at all, changes to state and federal pharmacy regulations that restrict compounding operations or make them more costly, failure to achieve a sufficient physician and patient customer base to sustain our pharmacy operations, and inability to enter into licensing or other arrangements with third-party pharmacies or outsourcing facilities when desired, on acceptable terms, or at all. Moreover, all such efforts to expand out pharmacy operations and establish a pharmacy network will involve significant costs and other resources, which we may not be able to afford, disrupt our other operations and distract management and our other employees from other aspects of our operations.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proprietary ophthalmic compounded formulations are currently primarily available on a cash-pay basis. We plan to devote time and other resources to seek reimbursement opportunities for these and other compounded formulations and normalize the pricing for our currently available proprietary ophthalmic compounded formulations. We believe there is an economic argument that would allow for price optimization of Dropless Therapy compounded formulations, manufactured to cGMP guidelines, to be priced at or near $100 per unit. According to our internally conducted research, we believe this potentially could allow for Medicare and other public payors to save approximately $1 billion a year by substantially eliminating the higher costs of currently available eye drops. We have been in communications with third-party public and private payors regarding potential reimbursement options for certain of our proprietary compounded formulations, but we may be unsuccessful in these efforts.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As a result, reimbursement from insurance companies and other third-party payors may never be available for any of our products or, if available, it may not be sufficient to allow us to sell the products on a competitive basis.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also plan to pursue the development of additional proprietary compounded formulations in the ophthalmology, urology or other therapeutic areas, which may include continued activities to develop and commercialize current assets or, if and as opportunities arise, potential acquisitions of new intellectual property rights and assets. However,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Acquisition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1, 2015, we completed the acquisition of all of the outstanding capital stock of Park pursuant to a stock purchase agreement entered in November 2014. At the closing of the Park acquisition, we paid an aggregate cash purchase price of $3,000,000, net of fees and expenses, subject to adjustment based on the final calculation of Park’s working capital and certain other financial information, and issued 63,525 shares of our common stock, valued at $500,000 based on the average closing price of our common stock for the 10 trading days preceding the issuance date. In addition, we are obligated to make 12 quarterly cash payments of $53,125 each over the three years following January 1, 2015, totaling $637,500. The sellers of Park have the option to receive the last six of such quarterly payments, totaling up to an aggregate of $318,750, in the form of 6,749 shares of our common stock for each such payment. In connection with our acquisition of Park, we have entered into an employment agreement with one of the founders of Park, who now serves as the Senior Director of Corporate Development of Park.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Urigen License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24, 2014, we entered into a license agreement with Urigen Pharmaceuticals, Inc. (Urigen), pursuant to which Urigen granted us a license under certain U.S. patents and patent applications to develop and sell in the U.S. our HLA compounded formulation for the prevention or treatment of disorders of the lower urinary tract. Such license is non-exclusive; provided that, between April 24, 2015 and October 24, 2015, we will have the right, at our option, to convert the non-exclusive license to an exclusive license for the remaining term of the license agreement, subject only to certain specified existing sublicenses.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consideration for the license granted by Urigen, we agreed to pay annual tiered royalties based on our sales of HLA, subject to certain minimum annual royalty payments. The annual tiered royalties consist of the greater of (i) $0.50 per ml, and (ii) 15% - 20% of our net sales of HLA, with the royalty within this range depending on the our aggregate sales of HLA during the period to which the royalty payment applies. We are obligated to pay such royalties beginning with our first commercial sale of HLA and continuing until the expiration of the patents subject to the license agreement. We have also agreed to use commercially reasonable efforts to develop and commercialize HLA according to the terms of a diligence plan, which efforts will include, without limitation, our investment of $2,000,000 in commercialization efforts of HLA over the 18-24 months following October 24,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Creations Acquisition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 2014, we acquired all of the outstanding membership interests of Pharmacy Creations.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the closing of the acquisition of Pharmacy Creations, we paid an aggregate cash purchase price of $600,000. In addition, the sellers of Pharmacy Creations are entitled to receive additional contingent consideration upon the satisfaction of certain conditions, as follows:</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if the following revenue milestones are met:</w:t>
      </w:r>
    </w:p>
    <w:p>
      <w:pPr>
        <w:spacing w:after="0" w:line="248" w:lineRule="exact"/>
        <w:rPr>
          <w:sz w:val="20"/>
          <w:szCs w:val="20"/>
          <w:color w:val="auto"/>
        </w:rPr>
      </w:pPr>
    </w:p>
    <w:p>
      <w:pPr>
        <w:ind w:left="1100" w:hanging="209"/>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Pharmacy Creations earns revenue of over $7,500,000 during the 12 month period ending March 31, 2016, all 215,190 shares;</w:t>
      </w:r>
    </w:p>
    <w:p>
      <w:pPr>
        <w:spacing w:after="0" w:line="333" w:lineRule="exact"/>
        <w:rPr>
          <w:rFonts w:ascii="Arial" w:cs="Arial" w:eastAsia="Arial" w:hAnsi="Arial"/>
          <w:sz w:val="18"/>
          <w:szCs w:val="18"/>
          <w:color w:val="auto"/>
        </w:rPr>
      </w:pPr>
    </w:p>
    <w:p>
      <w:pPr>
        <w:jc w:val="both"/>
        <w:ind w:left="1100" w:hanging="209"/>
        <w:spacing w:after="0" w:line="264"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 Standards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Beginning in April 2014 when we commenced our pharmacy operations with the acquisition of Pharmacy Creations, we have been developing and implementing new internal quality assurance standards and best practice policies that we intend to exceed those required under the U.S. Pharmacopeia (USP) and state pharmacy laws in certain important respects. These standards and policies include, among other things, the engagement of a third-party quality assurance and quality control consultant to perform quarterly inspections of our pharmacy operations, including assessing compliance with USP and state board of pharmacy standards and environmental monitoring. In light of a voluntary consent order entered into in May 2014 between Pharmacy Creations and New Jersey regulatory agencies related to Pharmacy Creations’ sterile compounding activities, we have also implemented a policy to validate through testing at a third-party FDA-registered laboratory that formulations produced at Pharmacy Creations and Park satisfy USP guidelines and specifications prior to their delivery to patients and physicians. Although the consent order was not a disciplinary action or an admission of liability on the part of the pharmacy and we believe that Pharmacy Creations is currently in material compliance with applicable regulatory requirements, we have incurred and expect to incur in the future expenses related to observing the requirements of the consent order and further establishing and implementing our quality assurance standards and other best practices. In addition, we limited the sales of certain pharmacy products and formulations during the month of July 2014 while implementing our quality assurance practices, and such sales limitations or other events may occur in the future in connection with our further development and implementation of our quality assurance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 period. In particular, much of our operational expenses during the year ended December 31, 2013 were incurred in connection with our development program for Impracor, which we discontinued in November 2013 and do not expect to resume. In addition, our pharmacy operations activities commenced on April 1, 2014, and this change in the nature of our operations has had and is expected to continue to have a significant impact on our financial results. For example, our results of operations in the periods after commencement of our pharmacy operations, including aggregate revenue and expense amounts and the apportionment of expenses among categories, have changed and are expected to continue to change as we further develop these operations. Further, as a result of our acquisitions of Pharmacy Creations and Park or other such transactions we may pursue, we may experience infrequent or one-time expenditures in connection with effecting those transactions.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Years Ended 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formulations, which we began to receive following our acquisition of Pharmacy Creations, and revenues received from royalty payments owed to us pursuant to an out-license arrangement.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For the year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Variance</w:t>
            </w:r>
          </w:p>
        </w:tc>
      </w:tr>
      <w:tr>
        <w:trPr>
          <w:trHeight w:val="216"/>
        </w:trPr>
        <w:tc>
          <w:tcPr>
            <w:tcW w:w="3260" w:type="dxa"/>
            <w:vAlign w:val="bottom"/>
            <w:tcBorders>
              <w:top w:val="single" w:sz="8" w:color="CCEEFF"/>
            </w:tcBorders>
            <w:shd w:val="clear" w:color="auto" w:fill="CCEEFF"/>
          </w:tcPr>
          <w:p>
            <w:pPr>
              <w:jc w:val="right"/>
              <w:ind w:right="2770"/>
              <w:spacing w:after="0"/>
              <w:rPr>
                <w:sz w:val="20"/>
                <w:szCs w:val="20"/>
                <w:color w:val="auto"/>
              </w:rPr>
            </w:pPr>
            <w:r>
              <w:rPr>
                <w:rFonts w:ascii="Arial" w:cs="Arial" w:eastAsia="Arial" w:hAnsi="Arial"/>
                <w:sz w:val="18"/>
                <w:szCs w:val="18"/>
                <w:b w:val="1"/>
                <w:bCs w:val="1"/>
                <w:color w:val="auto"/>
                <w:w w:val="80"/>
              </w:rPr>
              <w:t>Sales</w:t>
            </w:r>
          </w:p>
        </w:tc>
        <w:tc>
          <w:tcPr>
            <w:tcW w:w="1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1,652,386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1,652,386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260" w:type="dxa"/>
            <w:vAlign w:val="bottom"/>
          </w:tcPr>
          <w:p>
            <w:pPr>
              <w:jc w:val="right"/>
              <w:ind w:right="1870"/>
              <w:spacing w:after="0"/>
              <w:rPr>
                <w:sz w:val="20"/>
                <w:szCs w:val="20"/>
                <w:color w:val="auto"/>
              </w:rPr>
            </w:pPr>
            <w:r>
              <w:rPr>
                <w:rFonts w:ascii="Arial" w:cs="Arial" w:eastAsia="Arial" w:hAnsi="Arial"/>
                <w:sz w:val="18"/>
                <w:szCs w:val="18"/>
                <w:b w:val="1"/>
                <w:bCs w:val="1"/>
                <w:color w:val="auto"/>
                <w:w w:val="84"/>
              </w:rPr>
              <w:t>License revenues</w:t>
            </w:r>
          </w:p>
        </w:tc>
        <w:tc>
          <w:tcPr>
            <w:tcW w:w="21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7,860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2,140)</w:t>
            </w:r>
          </w:p>
        </w:tc>
      </w:tr>
      <w:tr>
        <w:trPr>
          <w:trHeight w:val="230"/>
        </w:trPr>
        <w:tc>
          <w:tcPr>
            <w:tcW w:w="3260" w:type="dxa"/>
            <w:vAlign w:val="bottom"/>
            <w:tcBorders>
              <w:top w:val="single" w:sz="8" w:color="CCEEFF"/>
              <w:bottom w:val="single" w:sz="8" w:color="CCEEFF"/>
            </w:tcBorders>
            <w:shd w:val="clear" w:color="auto" w:fill="CCEEFF"/>
          </w:tcPr>
          <w:p>
            <w:pPr>
              <w:jc w:val="right"/>
              <w:ind w:right="1870"/>
              <w:spacing w:after="0"/>
              <w:rPr>
                <w:sz w:val="20"/>
                <w:szCs w:val="20"/>
                <w:color w:val="auto"/>
              </w:rPr>
            </w:pPr>
            <w:r>
              <w:rPr>
                <w:rFonts w:ascii="Arial" w:cs="Arial" w:eastAsia="Arial" w:hAnsi="Arial"/>
                <w:sz w:val="18"/>
                <w:szCs w:val="18"/>
                <w:b w:val="1"/>
                <w:bCs w:val="1"/>
                <w:color w:val="auto"/>
              </w:rPr>
              <w:t>Total revenues</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1,660,246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1,650,246</w:t>
            </w:r>
          </w:p>
        </w:tc>
      </w:tr>
      <w:tr>
        <w:trPr>
          <w:trHeight w:val="20"/>
        </w:trPr>
        <w:tc>
          <w:tcPr>
            <w:tcW w:w="3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acquisition of Pharmacy Creations on April 1, 2014, we began recognizing revenues from sales of our proprietary ophthalmic formulations and other non-proprietary pharmacy products and formulations. For the year ended December 31, 2014, we recognized revenues of approximately $1,652,386, from sales of such products.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License revenues of $7,860 and $10,000 recorded during the years ended December 31, 2014 and 2013, respectively, were related to royalty payments associated with an out-license agreement with a third party granting such third party rights to certain drug delivery technology to be used for anti-cellulite formulations. We do not expect to recognize significant revenue amounts associated with this license agreement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cost of sales includes direct and indirect costs to manufacture formulations and other products sold, including active pharmaceutical ingredients, personnel costs, packaging, storage, royalties, shipping and handling costs and the write-off of obsolete inventory.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cost of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the year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23"/>
        </w:trPr>
        <w:tc>
          <w:tcPr>
            <w:tcW w:w="308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Variance</w:t>
            </w:r>
          </w:p>
        </w:tc>
        <w:tc>
          <w:tcPr>
            <w:tcW w:w="80" w:type="dxa"/>
            <w:vAlign w:val="bottom"/>
            <w:tcBorders>
              <w:bottom w:val="single" w:sz="8" w:color="CCEEFF"/>
            </w:tcBorders>
          </w:tcPr>
          <w:p>
            <w:pPr>
              <w:spacing w:after="0"/>
              <w:rPr>
                <w:sz w:val="19"/>
                <w:szCs w:val="19"/>
                <w:color w:val="auto"/>
              </w:rPr>
            </w:pPr>
          </w:p>
        </w:tc>
      </w:tr>
      <w:tr>
        <w:trPr>
          <w:trHeight w:val="243"/>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1,092,839</w:t>
            </w:r>
          </w:p>
        </w:tc>
        <w:tc>
          <w:tcPr>
            <w:tcW w:w="10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1,092,839</w:t>
            </w:r>
          </w:p>
        </w:tc>
        <w:tc>
          <w:tcPr>
            <w:tcW w:w="80" w:type="dxa"/>
            <w:vAlign w:val="bottom"/>
            <w:shd w:val="clear" w:color="auto" w:fill="CCEEFF"/>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the acquisition of Pharmacy Creations on April 1, 2014, we began selling our proprietary ophthalmic formulations and other non-proprietary pharmacy products and formulations and recognizing the associated costs of such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ophthalmic compounded formulations and other non-proprietary compounded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selling and marketing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For the year ended</w:t>
            </w:r>
          </w:p>
        </w:tc>
        <w:tc>
          <w:tcPr>
            <w:tcW w:w="122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2,390,180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85,890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2,304,290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began implementing commercialization efforts in the fourth quarter of the year ended December 31, 2013 and, following the acquisition of Pharmacy Creations on April 1, 2014, we began selling our proprietary ophthalmic formulations and other non-proprietary pharmacy products and formulations. For the year ended December 31, 2014, there was an increase of $2,304,290 in sales and marketing expenses, as compared to the prior year. This increase is attributed to the hiring of additional commercialization personnel, attendance at trade conferences and implementation of other various marketing activities all related to our commercial efforts.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For the year ended</w:t>
            </w:r>
          </w:p>
        </w:tc>
        <w:tc>
          <w:tcPr>
            <w:tcW w:w="1360" w:type="dxa"/>
            <w:vAlign w:val="bottom"/>
            <w:gridSpan w:val="2"/>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8,087,316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5,994,907</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2,092,409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2014, there was an increase of $2,092,409 in general and administrative expenses as compared to the prior year. The increase in general and administrative expenses is largely attributable to additional expenses related to the acquisition of Pharmacy Creations and the commencement and increase of our pharmacy operations, including hiring additional personnel, obtaining state pharmacy licenses, incurring increased professional fees and other related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and, through November 2013, our Impracor clinical program, including costs for our contract research organization. Also included are personnel costs, including wages and stock-based compensation, other costs related to the clinical development of our assets and, through November 2013, contract manufacturing, consulting and other costs related to the Impracor clinical program.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ind w:left="26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236,660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1,616,082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2014, there was a decrease of $1,379,422 in research and development expenses as compared to the prior year. The decrease was primarily related to the termination of our Impracor clinical program in November 2013, which represented substantially all of our research and development expenses incurred in 2013. Research and development expenses in 2014 are related to patent and other development expenses associated with our other intellectual property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Expense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income was $32,446 and $43,755 for the years ended December 31, 2014 and 2013, respectively. The decrease was primarily due to a higher average cash balance during fiscal year 2013 as compared fiscal year 2014. Interest expense was $3,800 for the year ended December 31, 2014, compared to $0 for the prior year. The increase is due to interest expense recognition related to capital leases entered into during fiscal year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for the year ended December 31, 2014 was $(10,118,103), or $(1.11) basic and diluted net loss per share, compared to a net loss for the prior year of $(7,643,124), or $(0.88) basic and diluted net loss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December 31, 2014 was $8,211,492, as compared to $15,579,309 at December 31, 2013. The decrease in cash on hand is primarily attributable to use of cash to support our operations and acquire Pharmacy Creations. Since inception through December 31, 2014, we have incurred aggregate losses to common stockholders of $(41,865,495). These losses are primarily due to selling, general and administrative and research and development expenses incurred in connection with developing and seeking regulatory approval for our former drug candidate, Impracor, which activities have been discontinued. Historically, our operations have been financed through capital contributions and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 for the years ended December 31,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For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(7,055,428)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(4,438,944)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(910,527)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(70,003)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598,138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10,052,641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(7,367,817)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5,543,694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15,579,309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10,035,615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8,211,492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15,579,309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$(7,055,428) during the year ended December 31, 2014, as compared to $(4,438,944) used in operating activities during the prior year. The increase in net cash used in operating activities was mainly due to our commencement of our pharmacy operations and our expansion of our operations generally, including hiring additional personnel, commercialization and marketing activities related to our ophthalmic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for the years ended December 31, 2014 and 2013 was $(910,527) and $(70,003), respectively. The increase in cash used in investing activities during the year ended December 31, 2014 was primarily related to our acquisition of Pharmacy Creations.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for the years ended December 31, 2014 and 2013 was $598,138 and $10,052,641, respectively. The cash provided by financing activities during the year ended December 31, 2014 is primarily attributable to cash exercises of stock options and warrants. The cash provided by financing activities during the year ended December 31, 2013 is primarily attributable to aggregate proceeds received in February and March 2013 from our public offering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Sources of Capital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Annual Report, we believe that cash and cash equivalents and restricted investments of approximately $8.4 million at December 31, 2014, together with expected revenues and expenses, including our payment of $3,000,000 in cash upon our acquisition of Park and other expenses incurred in 2015 to date, will be sufficient to sustain our planned level of operations for at least the next 12 months. However, our plans for this period may change, our estimates of our operating expenses and working capital requirements could be inaccurate, we may pursue acquisitions of pharmacies or other strategic transactions that involve one-time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compounded formulations and technologies and the integration and expansion of our pharmacy operations, to pursue potential future strategic transactions, including the construction of an outsourcing facility and potential pharmacy and outsourcing facilities acquisitions, and to otherwise fund our operations. We expect additional funds would be required if we pursue the acquisition of additional compounding pharmacies or outsourcing facilities, conduct any clinical trials or any other studies that may be required to obtain FDA regulatory approval to market any potential product candidates, pursue additional development programs or explore other development opportunities.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could seek additional financing from a variety of sources, including equity or debt financing, funding from a corporate partnership or licensing arrangement,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financial or operational covenants with which we must comply.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be unable to obtain financing when necessary as a result of, among other things, general economic conditions and conditions in the pharmaceuticals and pharmacy industries or as a result of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be forced to forego pursuit of potentially valuable development or acquisition opportunities, we may not be able to pursue any or all elements of our business plan and we may be required to cease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the use of more significant judgments and estimates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assumptions that could have been used in making the accounting estimates that are reasonably likely to occur could materially impact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revenues when all of the following criteria have been met: (1) persuasive evidence of an arrangement exists; (2) delivery has occurred;</w:t>
      </w:r>
    </w:p>
    <w:p>
      <w:pPr>
        <w:spacing w:after="0" w:line="46" w:lineRule="exact"/>
        <w:rPr>
          <w:sz w:val="20"/>
          <w:szCs w:val="20"/>
          <w:color w:val="auto"/>
        </w:rPr>
      </w:pPr>
    </w:p>
    <w:p>
      <w:pPr>
        <w:jc w:val="both"/>
        <w:ind w:firstLine="8"/>
        <w:spacing w:after="0" w:line="255"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selling price is fixed and determinable; and (4) collectability is reasonably assured. We began generating revenues upon the acquisition of Pharmacy Creations in the second quarter of 2014, which include sales of certain of our proprietary compounded drug formulations and certain non-proprietary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We will defer any revenues received for a product that has not been delivered or is subject to refund until such time that we and the customer jointly determine that the product has been delivered and no refund will be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Non-refundable fees that are not contingent on any future performance by us and require no consequential continuing involvement on our part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We defer recognition of non-refundable fees if we have continuing performance obligations without which the technology, right, product or service conveyed in conjunction with the non-refundable fee has no utility to the licensee and that are separate and independent of our performance under the other elements of the arrangement. In addition, if our continued involvement is required, through research and development services that are related to our proprietary know-how and expertise of the delivered technology or can only be performed by us, then such non-refundable fees are deferred and recognized over the period of continuing involvement. Guaranteed minimum annual royalties are recognized on a straight-line basis over the applicable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stock-based payments to employees, directors and consultants, including grants of stock options, warrants, restricted stock units and restricted stock, are recognized in the consolidated financial statements based upon their estimated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the Financial Accounting Standards Board (FASB) guidance. As such, the value of the applicable stock-based compensation is periodically remeasured and income or expense is recognized during the vesting term of the equity instrument.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stock-based consulting expenses in our consolidated balance sheets.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the process of preparing our consolidated financial statements, we must estimate our actual current tax liabilities and assess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income tax expense in the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expense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costs of acquiring intellectual property rights to be used in the research and development process, including licensing fees 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No costs associated with acquiring intellectual property rights have been capitalized to date, although we may begin to capitalize certain costs associated with intellectual property rights beginning in the fiscal year 2015. Costs of maintaining intellectual property rights are expensed as incurred.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at the acquisition date,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215"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and estimates compared to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statements of operations, financial position and cash flows in the period of the change in the estimate.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review our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208" w:lineRule="exact"/>
        <w:rPr>
          <w:sz w:val="20"/>
          <w:szCs w:val="20"/>
          <w:color w:val="auto"/>
        </w:rPr>
      </w:pPr>
    </w:p>
    <w:p>
      <w:pPr>
        <w:ind w:left="920" w:hanging="22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underperformance of our business relative to expected operating results;</w:t>
      </w:r>
    </w:p>
    <w:p>
      <w:pPr>
        <w:spacing w:after="0" w:line="225" w:lineRule="exact"/>
        <w:rPr>
          <w:rFonts w:ascii="Arial" w:cs="Arial" w:eastAsia="Arial" w:hAnsi="Arial"/>
          <w:sz w:val="18"/>
          <w:szCs w:val="18"/>
          <w:color w:val="auto"/>
        </w:rPr>
      </w:pPr>
    </w:p>
    <w:p>
      <w:pPr>
        <w:ind w:left="920" w:hanging="22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20" w:hanging="22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decline in our market capitalization for an extended period of time relative to net book value; and</w:t>
      </w:r>
    </w:p>
    <w:p>
      <w:pPr>
        <w:spacing w:after="0" w:line="225" w:lineRule="exact"/>
        <w:rPr>
          <w:rFonts w:ascii="Arial" w:cs="Arial" w:eastAsia="Arial" w:hAnsi="Arial"/>
          <w:sz w:val="18"/>
          <w:szCs w:val="18"/>
          <w:color w:val="auto"/>
        </w:rPr>
      </w:pPr>
    </w:p>
    <w:p>
      <w:pPr>
        <w:ind w:left="920" w:hanging="223"/>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059"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Step 1. </w:t>
      </w:r>
      <w:r>
        <w:rPr>
          <w:rFonts w:ascii="Arial" w:cs="Arial" w:eastAsia="Arial" w:hAnsi="Arial"/>
          <w:sz w:val="17"/>
          <w:szCs w:val="17"/>
          <w:color w:val="auto"/>
        </w:rPr>
        <w:t>We compare the fair value of each reporting unit to its carrying amount, including the existing goodwill. The fair value of each reporting unit</w:t>
      </w:r>
      <w:r>
        <w:rPr>
          <w:rFonts w:ascii="Arial" w:cs="Arial" w:eastAsia="Arial" w:hAnsi="Arial"/>
          <w:sz w:val="17"/>
          <w:szCs w:val="17"/>
          <w:i w:val="1"/>
          <w:iCs w:val="1"/>
          <w:color w:val="auto"/>
        </w:rPr>
        <w:t xml:space="preserve"> </w:t>
      </w:r>
      <w:r>
        <w:rPr>
          <w:rFonts w:ascii="Arial" w:cs="Arial" w:eastAsia="Arial" w:hAnsi="Arial"/>
          <w:sz w:val="17"/>
          <w:szCs w:val="17"/>
          <w:color w:val="auto"/>
        </w:rPr>
        <w:t>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we then perform the second step of the impairment test. If the fair value of a reporting unit exceeds its carrying amount, no further analysis is required.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Step 2. </w:t>
      </w:r>
      <w:r>
        <w:rPr>
          <w:rFonts w:ascii="Arial" w:cs="Arial" w:eastAsia="Arial" w:hAnsi="Arial"/>
          <w:sz w:val="18"/>
          <w:szCs w:val="18"/>
          <w:color w:val="auto"/>
        </w:rPr>
        <w:t>If further analysis is required, we compare the implied fair value of the reporting unit’s goodwill, determined by allocating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consolidated financial statements included in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this Annual Report beginning on page F-1 immediately following the signature page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(CEO), our principal executive officer, and our Chief Financial Officer (CFO), our principal financial and accounting officer, of the effectiveness of our disclosure controls and procedures as of December 31, 2014, the end of the period covered by this Annual Report, pursuant to Rules 13a-15(b) and 15d-15(b) under the Securities Exchange Act of 1934, as amended (Exchange Act).</w:t>
      </w:r>
    </w:p>
    <w:p>
      <w:pPr>
        <w:spacing w:after="0" w:line="187"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6"/>
          <w:szCs w:val="16"/>
          <w:color w:val="auto"/>
        </w:rPr>
        <w:t>In connection with that evaluation, our CEO and CFO concluded that, as of December 31, 2014, our disclosure controls and procedures were effective. For the purpose of this review, disclosure controls and procedures means controls and procedures designed to ensure that information required to be disclosed by us in the reports that we file or submit under the Exchange Act is recorded, processed, summarized and reported within the time periods specified in the Securities and Exchange Commission’s rules and forms. These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officer, principal financial officer and principal accounting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our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under the supervision and with the participation of our CEO and CFO,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(COSO). Based on such evaluation, management concluded that our internal control over financial reporting was effective as of December 31, 2014.</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December 31, 2014,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management, including our CEO and CFO,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693"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7"/>
          <w:szCs w:val="17"/>
          <w:color w:val="auto"/>
        </w:rPr>
        <w:t>Except for the information regarding the Company’s Code of Business Conduct and Ethics included below, 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end of the fiscal year covered by this Annual Report.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directors, officers and employees. The Code of Business Conduct and Ethics is available for review on our website at www.imprimispharma.com, and is also available in print, without charge, to any stockholder who requests a copy by writing to us at Imprimis Pharmaceuticals, Inc., 12264 El Camino Real, Suite 350, San Diego, CA 92130, Attention: Investor Relations. Each of our directors, employees and officers, including our CEO and CFO and all of our other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The information required by this item is incorporated by reference to information contained in the Proxy Statement or an amendment to this Annual Report, in either case to be filed with the Securities and Exchange Commission on or before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end of the fiscal year covered by this Annual Report.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List of the following documents filed as part of the report: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See the index to our consolidated financial statements on page F-1 for a list of the financial statements being filed in this Annual Report.</w:t>
      </w:r>
    </w:p>
    <w:p>
      <w:pPr>
        <w:spacing w:after="0" w:line="22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consolidated financial statements or the notes thereto.</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See Item 15(b) below for all exhibits being filed or incorporated by reference herein.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Exhibit Index attached to this Annual Report is incorporated by reference herein.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3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 (Principal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12, 2015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L. Baum and Andrew R. Boll, and each of them individually, as his true and lawful attorneys-in-fact and agents with full power of substitution and resubstitution, for him and in his name, place and stead, in any and all capacities to any or all amendments to this Annual Report, and to file the same, with all exhibits thereto, and other documents in connection therewith, with the Securities and Exchange Commission, granting unto said attorneys-in-fact and agents or any of them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substitutes, may lawfully do or cause to be done by virtue thereof.</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00" w:type="dxa"/>
            <w:vAlign w:val="bottom"/>
          </w:tcPr>
          <w:p>
            <w:pPr>
              <w:spacing w:after="0"/>
              <w:rPr>
                <w:sz w:val="22"/>
                <w:szCs w:val="22"/>
                <w:color w:val="auto"/>
              </w:rPr>
            </w:pPr>
          </w:p>
        </w:tc>
        <w:tc>
          <w:tcPr>
            <w:tcW w:w="20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Date</w:t>
            </w:r>
          </w:p>
        </w:tc>
      </w:tr>
      <w:tr>
        <w:trPr>
          <w:trHeight w:val="45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20" w:type="dxa"/>
            <w:vAlign w:val="bottom"/>
          </w:tcPr>
          <w:p>
            <w:pPr>
              <w:spacing w:after="0"/>
              <w:rPr>
                <w:sz w:val="24"/>
                <w:szCs w:val="24"/>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20"/>
                <w:szCs w:val="20"/>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60" w:type="dxa"/>
            <w:vAlign w:val="bottom"/>
          </w:tcPr>
          <w:p>
            <w:pPr>
              <w:spacing w:after="0"/>
              <w:rPr>
                <w:sz w:val="20"/>
                <w:szCs w:val="20"/>
                <w:color w:val="auto"/>
              </w:rPr>
            </w:pPr>
          </w:p>
        </w:tc>
      </w:tr>
      <w:tr>
        <w:trPr>
          <w:trHeight w:val="46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20" w:type="dxa"/>
            <w:vAlign w:val="bottom"/>
          </w:tcPr>
          <w:p>
            <w:pPr>
              <w:spacing w:after="0"/>
              <w:rPr>
                <w:sz w:val="24"/>
                <w:szCs w:val="24"/>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 Director</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20"/>
                <w:szCs w:val="20"/>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06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20" w:type="dxa"/>
            <w:vAlign w:val="bottom"/>
          </w:tcPr>
          <w:p>
            <w:pPr>
              <w:spacing w:after="0"/>
              <w:rPr>
                <w:sz w:val="24"/>
                <w:szCs w:val="24"/>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Chairman of the Board of Directors</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H. Nelson</w:t>
            </w:r>
          </w:p>
        </w:tc>
        <w:tc>
          <w:tcPr>
            <w:tcW w:w="22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William H. Nelson</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2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Stephen G. Austin</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2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spacing w:after="0"/>
              <w:rPr>
                <w:sz w:val="20"/>
                <w:szCs w:val="20"/>
                <w:color w:val="auto"/>
              </w:rPr>
            </w:pPr>
            <w:r>
              <w:rPr>
                <w:rFonts w:ascii="Arial" w:cs="Arial" w:eastAsia="Arial" w:hAnsi="Arial"/>
                <w:sz w:val="18"/>
                <w:szCs w:val="18"/>
                <w:color w:val="auto"/>
              </w:rPr>
              <w:t>March 12, 2015</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Richard L. Lindstrom</w:t>
            </w: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52"/>
        </w:trPr>
        <w:tc>
          <w:tcPr>
            <w:tcW w:w="43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327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rPr>
              <w:t>FINANCIAL STATEMENTS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gridSpan w:val="4"/>
          </w:tcPr>
          <w:p>
            <w:pPr>
              <w:jc w:val="center"/>
              <w:ind w:right="2200"/>
              <w:spacing w:after="0"/>
              <w:rPr>
                <w:sz w:val="20"/>
                <w:szCs w:val="20"/>
                <w:color w:val="auto"/>
              </w:rPr>
            </w:pPr>
            <w:r>
              <w:rPr>
                <w:rFonts w:ascii="Arial" w:cs="Arial" w:eastAsia="Arial" w:hAnsi="Arial"/>
                <w:sz w:val="18"/>
                <w:szCs w:val="18"/>
                <w:b w:val="1"/>
                <w:bCs w:val="1"/>
                <w:color w:val="auto"/>
                <w:w w:val="91"/>
              </w:rPr>
              <w:t>Imprimis Pharmaceuticals, Inc.</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760" w:type="dxa"/>
            <w:vAlign w:val="bottom"/>
            <w:gridSpan w:val="6"/>
          </w:tcPr>
          <w:p>
            <w:pPr>
              <w:jc w:val="center"/>
              <w:ind w:right="11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2014 and 2013</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Operations for the Years Ended December 31, 2014 and 2013</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Stockholders’ Equity for the Years Ended December 31, 2014 and 2013</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December 31, 2014 and 2013</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7"/>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Notes to the Consolidated Financial Statements</w:t>
              </w:r>
            </w:hyperlink>
          </w:p>
        </w:tc>
        <w:tc>
          <w:tcPr>
            <w:tcW w:w="2240" w:type="dxa"/>
            <w:vAlign w:val="bottom"/>
            <w:shd w:val="clear" w:color="auto" w:fill="CCEEFF"/>
          </w:tcPr>
          <w:p>
            <w:pPr>
              <w:ind w:left="1780"/>
              <w:spacing w:after="0" w:line="17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740" w:type="dxa"/>
            <w:vAlign w:val="bottom"/>
            <w:tcBorders>
              <w:top w:val="single" w:sz="8" w:color="CCEEFF"/>
              <w:bottom w:val="single" w:sz="8" w:color="auto"/>
            </w:tcBorders>
            <w:gridSpan w:val="4"/>
          </w:tcPr>
          <w:p>
            <w:pPr>
              <w:jc w:val="center"/>
              <w:ind w:right="2200"/>
              <w:spacing w:after="0"/>
              <w:rPr>
                <w:sz w:val="20"/>
                <w:szCs w:val="20"/>
                <w:color w:val="auto"/>
              </w:rPr>
            </w:pPr>
            <w:r>
              <w:rPr>
                <w:rFonts w:ascii="Arial" w:cs="Arial" w:eastAsia="Arial" w:hAnsi="Arial"/>
                <w:sz w:val="18"/>
                <w:szCs w:val="18"/>
                <w:color w:val="auto"/>
                <w:w w:val="96"/>
              </w:rPr>
              <w:t>F-1</w:t>
            </w:r>
          </w:p>
        </w:tc>
        <w:tc>
          <w:tcPr>
            <w:tcW w:w="22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0" w:name="page41"/>
    <w:bookmarkEnd w:id="4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Imprimis Pharmaceuticals, Inc. and subsidiary (the “Company”) as of December 31, 2014 and 2013, and the related consolidated statements of operations, stockholders’ equity and cash flows for each of the two years in the period ended December 31, 2014.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Imprimis Pharmaceuticals, Inc. and subsidiary as of December 31, 2014 and 2013, and the consolidated results of their operations and their cash flows for each of the two years in the period ended December 31, 2014,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560"/>
        <w:spacing w:after="0" w:line="250" w:lineRule="auto"/>
        <w:rPr>
          <w:sz w:val="20"/>
          <w:szCs w:val="20"/>
          <w:color w:val="auto"/>
        </w:rPr>
      </w:pPr>
      <w:r>
        <w:rPr>
          <w:rFonts w:ascii="Arial" w:cs="Arial" w:eastAsia="Arial" w:hAnsi="Arial"/>
          <w:sz w:val="18"/>
          <w:szCs w:val="18"/>
          <w:color w:val="auto"/>
        </w:rPr>
        <w:t>Cash and cash equivalents Restricted short-term investments Accounts receivable, net Inventories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Prepaid expenses and other current assets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equipment, net</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December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color w:val="auto"/>
                <w:w w:val="89"/>
              </w:rPr>
              <w:t>December 31, 2013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418"/>
        </w:trPr>
        <w:tc>
          <w:tcPr>
            <w:tcW w:w="4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8,211,492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15,579,309</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150,264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50,097</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81,322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372,735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105,067</w:t>
            </w:r>
          </w:p>
        </w:tc>
      </w:tr>
      <w:tr>
        <w:trPr>
          <w:trHeight w:val="202"/>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9,056,214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15,734,473</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610,994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331,621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243,395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26,892</w:t>
            </w:r>
          </w:p>
        </w:tc>
      </w:tr>
      <w:tr>
        <w:trPr>
          <w:trHeight w:val="230"/>
        </w:trPr>
        <w:tc>
          <w:tcPr>
            <w:tcW w:w="4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10,242,224</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15,761,365</w:t>
            </w: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-1740535</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-1457325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-1183005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-908685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-608330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-334010</wp:posOffset>
            </wp:positionV>
            <wp:extent cx="72466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80" w:space="160"/>
            <w:col w:w="808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800"/>
              <w:spacing w:after="0"/>
              <w:rPr>
                <w:sz w:val="20"/>
                <w:szCs w:val="20"/>
                <w:color w:val="auto"/>
              </w:rPr>
            </w:pPr>
            <w:r>
              <w:rPr>
                <w:rFonts w:ascii="Arial" w:cs="Arial" w:eastAsia="Arial" w:hAnsi="Arial"/>
                <w:sz w:val="18"/>
                <w:szCs w:val="18"/>
                <w:color w:val="auto"/>
              </w:rPr>
              <w:t>LIABILITIES AND STOCKHOLDERS’ EQUITY</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786,675</w:t>
            </w:r>
          </w:p>
        </w:tc>
        <w:tc>
          <w:tcPr>
            <w:tcW w:w="200" w:type="dxa"/>
            <w:vAlign w:val="bottom"/>
          </w:tcPr>
          <w:p>
            <w:pPr>
              <w:spacing w:after="0"/>
              <w:rPr>
                <w:sz w:val="18"/>
                <w:szCs w:val="18"/>
                <w:color w:val="auto"/>
              </w:rPr>
            </w:pPr>
          </w:p>
        </w:tc>
        <w:tc>
          <w:tcPr>
            <w:tcW w:w="60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acquisition obligations</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31,466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4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29,658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Contingent acquisition obligations</w:t>
            </w:r>
          </w:p>
        </w:tc>
        <w:tc>
          <w:tcPr>
            <w:tcW w:w="4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483,156</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2,092,050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650,627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$0.001 par value, 90,000,000 shares authorized, 9,258,231 and 8,970,364 shares</w:t>
            </w: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at December 31, 2014 and 2013, respectively</w:t>
            </w:r>
          </w:p>
        </w:tc>
        <w:tc>
          <w:tcPr>
            <w:tcW w:w="4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50,006,411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46,849,160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(41,865,495)</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(31,747,392)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8,150,174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15,110,738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10,242,224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15,761,365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31, 2013</w:t>
            </w:r>
          </w:p>
        </w:tc>
        <w:tc>
          <w:tcPr>
            <w:tcW w:w="0" w:type="dxa"/>
            <w:vAlign w:val="bottom"/>
          </w:tcPr>
          <w:p>
            <w:pPr>
              <w:spacing w:after="0"/>
              <w:rPr>
                <w:sz w:val="1"/>
                <w:szCs w:val="1"/>
                <w:color w:val="auto"/>
              </w:rPr>
            </w:pP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1,652,386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1,660,246</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(1,092,839)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567,407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2,390,180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85,890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8,087,316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5,994,907</w:t>
            </w: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236,660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1,616,082</w:t>
            </w: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10,714,156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7,696,879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(10,146,749)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(7,686,879)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32,446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10"/>
        </w:trPr>
        <w:tc>
          <w:tcPr>
            <w:tcW w:w="7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28,646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43,755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(10,118,103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(7,643,124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5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of common stock outstanding, basic and diluted</w:t>
            </w:r>
          </w:p>
        </w:tc>
        <w:tc>
          <w:tcPr>
            <w:tcW w:w="12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9,132,989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8,656,822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and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85"/>
              </w:rPr>
              <w:t>Par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Value</w:t>
            </w: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6,772,066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34,093,933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(24,104,268)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Cancelled common stock at $5.25 per share related to</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reverse stock split, February 2013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8"/>
              </w:rPr>
              <w:t>Public Offering of common stock at $5.25 per share,</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net of costs, in February and March 2013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2,116,000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2,116</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9,454,435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9,456,551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Issuance of common stock related to consulting</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agreements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282,957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282,997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3,018,066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Issuance of common stock upon vesting of RSUs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(7,643,124)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(7,643,124)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2013</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8,970,364</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8,970</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46,849,160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(31,747,392)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15,110,738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 net of tax withholding</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227,216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583,584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583,811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upon vesting of RSUs, net</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of tax withholding</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warrants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47,829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37,867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 consulting</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agreements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2,469,810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2,469,810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issued in settlement of contract dispute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(10,118,103)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(10,118,103)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9,258,231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50,006,411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(41,865,495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 the</w:t>
            </w:r>
          </w:p>
        </w:tc>
      </w:tr>
      <w:tr>
        <w:trPr>
          <w:trHeight w:val="230"/>
        </w:trPr>
        <w:tc>
          <w:tcPr>
            <w:tcW w:w="7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Year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 Ended</w:t>
            </w:r>
          </w:p>
        </w:tc>
      </w:tr>
      <w:tr>
        <w:trPr>
          <w:trHeight w:val="237"/>
        </w:trPr>
        <w:tc>
          <w:tcPr>
            <w:tcW w:w="7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31, 2013</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(10,118,103)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(7,643,124)</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Depreciation and amortization of furniture and equipment</w:t>
            </w:r>
          </w:p>
        </w:tc>
        <w:tc>
          <w:tcPr>
            <w:tcW w:w="1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37,343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5,659</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Stock-based compensation and payments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2,614,619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3,134,973</w:t>
            </w:r>
          </w:p>
        </w:tc>
      </w:tr>
      <w:tr>
        <w:trPr>
          <w:trHeight w:val="216"/>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(22,902)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(131,727)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(16,964)</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(239,800)</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342,154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320,312</w:t>
            </w:r>
          </w:p>
        </w:tc>
      </w:tr>
      <w:tr>
        <w:trPr>
          <w:trHeight w:val="25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(10,633)</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75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(7,055,428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(4,438,944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Purchase of restricted short-term investments</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(100,167)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Pharmacy Creations, LLC, net of cash and advances</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7540" w:type="dxa"/>
            <w:vAlign w:val="bottom"/>
          </w:tcPr>
          <w:p>
            <w:pPr>
              <w:ind w:left="360"/>
              <w:spacing w:after="0"/>
              <w:rPr>
                <w:sz w:val="20"/>
                <w:szCs w:val="20"/>
                <w:color w:val="auto"/>
              </w:rPr>
            </w:pPr>
            <w:r>
              <w:rPr>
                <w:rFonts w:ascii="Arial" w:cs="Arial" w:eastAsia="Arial" w:hAnsi="Arial"/>
                <w:sz w:val="18"/>
                <w:szCs w:val="18"/>
                <w:color w:val="auto"/>
              </w:rPr>
              <w:t>Purchases of furniture and equipment</w:t>
            </w:r>
          </w:p>
        </w:tc>
        <w:tc>
          <w:tcPr>
            <w:tcW w:w="120" w:type="dxa"/>
            <w:vAlign w:val="bottom"/>
          </w:tcPr>
          <w:p>
            <w:pPr>
              <w:spacing w:after="0"/>
              <w:rPr>
                <w:sz w:val="20"/>
                <w:szCs w:val="20"/>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(173,986)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(20,003)</w:t>
            </w:r>
          </w:p>
        </w:tc>
      </w:tr>
      <w:tr>
        <w:trPr>
          <w:trHeight w:val="236"/>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(910,527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Cancelled common stock</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(10,431)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exercise of warrants and stock options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754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and warrants for cash, net of offering costs</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10,052,832</w:t>
            </w:r>
          </w:p>
        </w:tc>
      </w:tr>
      <w:tr>
        <w:trPr>
          <w:trHeight w:val="236"/>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598,138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54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(7,367,817)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5,543,694</w:t>
            </w:r>
          </w:p>
        </w:tc>
        <w:tc>
          <w:tcPr>
            <w:tcW w:w="100" w:type="dxa"/>
            <w:vAlign w:val="bottom"/>
          </w:tcPr>
          <w:p>
            <w:pPr>
              <w:spacing w:after="0"/>
              <w:rPr>
                <w:sz w:val="17"/>
                <w:szCs w:val="17"/>
                <w:color w:val="auto"/>
              </w:rPr>
            </w:pPr>
          </w:p>
        </w:tc>
      </w:tr>
      <w:tr>
        <w:trPr>
          <w:trHeight w:val="25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15,579,309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10,035,615</w:t>
            </w:r>
          </w:p>
        </w:tc>
      </w:tr>
      <w:tr>
        <w:trPr>
          <w:trHeight w:val="257"/>
        </w:trPr>
        <w:tc>
          <w:tcPr>
            <w:tcW w:w="754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8,211,492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15,579,309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r>
      <w:tr>
        <w:trPr>
          <w:trHeight w:val="216"/>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and adjustment to common stock and warrants to consulting firms for prepaid</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consulting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319,786</w:t>
            </w:r>
          </w:p>
        </w:tc>
      </w:tr>
      <w:tr>
        <w:trPr>
          <w:trHeight w:val="216"/>
        </w:trPr>
        <w:tc>
          <w:tcPr>
            <w:tcW w:w="7540" w:type="dxa"/>
            <w:vAlign w:val="bottom"/>
          </w:tcPr>
          <w:p>
            <w:pPr>
              <w:ind w:left="360"/>
              <w:spacing w:after="0"/>
              <w:rPr>
                <w:sz w:val="20"/>
                <w:szCs w:val="20"/>
                <w:color w:val="auto"/>
              </w:rPr>
            </w:pPr>
            <w:r>
              <w:rPr>
                <w:rFonts w:ascii="Arial" w:cs="Arial" w:eastAsia="Arial" w:hAnsi="Arial"/>
                <w:sz w:val="18"/>
                <w:szCs w:val="18"/>
                <w:color w:val="auto"/>
              </w:rPr>
              <w:t>Reclassification of deferred offering costs in connection with equity offering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596,281</w:t>
            </w:r>
          </w:p>
        </w:tc>
      </w:tr>
      <w:tr>
        <w:trPr>
          <w:trHeight w:val="202"/>
        </w:trPr>
        <w:tc>
          <w:tcPr>
            <w:tcW w:w="7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Issuance of common stock for consulting services included in accounts payable and accrued</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139,444</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Purchase of furniture and equipment with a capital lease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35,350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focused on developing and commercializing innovative and high quality proprietary compounded drug therapies and making these therapies available to physicians and patients at accessible prices. The Company owns, markets and sells a portfolio of proprietary combination formulations in ophthalmology and urology that it believes may offer competitive advantages and serve unmet needs in the marketplace. The Company’s ophthalmology formulation portfolio, led by its Dropless Therapy™ and LessDrops™ formulations, serves the multi-billion dollar eye drop market and is designed to address patient compliance issues and provide other medical and economic benefits to physicians and patients. The Company recently launched its urology business, headed by its Defeat IC™ campaign, which currently includes a patented compounded formulation for patients suffering from interstitial cystitis. The Company is also developing additional complementary proprietary compounded formulations to add to its ophthalmology and urology formulation portfolios. The Company makes, dispenses and sells its proprietary compounded formulations, as well as other non-proprietary products, through its wholly owned compounding pharmacies.</w:t>
      </w:r>
    </w:p>
    <w:p>
      <w:pPr>
        <w:spacing w:after="0" w:line="19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April 1, 2014, the Company acquired Pharmacy Creations, LLC (“PC”), a New Jersey based compounding pharmacy and on January 1, 2015, the Company acquired South Coast Specialty Compounding, Inc. D/B/A Park Compounding (“Park”), a California based compounding pharmacy (see Note 16). Effective with the acquisition of PC, the Company commenced sales and marketing efforts for Imprimis’ portfolio of proprietary and non-proprietary compounded drug formulations.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February 28, 2012, the Company effected a one-for-eight reverse stock split and on February 7, 2013, the Company effected a one-for-five reverse stock split. All share and per share amounts in these consolidated financial statements and notes reflect the effects of these reverse stock splits.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Imprimis has prepared the accompanying consolidated financial statements in accordance with accounting principles generally accepted in the United States of America (“GAAP”). The accompanying consolidated financial statements include the accounts of the Company and its wholly-owned subsidiary. All intercompany accounts and transactions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at the acquisition date, especially with respect to intangible assets, estimated contingent consideration payments and pre-acquisition contingencies. Examples of critical estimates in valuing certain of the intangible assets the Company has acquired or may acquire in the future include but are not limited to:</w:t>
      </w:r>
    </w:p>
    <w:p>
      <w:pPr>
        <w:spacing w:after="0" w:line="215"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and estimates compared to actual results. Additionally, any change in the fair value of the acquisition-related contingent consideration subsequent to the acquisition date, including changes from events after the acquisition date, such as changes in our estimates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statements of operations, or cash flows in the period of the change in the estimate.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for the acquired rights. No costs associated with acquiring intellectual property rights have been capitalized to date, although the Company may begin to capitalize certain costs associated with intellectual property rights beginning in the fiscal year 2015. Costs of maintaining intellectual property rights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 sales of certain of the Company’s proprietary compounded drug formulations and certain non-proprietary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other products sold, including active pharmaceutical ingredients, personnel costs, packaging, storage, royalties (see Note 14),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process of preparing the Company’s consolidated financial statements, the Company must estimate the actual current tax liabilities and assess temporary differences resulting from differing treatment of items for tax and accounting purposes. These differences result in deferred tax assets and liabilities, which are included within the balance sheet. The Company must assess the likelihood that the deferred tax assets will be recovered from future taxable income and, to the extent the Company believes that recovery is not likely, a valuation allowance must be established. To the extent the Company establishes a valuation allowance or increase or decrease this allowance in a period, the impact will be included in income tax expense in the statement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The Company accounts for income taxes under the provisions of Financial Accounting Standards Board (“FASB”) Accounting Standards Codification (“ASC”) 740, “Income Taxes”, or ASC 740. As of December 31, 2014, there were no unrecognized tax benefits included in the consolidated balance sheet that would, if recognized, affect the effective tax rate. The Company’s practice is to recognize interest and/or penalties related to income tax matters in income tax expense. The Company had no accrual for interest or penalties in its consolidated balance sheets at December 31, 2014 and 2013, and has not recognized interest and/or penalties in the consolidated statements of operations for the years ended December 31, 2014 and 2013. The Company is subject to taxation in the United States and California. The Company’s tax years since 2000 are subject to examination by the federal and state tax authorities due to the carryforward of unutilized net operating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$250,000 per owner. At December 31, 2014, the Company had approximately $7.7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balance in accounts receivable consists of revenue amounts the Company has invoiced and recognized, but for which payment has not been received.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presented net of an allowance for doubtful accounts in the amount of $3,957 as of December 31,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Furniture and equipment is stated at cost less accumulated depreciation and amortization. Depreciation and amortization is calculated using the straight-line method over the estimated useful life of the asset. Leasehold improvements and capital lease equipment are amortized over the estimated useful life or remaining lease term, whichever is shorter. Computer software and hardware and furniture and equipment are depreciated over three to five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2014 and 2013, the Company did not recognize any impairment of its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2014 and 2013, the Company did not have any financial assets or liabilities that are measured on a recurring basis. At December 31, 2014 and 2013, the Company’s financial instruments included cash and cash equivalents, restricted short-term investments, accounts receivable, accounts payable and accrued expenses, accrued payroll and related liabilities, customer deposits, and capital leases. The carrying amount of these financial instruments, except for the restricted short-term investments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capital leases approximate their respective fair values.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consolidated financial statements based upon their fair values. The Company uses the Black-Scholes-Merton option pricing model and Monte Carlo Simulation to estimate the fair value of stock-based awards. The estimated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of the equity instrument. The measurement date for the estimated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estimated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estimated fair value of nonforfeitable equity instruments issued for future consulting services as prepaid expenses in its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stock options, RSUs and warrants were 3,024,217 and 3,539,800 at December 31, 2014 and 2013, respectively, and are excluded from the calculation of diluted net loss per share for all periods presented because the effect is anti-dilutive. Common stock equivalents at December 31, 2014 include 27,218 shares of common stock underlying RSUs, awarded to directors that have vested, but the issuance and delivery of these shares are deferred until the director resigns.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computation of basic and diluted net loss per share of common stock for the years ended December 31, 2014 and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(10,118,103)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(7,643,124)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4"/>
              </w:rPr>
              <w:t>Denominator – weighted average number of shares outstanding, basic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32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9,132,989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8,656,822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Use of Estimates</w:t>
            </w: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doubtful accounts, realizability of inventories, valuation of deferred taxes, goodwill and intangible assets, recoverability of long-lived assets and goodwill, valuation of contingent acquisition obligations, and valuation of stock-based compensation issued to employees and non-employees. Actual results could differ from those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Certain prior period items and amounts have been reclassified to conform to the classifications used to prepare the consolidated financial statements for the year ended December 31, 2014. The Company has classified in these financial statements certain expenses as selling and marketing, whereas in prior periods certain of these expenses were included in an expense line item titled selling, general and administrative in the consolidated statements of operations. These reclassifications had no material impact on the Company’s financial position, results of operations, or cash flows as previously reported.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June 2014, the FASB issued an Accounting Standards Update (“ASU”) No. 2014-10, “Elimination of Certain Financial Reporting Requirements, Including an Amendment to Variable Interest Entities”. The amendments in this update remove the definition of a development stage entity from ASC Topic 915, “Development Stage Entities”, thereby removing from GAAP the distinction between development stage entities and other reporting entities. In addition, the amendments eliminate the requirements for development stage entities to (1) present inception-to-date information in the statements of operations, cash flows, and stockholder’s equity, (2) label the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These amendments are effective for annual reporting periods beginning after December 15, 2014, with early application of the amendments permitted. The Company’s pharmacy operations commenced on April 1, 2014. This change in the nature of the Company’s operations included the recognition of operating revenues; as a result, the Company is no longer defined as a development stage company for reporting dates beginning April 1, 2014. With the change in the Company’s operations, its revenue recognition and its immediate adoption of ASU No. 2014-10, the Company no longer presents or discloses any information required under ASC Topic 915.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will be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is currently evaluating the new guidance and has not determined the impact this standard may have on its consolidated financial statements.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(“ASU 2014-09”). The objective of ASU 2014-19 is to establish a single comprehensive model for entities to use in accounting for revenue arising from contracts with customers and will supersede most of the existing revenue recognition guidance, including industry-specific guidance. The core principle of ASU 2014-09 is that an entity recognizes revenue to depict the transfer of promised goods or services to customers in an amount that reflects the consideration to which the entity expects to be entitled in exchange for those goods or services. In applying the new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ASU 2014-09 applies to all contracts with customers except those that are within the scope of other topics in the FASB ASC. The new guidance is effective for annual reporting periods, including interim periods within those periods, beginning after December 15, 2016 for public companies. Early adoption is not permitted. The Company is currently evaluating the new guidance and has not determined the impact this standard may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 PHARMACY CREATIONS, LLC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 2014, the Company acquired all of the outstanding membership interests of PC (the “PC Acquisition”) from J. Scott Karolchyk and Bernard Covalesky (the “PC Sellers”), such that PC became a wholly-owned subsidiary of the Company. The acquisition of PC permits the Company to make and distribute its patent-pending proprietary drug formulations and other pharmaceutical preparations.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PC have been included in the Company’s consolidated financial statements for the period subsequent to its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PC are presented below and represent the Company’s best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of the PC Acquisition, the Company paid to the PC Sellers an aggregate cash purchase price of $600,000. In addition, the PC Sellers are entitled to receive additional contingent consideration upon the satisfaction of certain conditions, as follows: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contingent cash payment of $50,000, payable if PC earns revenues of over $3,500,000 for the 12 month period ending March 31, 2015.</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PC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PC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Although management estimates that certain of the contingent consideration will be paid, it has applied a discount rate to the contingent consideration amounts in determining fair value to represent the risk of these payments not being made. The total acquisition date fair value of the consideration transferred and to be transferred is estimated at approximately $1.1 million, as follows:</w:t>
      </w:r>
    </w:p>
    <w:p>
      <w:pPr>
        <w:sectPr>
          <w:pgSz w:w="11900" w:h="16838" w:orient="portrait"/>
          <w:cols w:equalWidth="0" w:num="1">
            <w:col w:w="11420"/>
          </w:cols>
          <w:pgMar w:left="240" w:top="665" w:right="239" w:bottom="1440" w:gutter="0" w:footer="0" w:header="0"/>
        </w:sectPr>
      </w:pPr>
    </w:p>
    <w:p>
      <w:pPr>
        <w:spacing w:after="0" w:line="181" w:lineRule="exact"/>
        <w:rPr>
          <w:sz w:val="20"/>
          <w:szCs w:val="20"/>
          <w:color w:val="auto"/>
        </w:rPr>
      </w:pPr>
    </w:p>
    <w:p>
      <w:pPr>
        <w:ind w:right="2788"/>
        <w:spacing w:after="0" w:line="270" w:lineRule="auto"/>
        <w:rPr>
          <w:sz w:val="20"/>
          <w:szCs w:val="20"/>
          <w:color w:val="auto"/>
        </w:rPr>
      </w:pPr>
      <w:r>
        <w:rPr>
          <w:rFonts w:ascii="Arial" w:cs="Arial" w:eastAsia="Arial" w:hAnsi="Arial"/>
          <w:sz w:val="18"/>
          <w:szCs w:val="18"/>
          <w:color w:val="auto"/>
        </w:rPr>
        <w:t>Cash payment to the PC Sellers at closing Contingent common stock issuance to the PC Sellers Contingent cash consideration to the PC Sellers Total acquisition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-581660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579755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152" w:hanging="1152"/>
        <w:spacing w:after="0"/>
        <w:tabs>
          <w:tab w:leader="none" w:pos="11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600,000</w:t>
      </w:r>
    </w:p>
    <w:p>
      <w:pPr>
        <w:spacing w:after="0" w:line="46" w:lineRule="exact"/>
        <w:rPr>
          <w:rFonts w:ascii="Arial" w:cs="Arial" w:eastAsia="Arial" w:hAnsi="Arial"/>
          <w:sz w:val="16"/>
          <w:szCs w:val="16"/>
          <w:color w:val="auto"/>
        </w:rPr>
      </w:pPr>
    </w:p>
    <w:p>
      <w:pPr>
        <w:ind w:left="1152"/>
        <w:spacing w:after="0"/>
        <w:rPr>
          <w:rFonts w:ascii="Arial" w:cs="Arial" w:eastAsia="Arial" w:hAnsi="Arial"/>
          <w:sz w:val="16"/>
          <w:szCs w:val="16"/>
          <w:color w:val="auto"/>
        </w:rPr>
      </w:pPr>
      <w:r>
        <w:rPr>
          <w:rFonts w:ascii="Arial" w:cs="Arial" w:eastAsia="Arial" w:hAnsi="Arial"/>
          <w:sz w:val="16"/>
          <w:szCs w:val="16"/>
          <w:color w:val="auto"/>
        </w:rPr>
        <w:t>483,156</w:t>
      </w:r>
    </w:p>
    <w:p>
      <w:pPr>
        <w:spacing w:after="0" w:line="32" w:lineRule="exact"/>
        <w:rPr>
          <w:rFonts w:ascii="Arial" w:cs="Arial" w:eastAsia="Arial" w:hAnsi="Arial"/>
          <w:sz w:val="16"/>
          <w:szCs w:val="16"/>
          <w:color w:val="auto"/>
        </w:rPr>
      </w:pPr>
    </w:p>
    <w:p>
      <w:pPr>
        <w:ind w:left="1232"/>
        <w:spacing w:after="0"/>
        <w:rPr>
          <w:rFonts w:ascii="Arial" w:cs="Arial" w:eastAsia="Arial" w:hAnsi="Arial"/>
          <w:sz w:val="16"/>
          <w:szCs w:val="16"/>
          <w:color w:val="auto"/>
        </w:rPr>
      </w:pPr>
      <w:r>
        <w:rPr>
          <w:rFonts w:ascii="Arial" w:cs="Arial" w:eastAsia="Arial" w:hAnsi="Arial"/>
          <w:sz w:val="16"/>
          <w:szCs w:val="16"/>
          <w:color w:val="auto"/>
        </w:rPr>
        <w:t>31,466</w:t>
      </w:r>
    </w:p>
    <w:p>
      <w:pPr>
        <w:spacing w:after="0" w:line="72" w:lineRule="exact"/>
        <w:rPr>
          <w:sz w:val="20"/>
          <w:szCs w:val="20"/>
          <w:color w:val="auto"/>
        </w:rPr>
      </w:pPr>
    </w:p>
    <w:p>
      <w:pPr>
        <w:ind w:left="1012" w:hanging="1012"/>
        <w:spacing w:after="0"/>
        <w:tabs>
          <w:tab w:leader="none" w:pos="10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1,114,622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979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10979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6608" w:space="720"/>
            <w:col w:w="4092"/>
          </w:cols>
          <w:pgMar w:left="240" w:top="665" w:right="239" w:bottom="1440" w:gutter="0" w:footer="0" w:header="0"/>
          <w:type w:val="continuous"/>
        </w:sectPr>
      </w:pPr>
    </w:p>
    <w:p>
      <w:pPr>
        <w:spacing w:after="0" w:line="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$514,622 liability was recognized for the estimated acquisition date fair value of the future contingent common stock and cash payments and is included in the contingent acquisition obligations in the accompanying consolidated balance sheet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April 1, 2014, the acquisition date. The excess of the acquisition date fair value of consideration transferred over the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Accounts receivable</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58,420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30,256</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Inventory</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213,190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44,510</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Intangible assets</w:t>
            </w: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659,000</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identifiable assets acquired</w:t>
            </w:r>
          </w:p>
        </w:tc>
        <w:tc>
          <w:tcPr>
            <w:tcW w:w="1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1,010,358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120,049</w:t>
            </w:r>
          </w:p>
        </w:tc>
        <w:tc>
          <w:tcPr>
            <w:tcW w:w="0" w:type="dxa"/>
            <w:vAlign w:val="bottom"/>
          </w:tcPr>
          <w:p>
            <w:pPr>
              <w:spacing w:after="0"/>
              <w:rPr>
                <w:sz w:val="1"/>
                <w:szCs w:val="1"/>
                <w:color w:val="auto"/>
              </w:rPr>
            </w:pPr>
          </w:p>
        </w:tc>
      </w:tr>
      <w:tr>
        <w:trPr>
          <w:trHeight w:val="25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107,308</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 assumed</w:t>
            </w:r>
          </w:p>
        </w:tc>
        <w:tc>
          <w:tcPr>
            <w:tcW w:w="1860" w:type="dxa"/>
            <w:vAlign w:val="bottom"/>
            <w:tcBorders>
              <w:top w:val="single" w:sz="8" w:color="CCEEFF"/>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227,357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identifiable assets less liabilities assumed</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Goodwill</w:t>
            </w:r>
          </w:p>
        </w:tc>
        <w:tc>
          <w:tcPr>
            <w:tcW w:w="1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331,621</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1,114,622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w:t>
            </w:r>
          </w:p>
        </w:tc>
        <w:tc>
          <w:tcPr>
            <w:tcW w:w="1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revenues and operating loss of PC included in the Company’s consolidated statement of operations from the acquisition date through the period ended December 31, 2014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1,652,386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(662,969</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Company’s unaudited pro forma results (including PC) for the years ended December 31, 2014 and 2013 as though the companies had been combined as of the beginning of each of the periods presented. The pro forma information is presented for informational purposes only and is not indicative of the results of operations that would have been achieved if the acquisition had taken place at the beginning of each period presented, nor is it indicative of results of operations which may occur in the future. The unaudited pro forma results presented include amortization charges for intangible assets and eliminations of intercompany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87"/>
              </w:rPr>
              <w:t>For the</w:t>
            </w:r>
          </w:p>
        </w:tc>
      </w:tr>
      <w:tr>
        <w:trPr>
          <w:trHeight w:val="230"/>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Year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Year Ended</w:t>
            </w:r>
          </w:p>
        </w:tc>
      </w:tr>
      <w:tr>
        <w:trPr>
          <w:trHeight w:val="237"/>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31,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December 31, 2013</w:t>
            </w:r>
          </w:p>
        </w:tc>
      </w:tr>
      <w:tr>
        <w:trPr>
          <w:trHeight w:val="236"/>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2,282,681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2,866,575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(10,048,380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(7,084,014</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material acquisition expenses related to the PC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PC. In determining the fair value of the intangible assets, the Company considered, among other factors, the best use of acquired assets, analyses of historical financial performance of PC and estimates of future performance of PC. The fair values of the identified intangible assets related to PC’s customer relationships, trade name, non-competition covenant, and state pharmacy licenses. The fair value of customer relationships and the non-competition covenant were calculated using the income approach. The fair value of the trade name and state pharmacy licenses were calculated using the cost approach. The following table sets forth the components of identified intangible assets associated with the PC acquisition and their estimated useful lives.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Fair Value</w:t>
            </w: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Useful Life</w:t>
            </w: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10 - 15 years</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name</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5,000</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covenant</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8,000</w:t>
            </w:r>
          </w:p>
        </w:tc>
        <w:tc>
          <w:tcPr>
            <w:tcW w:w="1640" w:type="dxa"/>
            <w:vAlign w:val="bottom"/>
          </w:tcPr>
          <w:p>
            <w:pPr>
              <w:jc w:val="center"/>
              <w:spacing w:after="0"/>
              <w:rPr>
                <w:sz w:val="20"/>
                <w:szCs w:val="20"/>
                <w:color w:val="auto"/>
              </w:rPr>
            </w:pPr>
            <w:r>
              <w:rPr>
                <w:rFonts w:ascii="Arial" w:cs="Arial" w:eastAsia="Arial" w:hAnsi="Arial"/>
                <w:sz w:val="18"/>
                <w:szCs w:val="18"/>
                <w:color w:val="auto"/>
                <w:w w:val="86"/>
              </w:rPr>
              <w:t>25 years</w:t>
            </w:r>
          </w:p>
        </w:tc>
      </w:tr>
      <w:tr>
        <w:trPr>
          <w:trHeight w:val="230"/>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useful lives of intangible assets based on the expected future cash flows and contractual lives associated with the respective asset. Trade names represent the fair value of the brand and name recognition associated with the marketing of PC’s formulations and services. Customer relationships represent the expected benefit from customer contracts that, at the date of acquisition, were reasonably anticipated to continue given the history and operating practices of PC. The non-competition covenant represents the contractual period and expected degree of adverse economic impact that would exist in its absence. Licenses represent eight state pharmacy licenses PC held at the date of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total estimated purchase price, $331,621 was allocated to goodwill and is attributable to expected synergies between the combined companies, including access for the Company to fulfill prescriptions with its patent-pending proprietary drug formulations through PC’s market channels and assembled workforce. Goodwill represents the excess of the purchase price of the acquired business over the estimated fair value of the underlying net tangible and intangible assets acquired. Goodwill resulting from the PC Acquisition will be tested for impairment at least annually and more frequently if certain indicators of impairment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SHORT-TERM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short-term investments at December 31, 2014 consist of certificate of deposits, which are classified as held-to-maturity. At December 31, 2014, the restricted short-term investments were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the certificate of deposits of $150,264 were classified as a current asset. The certificates of deposit are required as collateral under the Company’s corporate credit card agreement and office lease agreement and automatically renew every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comprised of over-the-counter retail pharmacy products, commercial pharmaceutical products, related laboratory supplies and active pharmaceutical ingredients. The composition of inventories as of December 31, 2014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2014</w:t>
            </w:r>
          </w:p>
        </w:tc>
        <w:tc>
          <w:tcPr>
            <w:tcW w:w="2280" w:type="dxa"/>
            <w:vAlign w:val="bottom"/>
          </w:tcPr>
          <w:p>
            <w:pPr>
              <w:spacing w:after="0"/>
              <w:rPr>
                <w:sz w:val="20"/>
                <w:szCs w:val="20"/>
                <w:color w:val="auto"/>
              </w:rPr>
            </w:pP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146,300</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Work in progress</w:t>
            </w:r>
          </w:p>
        </w:tc>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97,801</w:t>
            </w:r>
          </w:p>
        </w:tc>
        <w:tc>
          <w:tcPr>
            <w:tcW w:w="2280" w:type="dxa"/>
            <w:vAlign w:val="bottom"/>
          </w:tcPr>
          <w:p>
            <w:pPr>
              <w:spacing w:after="0"/>
              <w:rPr>
                <w:sz w:val="18"/>
                <w:szCs w:val="18"/>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128,634</w:t>
            </w:r>
          </w:p>
        </w:tc>
        <w:tc>
          <w:tcPr>
            <w:tcW w:w="2280" w:type="dxa"/>
            <w:vAlign w:val="bottom"/>
          </w:tcPr>
          <w:p>
            <w:pPr>
              <w:spacing w:after="0"/>
              <w:rPr>
                <w:sz w:val="21"/>
                <w:szCs w:val="21"/>
                <w:color w:val="auto"/>
              </w:rPr>
            </w:pPr>
          </w:p>
        </w:tc>
      </w:tr>
      <w:tr>
        <w:trPr>
          <w:trHeight w:val="217"/>
        </w:trPr>
        <w:tc>
          <w:tcPr>
            <w:tcW w:w="3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3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372,735</w:t>
            </w: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34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2"/>
          </w:tcPr>
          <w:p>
            <w:pPr>
              <w:jc w:val="right"/>
              <w:ind w:right="1065"/>
              <w:spacing w:after="0"/>
              <w:rPr>
                <w:sz w:val="20"/>
                <w:szCs w:val="20"/>
                <w:color w:val="auto"/>
              </w:rPr>
            </w:pPr>
            <w:r>
              <w:rPr>
                <w:rFonts w:ascii="Arial" w:cs="Arial" w:eastAsia="Arial" w:hAnsi="Arial"/>
                <w:sz w:val="18"/>
                <w:szCs w:val="18"/>
                <w:color w:val="auto"/>
              </w:rPr>
              <w:t>F-14</w:t>
            </w: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NOTE 6. PREPAID EXPENSES AND OTHER CURRENT ASSETS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consisted of the following: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Prepaid stock-based consulting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Prepaid 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prepaid expenses and deposits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2013</w:t>
            </w:r>
          </w:p>
        </w:tc>
      </w:tr>
      <w:tr>
        <w:trPr>
          <w:trHeight w:val="202"/>
        </w:trPr>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26,649</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16,288</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123,776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39,166</w:t>
            </w: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116,625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22,964</w:t>
            </w:r>
          </w:p>
        </w:tc>
      </w:tr>
      <w:tr>
        <w:trPr>
          <w:trHeight w:val="230"/>
        </w:trPr>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240,401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105,067</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80" w:space="720"/>
            <w:col w:w="4320"/>
          </w:cols>
          <w:pgMar w:left="240" w:top="661"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NOTE 7. FURNITURE AND EQUIPMENT</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Furniture and equipment consisted of the following:</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5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December 31, 2014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2013</w:t>
            </w:r>
          </w:p>
        </w:tc>
      </w:tr>
      <w:tr>
        <w:trPr>
          <w:trHeight w:val="216"/>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18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52,576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24,536</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154,215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10,449</w:t>
            </w:r>
          </w:p>
        </w:tc>
        <w:tc>
          <w:tcPr>
            <w:tcW w:w="8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61,868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20,172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542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288,831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(45,436)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(8,093)</w:t>
            </w:r>
          </w:p>
        </w:tc>
      </w:tr>
      <w:tr>
        <w:trPr>
          <w:trHeight w:val="217"/>
        </w:trPr>
        <w:tc>
          <w:tcPr>
            <w:tcW w:w="54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243,395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depreciation and amortization expense of $37,343 and $5,659 during the years ended December 31, 2014 and 2013,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December 31, 2014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Accumulated</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r>
      <w:tr>
        <w:trPr>
          <w:trHeight w:val="237"/>
        </w:trPr>
        <w:tc>
          <w:tcPr>
            <w:tcW w:w="37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amortization</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carrying value</w:t>
            </w: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10-15 years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Trade name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5 years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4,250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covenant</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 years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40,625</w:t>
            </w:r>
          </w:p>
        </w:tc>
      </w:tr>
      <w:tr>
        <w:trPr>
          <w:trHeight w:val="237"/>
        </w:trPr>
        <w:tc>
          <w:tcPr>
            <w:tcW w:w="37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25 years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6,859</w:t>
            </w:r>
          </w:p>
        </w:tc>
      </w:tr>
      <w:tr>
        <w:trPr>
          <w:trHeight w:val="230"/>
        </w:trPr>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year ended December 31, 2014 was as follows:</w:t>
      </w:r>
    </w:p>
    <w:p>
      <w:pPr>
        <w:sectPr>
          <w:pgSz w:w="11900" w:h="16838" w:orient="portrait"/>
          <w:cols w:equalWidth="0" w:num="1">
            <w:col w:w="11420"/>
          </w:cols>
          <w:pgMar w:left="240" w:top="66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name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Non-competition covenant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 pharmacy licenses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Year Ended</w:t>
      </w:r>
    </w:p>
    <w:p>
      <w:pPr>
        <w:spacing w:after="0" w:line="9"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579755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15" w:lineRule="exact"/>
        <w:rPr>
          <w:sz w:val="20"/>
          <w:szCs w:val="20"/>
          <w:color w:val="auto"/>
        </w:rPr>
      </w:pPr>
    </w:p>
    <w:p>
      <w:pPr>
        <w:jc w:val="both"/>
        <w:spacing w:after="0"/>
        <w:tabs>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36,740</w:t>
      </w:r>
    </w:p>
    <w:p>
      <w:pPr>
        <w:spacing w:after="0" w:line="23"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750</w:t>
      </w:r>
    </w:p>
    <w:p>
      <w:pPr>
        <w:spacing w:after="0" w:line="9"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9,375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-130810</wp:posOffset>
            </wp:positionV>
            <wp:extent cx="57975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jc w:val="right"/>
        <w:ind w:right="2360"/>
        <w:spacing w:after="0"/>
        <w:rPr>
          <w:sz w:val="20"/>
          <w:szCs w:val="20"/>
          <w:color w:val="auto"/>
        </w:rPr>
      </w:pPr>
      <w:r>
        <w:rPr>
          <w:rFonts w:ascii="Arial" w:cs="Arial" w:eastAsia="Arial" w:hAnsi="Arial"/>
          <w:sz w:val="18"/>
          <w:szCs w:val="18"/>
          <w:color w:val="auto"/>
        </w:rPr>
        <w:t>1,141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57975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9"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449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640"/>
          </w:cols>
          <w:pgMar w:left="240" w:top="661" w:right="2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Estimated future amortization expense for the Company’s intangible assets at December 31, 2014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67,087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67,087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67,087</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57,712</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53,837</w:t>
            </w:r>
          </w:p>
        </w:tc>
      </w:tr>
      <w:tr>
        <w:trPr>
          <w:trHeight w:val="237"/>
        </w:trPr>
        <w:tc>
          <w:tcPr>
            <w:tcW w:w="6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298,184</w:t>
            </w:r>
          </w:p>
        </w:tc>
      </w:tr>
      <w:tr>
        <w:trPr>
          <w:trHeight w:val="230"/>
        </w:trPr>
        <w:tc>
          <w:tcPr>
            <w:tcW w:w="6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year ended December 31, 2014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8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PC Acquisition</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331,621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331,621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NOTE 9. ACCOUNTS PAYABLE AND ACCRUED EXPENSES</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December 31, 2014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3"/>
              </w:rPr>
              <w:t>December 31, 2013</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698,806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liability(1)</w:t>
            </w:r>
          </w:p>
        </w:tc>
        <w:tc>
          <w:tcPr>
            <w:tcW w:w="1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0"/>
                <w:szCs w:val="20"/>
                <w:color w:val="auto"/>
              </w:rPr>
            </w:pP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39,000(2)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816,333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311,924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20"/>
                <w:szCs w:val="20"/>
                <w:color w:val="auto"/>
              </w:rPr>
            </w:pP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(786,675)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right"/>
              <w:ind w:right="40"/>
              <w:spacing w:after="0"/>
              <w:rPr>
                <w:sz w:val="20"/>
                <w:szCs w:val="20"/>
                <w:color w:val="auto"/>
              </w:rPr>
            </w:pPr>
            <w:r>
              <w:rPr>
                <w:rFonts w:ascii="Arial" w:cs="Arial" w:eastAsia="Arial" w:hAnsi="Arial"/>
                <w:sz w:val="18"/>
                <w:szCs w:val="18"/>
                <w:color w:val="auto"/>
              </w:rPr>
              <w:t>(311,924)</w:t>
            </w:r>
          </w:p>
        </w:tc>
        <w:tc>
          <w:tcPr>
            <w:tcW w:w="0" w:type="dxa"/>
            <w:vAlign w:val="bottom"/>
          </w:tcPr>
          <w:p>
            <w:pPr>
              <w:spacing w:after="0"/>
              <w:rPr>
                <w:sz w:val="1"/>
                <w:szCs w:val="1"/>
                <w:color w:val="auto"/>
              </w:rPr>
            </w:pP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accounts payable and accrued expenses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September 2014, the Company relocated its primary operations to a 7,565 square foot office facility in San Diego, California. As of December 31, 2014, the Company was marketing its previous office space (3,874 square feet) as a sublease through its remaining lease term. The Company recognized a loss of approximately $117,000 during the year ended December 31, 2014, related to the estimated remaining lease liability, net of expected sublease income. The obligations were discounted based on current prevailing market rates. This loss is included in rent expense for the year ended December 31, 2014 (see Note 14).</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consists of a $39,000 stock-based compensation accrual at December 31, 2014 for stock options to be granted for services performed. The stock-based compensation expense related to restricted common stock issuances and accruals was $39,000 and $143,553 during the years ended December 31,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PC entered into a working capital line of credit agreement with a financial institution on March 21, 2008 and subsequently renewed the agreement on September 6, 2013. The line of credit agreement allowed PC to borrow up to $75,000 and was secured by a first security interest on all of PC’s business assets. The line of credit agreement was terminated following the Company’s acquisition of PC, and no amounts were borrowed, paid or outstanding during the period ended December 31, 2014 following the Company’s acquisition of PC.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7, 2013, after the effectiveness of the registration statement on Form S-1 filed in connection with the Public Offering (as defined below), the Company effected a one-for-five reverse stock split of its common stock and on February 8, 2013, the Company’s common stock began trading on The NASDAQ Capital Market on a split-adjusted basis. On September 10, 2014, the Company decreased the number of authorized shares of its capital stock to 95,000,000, and the number of authorized shares of its common stock to 90,000,000.</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13, 2013, the Company closed a public offering of its common stock (the “Public Offering”) and issued an aggregate of 1,840,000 shares of its common stock at a per share price to the public of $5.25, and received net proceeds of $8,140,435,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option were $1,316,116. As contemplated by the underwriting agreement entered into with MDB Capital Group, LLC, the lead underwriter for the Public Offering, at the closing of the Public Offering and the over-allotment exercise, the lead underwriters received warrants (the “Underwriter Warrants”) to purchase up to an aggregate of 179,860 shares, or 8.5% of the number of shares sold in the Public Offering (including 8.5% of shares sold pursuant to the exercise of the over-allotment option). The Underwriter Warrants are exercisable at $5.25 per share (100% of the price to the public of the common stock sold in the Public Offering), commencing on the closing date of the Public Offering and expire five years from the closing date of the Public Offering.</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and March 2013, the Company made payments totaling $191 in connection with cancelled, fractional share amounts of common stock (35 common stock share equivalents) in connection with the one-for-five reverse stock split effected February 7,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2013, the Company issued 40,000 shares of common stock to Mark Baum, the Company’s Chief Executive Officer and a director, related to the vesting of RSUs.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2013, the Company issued 2,114 restricted shares of common stock to a consultant, valued at $10,750, in consideration for consulting services provided during the year ended December 31, 2013. The fair value of the shares of common stock issued was recorded as stock-based compensation during the year ended December 31, 2013.</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2013, the Company issued 40,000 restricted shares of common stock to Dr. Robert Kammer, a director and former consultant, valued at $282,997, in consideration for consulting services provided during the years ended December 31, 2013 and 2012.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2013, the Company issued a total of 219 shares of common stock as a result of stock option exercises. The Company received no cash proceeds for the issuance of such shares upon the exercise pursuant to cashless exercise provisions of stock options to purchase 1,030 shares of common stock with an exercise price of $4.00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April 2014, the Company issued 6,868 shares of restricted common stock, valued at $50,000, in connection with the resolution of a contract dispute.</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October 2014, the Company issued 4,000 shares of restricted common stock to a consultant, valued at $29,160 in consideration for consulting services provided. The fair value of the shares of common stock issued was recorded as stock-based compensation during the year ended December 31, 2014.</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2014, the Company issued a total of 227,216 shares of common stock as a result of stock option exercises. Of these, the Company received net cash proceeds of $583,811 for the issuance of 160,777 shares of common stock upon the exercise of stock options to purchase the same number of shares of common stock with exercise prices ranging from $3.68 to $4.00 and the Company received no cash proceeds for the issuance of 66,439 shares of common stock upon the exercise pursuant to cashless exercise provisions of stock options to purchase 146,652 shares of common stock with exercise prices ranging from $3.60 to $6.00 per share.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2014, the Company issued 1,954 shares of common stock to employees related to the vesting of RSUs. In connection with these common stock issuances, the Company withheld 1,518 shares of common stock for payroll tax withholdings totaling $13,109.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During the year ended December 31, 2014, the Company issued a total of 47,829 shares of common stock as a result of warrant exercises. Of these, the Company received gross cash proceeds of $37,867 for the issuance of 6,391 shares of common stock upon the exercise of warrants to purchase the same number of shares of common stock with an exercise price of $5.925 and the Company received no cash proceeds for the issuance of 41,438 shares of common stock upon the exercise pursuant to cashless exercise provisions of warrants to purchase 123,715 shares of common stock with an exercise price of $5.25 per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2014, 27,218 shares of the Company’s common stock underlying RSUs issued to directors vested, but the issuance and delivery of these shares are deferred until the respective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and 2013,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December 31, 2014, the Plan provides for the issuance of a maximum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RSUs and restricted stock. The Plan is administered by the Compensation Committee of the Company’s Board of Directors. The Company had 2,366,369 shares available for future issuances under the Plan at December 31,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Plan for the year ended December 31,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1,328,790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245,886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6.35</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(307,429)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(238,007)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6.68</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December 31, 2014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1,029,240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2,351,174</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5.25</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4.97</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2,080,594</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728,585</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999,175</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5.70</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5.98</w:t>
            </w:r>
          </w:p>
        </w:tc>
        <w:tc>
          <w:tcPr>
            <w:tcW w:w="3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2,319,475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2014, based on the closing price of the Company’s common stock of $7.50 on that date. The aggregate intrinsic value of stock options exercised during the year ended December 31, 2014 was approximately $1,161,000.</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fiscal years 2014 and 2013, the Company granted stock options to certain employees, directors and consultants. The stock options were granted with an exercise price equal to the current market price of the Company’s common stock, as reported by the securities exchange or quotation system on which the common stock was then listed or quoted, at the grant date and have contractual terms ranging from three to 10 years. Vesting terms for options granted in fiscal years 2014 and 2013 to employees, directors and consultants typically included one of the following vesting schedules: 25% or 33% of the shares subject to the option vest and become exercisable on the first anniversary of the grant date and the remaining 75% or 67%, respectively, of the shares subject to the option vest and become exercisable in equal quarterly installments thereafter over two or three years, respectively; quarterly vesting over a three year period; or monthly, quarterly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that it has significantly changed its business operations and focus as of such date and as a result, it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 and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- 6.91</w:t>
            </w:r>
          </w:p>
        </w:tc>
        <w:tc>
          <w:tcPr>
            <w:tcW w:w="3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5.8 -7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96 - 102%</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102 - 123%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jc w:val="right"/>
              <w:spacing w:after="0"/>
              <w:rPr>
                <w:sz w:val="20"/>
                <w:szCs w:val="20"/>
                <w:color w:val="auto"/>
              </w:rPr>
            </w:pPr>
            <w:r>
              <w:rPr>
                <w:rFonts w:ascii="Arial" w:cs="Arial" w:eastAsia="Arial" w:hAnsi="Arial"/>
                <w:sz w:val="18"/>
                <w:szCs w:val="18"/>
                <w:color w:val="auto"/>
              </w:rPr>
              <w:t>1.37</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- 1.65%</w:t>
            </w:r>
          </w:p>
        </w:tc>
        <w:tc>
          <w:tcPr>
            <w:tcW w:w="3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0.86 - 2.05%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consultants: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6.15</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2.33 - 10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97%</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80 - 366%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color w:val="auto"/>
              </w:rPr>
              <w:t>0.10 - 1.68%</w:t>
            </w:r>
          </w:p>
        </w:tc>
        <w:tc>
          <w:tcPr>
            <w:tcW w:w="3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0.30 - 2.45%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0"/>
              </w:rPr>
              <w:t>Options Outstanding</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ind w:left="800"/>
              <w:spacing w:after="0"/>
              <w:rPr>
                <w:sz w:val="20"/>
                <w:szCs w:val="20"/>
                <w:color w:val="auto"/>
              </w:rPr>
            </w:pPr>
            <w:r>
              <w:rPr>
                <w:rFonts w:ascii="Arial" w:cs="Arial" w:eastAsia="Arial" w:hAnsi="Arial"/>
                <w:sz w:val="18"/>
                <w:szCs w:val="18"/>
                <w:color w:val="auto"/>
              </w:rPr>
              <w:t>Options Exercisable</w:t>
            </w:r>
          </w:p>
        </w:tc>
      </w:tr>
      <w:tr>
        <w:trPr>
          <w:trHeight w:val="202"/>
        </w:trPr>
        <w:tc>
          <w:tcPr>
            <w:tcW w:w="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9"/>
              </w:rPr>
              <w:t>Weighted</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Weighted</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r>
      <w:tr>
        <w:trPr>
          <w:trHeight w:val="216"/>
        </w:trPr>
        <w:tc>
          <w:tcPr>
            <w:tcW w:w="4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r>
      <w:tr>
        <w:trPr>
          <w:trHeight w:val="230"/>
        </w:trPr>
        <w:tc>
          <w:tcPr>
            <w:tcW w:w="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w:t>
            </w:r>
          </w:p>
        </w:tc>
        <w:tc>
          <w:tcPr>
            <w:tcW w:w="20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r>
      <w:tr>
        <w:trPr>
          <w:trHeight w:val="237"/>
        </w:trPr>
        <w:tc>
          <w:tcPr>
            <w:tcW w:w="310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Life in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Price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r>
      <w:tr>
        <w:trPr>
          <w:trHeight w:val="216"/>
        </w:trPr>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$2.40</w:t>
            </w:r>
          </w:p>
        </w:tc>
        <w:tc>
          <w:tcPr>
            <w:tcW w:w="2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79"/>
              </w:rPr>
              <w:t>4.57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$3.60</w:t>
            </w:r>
          </w:p>
        </w:tc>
        <w:tc>
          <w:tcPr>
            <w:tcW w:w="2300" w:type="dxa"/>
            <w:vAlign w:val="bottom"/>
          </w:tcPr>
          <w:p>
            <w:pPr>
              <w:ind w:left="20"/>
              <w:spacing w:after="0"/>
              <w:rPr>
                <w:sz w:val="20"/>
                <w:szCs w:val="20"/>
                <w:color w:val="auto"/>
              </w:rPr>
            </w:pPr>
            <w:r>
              <w:rPr>
                <w:rFonts w:ascii="Arial" w:cs="Arial" w:eastAsia="Arial" w:hAnsi="Arial"/>
                <w:sz w:val="18"/>
                <w:szCs w:val="18"/>
                <w:color w:val="auto"/>
              </w:rPr>
              <w:t>- $4.51</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337,723</w:t>
            </w: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4.95</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4.36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270,015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$5.49</w:t>
            </w:r>
          </w:p>
        </w:tc>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$7.71</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190,557</w:t>
            </w:r>
          </w:p>
        </w:tc>
        <w:tc>
          <w:tcPr>
            <w:tcW w:w="18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$8.06</w:t>
            </w:r>
          </w:p>
        </w:tc>
        <w:tc>
          <w:tcPr>
            <w:tcW w:w="2300" w:type="dxa"/>
            <w:vAlign w:val="bottom"/>
          </w:tcPr>
          <w:p>
            <w:pPr>
              <w:ind w:left="20"/>
              <w:spacing w:after="0"/>
              <w:rPr>
                <w:sz w:val="20"/>
                <w:szCs w:val="20"/>
                <w:color w:val="auto"/>
              </w:rPr>
            </w:pPr>
            <w:r>
              <w:rPr>
                <w:rFonts w:ascii="Arial" w:cs="Arial" w:eastAsia="Arial" w:hAnsi="Arial"/>
                <w:sz w:val="18"/>
                <w:szCs w:val="18"/>
                <w:color w:val="auto"/>
              </w:rPr>
              <w:t>- $10.75</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244,160</w:t>
            </w:r>
          </w:p>
        </w:tc>
        <w:tc>
          <w:tcPr>
            <w:tcW w:w="1800" w:type="dxa"/>
            <w:vAlign w:val="bottom"/>
            <w:gridSpan w:val="3"/>
          </w:tcPr>
          <w:p>
            <w:pPr>
              <w:ind w:left="1280"/>
              <w:spacing w:after="0"/>
              <w:rPr>
                <w:sz w:val="20"/>
                <w:szCs w:val="20"/>
                <w:color w:val="auto"/>
              </w:rPr>
            </w:pPr>
            <w:r>
              <w:rPr>
                <w:rFonts w:ascii="Arial" w:cs="Arial" w:eastAsia="Arial" w:hAnsi="Arial"/>
                <w:sz w:val="18"/>
                <w:szCs w:val="18"/>
                <w:color w:val="auto"/>
              </w:rPr>
              <w:t>7.03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8.99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141,660</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5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$28.00 - $80.00</w:t>
            </w:r>
          </w:p>
        </w:tc>
        <w:tc>
          <w:tcPr>
            <w:tcW w:w="3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w:t>
            </w:r>
          </w:p>
        </w:tc>
        <w:tc>
          <w:tcPr>
            <w:tcW w:w="180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5.13</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r>
      <w:tr>
        <w:trPr>
          <w:trHeight w:val="217"/>
        </w:trPr>
        <w:tc>
          <w:tcPr>
            <w:tcW w:w="44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1,029,240</w:t>
            </w:r>
          </w:p>
        </w:tc>
        <w:tc>
          <w:tcPr>
            <w:tcW w:w="1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gridSpan w:val="3"/>
          </w:tcPr>
          <w:p>
            <w:pPr>
              <w:ind w:left="1280"/>
              <w:spacing w:after="0"/>
              <w:rPr>
                <w:sz w:val="20"/>
                <w:szCs w:val="20"/>
                <w:color w:val="auto"/>
              </w:rPr>
            </w:pPr>
            <w:r>
              <w:rPr>
                <w:rFonts w:ascii="Arial" w:cs="Arial" w:eastAsia="Arial" w:hAnsi="Arial"/>
                <w:sz w:val="18"/>
                <w:szCs w:val="18"/>
                <w:color w:val="auto"/>
              </w:rPr>
              <w:t>6.05</w:t>
            </w:r>
          </w:p>
        </w:tc>
        <w:tc>
          <w:tcPr>
            <w:tcW w:w="360" w:type="dxa"/>
            <w:vAlign w:val="bottom"/>
            <w:tcBorders>
              <w:top w:val="single" w:sz="8" w:color="CCEEFF"/>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5.74</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728,585</w:t>
            </w:r>
          </w:p>
        </w:tc>
        <w:tc>
          <w:tcPr>
            <w:tcW w:w="20" w:type="dxa"/>
            <w:vAlign w:val="bottom"/>
            <w:tcBorders>
              <w:top w:val="single" w:sz="8" w:color="CCEEFF"/>
              <w:bottom w:val="single" w:sz="8" w:color="auto"/>
            </w:tcBorders>
          </w:tcPr>
          <w:p>
            <w:pPr>
              <w:spacing w:after="0"/>
              <w:rPr>
                <w:sz w:val="18"/>
                <w:szCs w:val="18"/>
                <w:color w:val="auto"/>
              </w:rPr>
            </w:pPr>
          </w:p>
        </w:tc>
        <w:tc>
          <w:tcPr>
            <w:tcW w:w="5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0"/>
        </w:trPr>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2014, there was approximately $1,571,000 of total unrecognized compensation expense related to unvested stock options granted under the Plan. That expense is expected to be recognized over the weighted-average remaining vesting period of 2.1 years. The stock-based compensation for all stock options was $1,137,634 and $1,689,756 during the years ended December 31, 2014 and 2013,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 On May 2, 2013, the Board of Directors of the Company amended and restated the Plan to provide for the issuance of RSUs under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Grants During the Year Ended December 31, 2013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 2013, the Company granted 1,250,000 RSUs to its Chief Executive Officer, Mark Baum, pursuant to the Plan. Of these RSUs, 200,000 will vest on the third anniversary of the RSU grant date, subject to continued service to the Company and the remaining 1,050,000 RSUs will vest on the third anniversary of the RSU grant date, subject to the satisfaction of certain market-based and continued service conditions (the “Baum Performance Equity Award”). The market-based vesting criteria are separated into five equal tranches and require that the Company achieve and maintain certain stock price targets ranging from $10 per share to $30 per share during the three year period following the grant date. With certain limited exceptions, Mr. Baum must be employed with the Company on the third anniversary of the grant date in order for the Baum Performance Equity Award to vest. These market-based vesting conditions are further described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80" w:type="dxa"/>
            <w:vAlign w:val="bottom"/>
            <w:gridSpan w:val="3"/>
          </w:tcPr>
          <w:p>
            <w:pPr>
              <w:spacing w:after="0"/>
              <w:rPr>
                <w:sz w:val="20"/>
                <w:szCs w:val="20"/>
                <w:color w:val="auto"/>
              </w:rPr>
            </w:pPr>
            <w:r>
              <w:rPr>
                <w:rFonts w:ascii="Arial" w:cs="Arial" w:eastAsia="Arial" w:hAnsi="Arial"/>
                <w:sz w:val="18"/>
                <w:szCs w:val="18"/>
                <w:color w:val="auto"/>
              </w:rPr>
              <w:t>Tranche</w:t>
            </w:r>
          </w:p>
        </w:tc>
        <w:tc>
          <w:tcPr>
            <w:tcW w:w="7520" w:type="dxa"/>
            <w:vAlign w:val="bottom"/>
            <w:gridSpan w:val="2"/>
          </w:tcPr>
          <w:p>
            <w:pPr>
              <w:ind w:left="3000"/>
              <w:spacing w:after="0"/>
              <w:rPr>
                <w:sz w:val="20"/>
                <w:szCs w:val="20"/>
                <w:color w:val="auto"/>
              </w:rPr>
            </w:pPr>
            <w:r>
              <w:rPr>
                <w:rFonts w:ascii="Arial" w:cs="Arial" w:eastAsia="Arial" w:hAnsi="Arial"/>
                <w:sz w:val="18"/>
                <w:szCs w:val="18"/>
                <w:color w:val="auto"/>
              </w:rPr>
              <w:t>Number of Shares</w:t>
            </w:r>
          </w:p>
        </w:tc>
        <w:tc>
          <w:tcPr>
            <w:tcW w:w="1820" w:type="dxa"/>
            <w:vAlign w:val="bottom"/>
          </w:tcPr>
          <w:p>
            <w:pPr>
              <w:ind w:left="240"/>
              <w:spacing w:after="0"/>
              <w:rPr>
                <w:sz w:val="20"/>
                <w:szCs w:val="20"/>
                <w:color w:val="auto"/>
              </w:rPr>
            </w:pPr>
            <w:r>
              <w:rPr>
                <w:rFonts w:ascii="Arial" w:cs="Arial" w:eastAsia="Arial" w:hAnsi="Arial"/>
                <w:sz w:val="18"/>
                <w:szCs w:val="18"/>
                <w:color w:val="auto"/>
              </w:rPr>
              <w:t>Target Share Price</w:t>
            </w:r>
          </w:p>
        </w:tc>
      </w:tr>
      <w:tr>
        <w:trPr>
          <w:trHeight w:val="202"/>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Tranche 1</w:t>
            </w:r>
          </w:p>
        </w:tc>
        <w:tc>
          <w:tcPr>
            <w:tcW w:w="240" w:type="dxa"/>
            <w:vAlign w:val="bottom"/>
          </w:tcPr>
          <w:p>
            <w:pPr>
              <w:spacing w:after="0"/>
              <w:rPr>
                <w:sz w:val="17"/>
                <w:szCs w:val="17"/>
                <w:color w:val="auto"/>
              </w:rPr>
            </w:pPr>
          </w:p>
        </w:tc>
        <w:tc>
          <w:tcPr>
            <w:tcW w:w="7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19.05% of the shares subject to the Baum Performance Equity Award</w:t>
            </w: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2</w:t>
            </w:r>
          </w:p>
        </w:tc>
        <w:tc>
          <w:tcPr>
            <w:tcW w:w="7520" w:type="dxa"/>
            <w:vAlign w:val="bottom"/>
            <w:gridSpan w:val="2"/>
          </w:tcPr>
          <w:p>
            <w:pPr>
              <w:spacing w:after="0"/>
              <w:rPr>
                <w:sz w:val="20"/>
                <w:szCs w:val="20"/>
                <w:color w:val="auto"/>
              </w:rPr>
            </w:pPr>
            <w:r>
              <w:rPr>
                <w:rFonts w:ascii="Arial" w:cs="Arial" w:eastAsia="Arial" w:hAnsi="Arial"/>
                <w:sz w:val="18"/>
                <w:szCs w:val="18"/>
                <w:color w:val="auto"/>
              </w:rPr>
              <w:t>19.05% of the shares subject to the Baum Performance Equity Award</w:t>
            </w:r>
          </w:p>
        </w:tc>
        <w:tc>
          <w:tcPr>
            <w:tcW w:w="182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3</w:t>
            </w:r>
          </w:p>
        </w:tc>
        <w:tc>
          <w:tcPr>
            <w:tcW w:w="7520" w:type="dxa"/>
            <w:vAlign w:val="bottom"/>
            <w:gridSpan w:val="2"/>
          </w:tcPr>
          <w:p>
            <w:pPr>
              <w:spacing w:after="0"/>
              <w:rPr>
                <w:sz w:val="20"/>
                <w:szCs w:val="20"/>
                <w:color w:val="auto"/>
              </w:rPr>
            </w:pPr>
            <w:r>
              <w:rPr>
                <w:rFonts w:ascii="Arial" w:cs="Arial" w:eastAsia="Arial" w:hAnsi="Arial"/>
                <w:sz w:val="18"/>
                <w:szCs w:val="18"/>
                <w:color w:val="auto"/>
              </w:rPr>
              <w:t>19.05% of the shares subject to the Baum Performance Equity Award</w:t>
            </w:r>
          </w:p>
        </w:tc>
        <w:tc>
          <w:tcPr>
            <w:tcW w:w="1820" w:type="dxa"/>
            <w:vAlign w:val="bottom"/>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2080" w:type="dxa"/>
            <w:vAlign w:val="bottom"/>
            <w:gridSpan w:val="3"/>
          </w:tcPr>
          <w:p>
            <w:pPr>
              <w:spacing w:after="0"/>
              <w:rPr>
                <w:sz w:val="20"/>
                <w:szCs w:val="20"/>
                <w:color w:val="auto"/>
              </w:rPr>
            </w:pPr>
            <w:r>
              <w:rPr>
                <w:rFonts w:ascii="Arial" w:cs="Arial" w:eastAsia="Arial" w:hAnsi="Arial"/>
                <w:sz w:val="18"/>
                <w:szCs w:val="18"/>
                <w:color w:val="auto"/>
              </w:rPr>
              <w:t>Tranche 4</w:t>
            </w:r>
          </w:p>
        </w:tc>
        <w:tc>
          <w:tcPr>
            <w:tcW w:w="7520" w:type="dxa"/>
            <w:vAlign w:val="bottom"/>
            <w:gridSpan w:val="2"/>
          </w:tcPr>
          <w:p>
            <w:pPr>
              <w:spacing w:after="0"/>
              <w:rPr>
                <w:sz w:val="20"/>
                <w:szCs w:val="20"/>
                <w:color w:val="auto"/>
              </w:rPr>
            </w:pPr>
            <w:r>
              <w:rPr>
                <w:rFonts w:ascii="Arial" w:cs="Arial" w:eastAsia="Arial" w:hAnsi="Arial"/>
                <w:sz w:val="18"/>
                <w:szCs w:val="18"/>
                <w:color w:val="auto"/>
              </w:rPr>
              <w:t>19.05% of the shares subject to the Baum Performance Equity Award</w:t>
            </w:r>
          </w:p>
        </w:tc>
        <w:tc>
          <w:tcPr>
            <w:tcW w:w="182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30"/>
        </w:trPr>
        <w:tc>
          <w:tcPr>
            <w:tcW w:w="2080" w:type="dxa"/>
            <w:vAlign w:val="bottom"/>
            <w:gridSpan w:val="3"/>
          </w:tcPr>
          <w:p>
            <w:pPr>
              <w:spacing w:after="0"/>
              <w:rPr>
                <w:sz w:val="20"/>
                <w:szCs w:val="20"/>
                <w:color w:val="auto"/>
              </w:rPr>
            </w:pPr>
            <w:r>
              <w:rPr>
                <w:rFonts w:ascii="Arial" w:cs="Arial" w:eastAsia="Arial" w:hAnsi="Arial"/>
                <w:sz w:val="18"/>
                <w:szCs w:val="18"/>
                <w:color w:val="auto"/>
              </w:rPr>
              <w:t>Tranche 5</w:t>
            </w:r>
          </w:p>
        </w:tc>
        <w:tc>
          <w:tcPr>
            <w:tcW w:w="7520" w:type="dxa"/>
            <w:vAlign w:val="bottom"/>
            <w:gridSpan w:val="2"/>
          </w:tcPr>
          <w:p>
            <w:pPr>
              <w:spacing w:after="0"/>
              <w:rPr>
                <w:sz w:val="20"/>
                <w:szCs w:val="20"/>
                <w:color w:val="auto"/>
              </w:rPr>
            </w:pPr>
            <w:r>
              <w:rPr>
                <w:rFonts w:ascii="Arial" w:cs="Arial" w:eastAsia="Arial" w:hAnsi="Arial"/>
                <w:sz w:val="18"/>
                <w:szCs w:val="18"/>
                <w:color w:val="auto"/>
              </w:rPr>
              <w:t>23.80% of the shares subject to the Baum Performance Equity Award</w:t>
            </w:r>
          </w:p>
        </w:tc>
        <w:tc>
          <w:tcPr>
            <w:tcW w:w="1820" w:type="dxa"/>
            <w:vAlign w:val="bottom"/>
          </w:tcPr>
          <w:p>
            <w:pPr>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RSUs under the Baum Performance Equity Award will be forfeited on the third anniversary of the grant date.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earning and issuance of any shares under the Baum Performance Equity Award that would exceed the number of shares available for grant and/or the applicable annual per person grant limit for performance-based restricted stock units under the Plan as of the grant date of the Baum Performance Equity Award were subject to approval by the Board of Directors and the Company’s stockholders of increases tothe number of shares available for grant and the applicable annual per person grant limit for performance-based restricted stock units under the Plan. On May 2, 2013, the Board of Directors approved an amendment to the Plan to increase the number of shares available for grant from 2,400,000 to 5,000,000 shares and the applicable annual per person grant limit from 600,000 to 1,250,000 shares and on September 27, 2013, a majority of the Company’s stockholders approved the amendment to the Plan. The 450,000 RSUs subject to the Baum Performance Equity Award that were pending such approval were granted on that date.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Concurrent with the issuance of the 450,000 RSUs, Mr. Baum agreed to cancel 120,000 unvested RSUs previously granted to Mr. Baum in July 2012. As a result, the Company has treated the issuance of the 450,000 RSUs as a modification of the RSU grant made to Mr. Baum in July 2012. The total compensation cost to be recognized by the Company is equal to the original grant date fair value of the canceled RSUs plus any incremental cost calculated as the excess of the fair value of the 450,000 RSUs over the fair value of the canceled 120,000 RSUs on the modification date, which is September 27, 2013. The initial fair value of the 450,000 RSUs pursuant to the Baum Performance Equity Award granted to Mr. Baum was $189,000. No incremental cost was associated with the exchange of RSUs as the fair value prior to modification was more than after the modification. The 450,000 RSUs pursuant to the Baum Performance Equity Award were valued using a Monte Carlo Simulation with a three year life, 75% volatility and a risk free interest rate of 0.64%.</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initial fair value of the 200,000 RSUs and 600,000 RSUs pursuant to the Baum Performance Equity Award granted to Mr. Baum was $3,515,090. The 600,000 RSUs pursuant to the Baum Performance Equity Award were valued using a Monte Carlo Simulation with a three year life, 75% volatility and a risk free interest rate of 0.30%.</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24, 2013, the Company granted 100,000 RSUs to a consultant that were to vest based on the satisfaction of certain market-based conditions subject to the consultant’s continued service, among other things. These market-based vesting conditions are further described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00" w:type="dxa"/>
            <w:vAlign w:val="bottom"/>
            <w:gridSpan w:val="3"/>
          </w:tcPr>
          <w:p>
            <w:pPr>
              <w:spacing w:after="0"/>
              <w:rPr>
                <w:sz w:val="20"/>
                <w:szCs w:val="20"/>
                <w:color w:val="auto"/>
              </w:rPr>
            </w:pPr>
            <w:r>
              <w:rPr>
                <w:rFonts w:ascii="Arial" w:cs="Arial" w:eastAsia="Arial" w:hAnsi="Arial"/>
                <w:sz w:val="18"/>
                <w:szCs w:val="18"/>
                <w:color w:val="auto"/>
              </w:rPr>
              <w:t>Tranche</w:t>
            </w:r>
          </w:p>
        </w:tc>
        <w:tc>
          <w:tcPr>
            <w:tcW w:w="3880" w:type="dxa"/>
            <w:vAlign w:val="bottom"/>
            <w:gridSpan w:val="2"/>
          </w:tcPr>
          <w:p>
            <w:pPr>
              <w:ind w:left="1180"/>
              <w:spacing w:after="0"/>
              <w:rPr>
                <w:sz w:val="20"/>
                <w:szCs w:val="20"/>
                <w:color w:val="auto"/>
              </w:rPr>
            </w:pPr>
            <w:r>
              <w:rPr>
                <w:rFonts w:ascii="Arial" w:cs="Arial" w:eastAsia="Arial" w:hAnsi="Arial"/>
                <w:sz w:val="18"/>
                <w:szCs w:val="18"/>
                <w:color w:val="auto"/>
              </w:rPr>
              <w:t>Number of Shares</w:t>
            </w:r>
          </w:p>
        </w:tc>
        <w:tc>
          <w:tcPr>
            <w:tcW w:w="3640" w:type="dxa"/>
            <w:vAlign w:val="bottom"/>
          </w:tcPr>
          <w:p>
            <w:pPr>
              <w:ind w:left="1160"/>
              <w:spacing w:after="0"/>
              <w:rPr>
                <w:sz w:val="20"/>
                <w:szCs w:val="20"/>
                <w:color w:val="auto"/>
              </w:rPr>
            </w:pPr>
            <w:r>
              <w:rPr>
                <w:rFonts w:ascii="Arial" w:cs="Arial" w:eastAsia="Arial" w:hAnsi="Arial"/>
                <w:sz w:val="18"/>
                <w:szCs w:val="18"/>
                <w:color w:val="auto"/>
              </w:rPr>
              <w:t>Target Share Price</w:t>
            </w:r>
          </w:p>
        </w:tc>
      </w:tr>
      <w:tr>
        <w:trPr>
          <w:trHeight w:val="202"/>
        </w:trPr>
        <w:tc>
          <w:tcPr>
            <w:tcW w:w="2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Tranche 1</w:t>
            </w:r>
          </w:p>
        </w:tc>
        <w:tc>
          <w:tcPr>
            <w:tcW w:w="240" w:type="dxa"/>
            <w:vAlign w:val="bottom"/>
          </w:tcPr>
          <w:p>
            <w:pPr>
              <w:spacing w:after="0"/>
              <w:rPr>
                <w:sz w:val="17"/>
                <w:szCs w:val="17"/>
                <w:color w:val="auto"/>
              </w:rPr>
            </w:pPr>
          </w:p>
        </w:tc>
        <w:tc>
          <w:tcPr>
            <w:tcW w:w="3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20,000 shares</w:t>
            </w:r>
          </w:p>
        </w:tc>
        <w:tc>
          <w:tcPr>
            <w:tcW w:w="220" w:type="dxa"/>
            <w:vAlign w:val="bottom"/>
          </w:tcPr>
          <w:p>
            <w:pPr>
              <w:spacing w:after="0"/>
              <w:rPr>
                <w:sz w:val="17"/>
                <w:szCs w:val="17"/>
                <w:color w:val="auto"/>
              </w:rPr>
            </w:pPr>
          </w:p>
        </w:tc>
        <w:tc>
          <w:tcPr>
            <w:tcW w:w="36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$10.00 or greater</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Tranche 2</w:t>
            </w:r>
          </w:p>
        </w:tc>
        <w:tc>
          <w:tcPr>
            <w:tcW w:w="3880" w:type="dxa"/>
            <w:vAlign w:val="bottom"/>
            <w:gridSpan w:val="2"/>
          </w:tcPr>
          <w:p>
            <w:pPr>
              <w:spacing w:after="0"/>
              <w:rPr>
                <w:sz w:val="20"/>
                <w:szCs w:val="20"/>
                <w:color w:val="auto"/>
              </w:rPr>
            </w:pPr>
            <w:r>
              <w:rPr>
                <w:rFonts w:ascii="Arial" w:cs="Arial" w:eastAsia="Arial" w:hAnsi="Arial"/>
                <w:sz w:val="18"/>
                <w:szCs w:val="18"/>
                <w:color w:val="auto"/>
              </w:rPr>
              <w:t>20,000 shares</w:t>
            </w:r>
          </w:p>
        </w:tc>
        <w:tc>
          <w:tcPr>
            <w:tcW w:w="3640" w:type="dxa"/>
            <w:vAlign w:val="bottom"/>
          </w:tcPr>
          <w:p>
            <w:pPr>
              <w:spacing w:after="0"/>
              <w:rPr>
                <w:sz w:val="20"/>
                <w:szCs w:val="20"/>
                <w:color w:val="auto"/>
              </w:rPr>
            </w:pPr>
            <w:r>
              <w:rPr>
                <w:rFonts w:ascii="Arial" w:cs="Arial" w:eastAsia="Arial" w:hAnsi="Arial"/>
                <w:sz w:val="18"/>
                <w:szCs w:val="18"/>
                <w:color w:val="auto"/>
              </w:rPr>
              <w:t>$15.00 or greater</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Tranche 3</w:t>
            </w:r>
          </w:p>
        </w:tc>
        <w:tc>
          <w:tcPr>
            <w:tcW w:w="3880" w:type="dxa"/>
            <w:vAlign w:val="bottom"/>
            <w:gridSpan w:val="2"/>
          </w:tcPr>
          <w:p>
            <w:pPr>
              <w:spacing w:after="0"/>
              <w:rPr>
                <w:sz w:val="20"/>
                <w:szCs w:val="20"/>
                <w:color w:val="auto"/>
              </w:rPr>
            </w:pPr>
            <w:r>
              <w:rPr>
                <w:rFonts w:ascii="Arial" w:cs="Arial" w:eastAsia="Arial" w:hAnsi="Arial"/>
                <w:sz w:val="18"/>
                <w:szCs w:val="18"/>
                <w:color w:val="auto"/>
              </w:rPr>
              <w:t>20,000 shares</w:t>
            </w:r>
          </w:p>
        </w:tc>
        <w:tc>
          <w:tcPr>
            <w:tcW w:w="3640" w:type="dxa"/>
            <w:vAlign w:val="bottom"/>
          </w:tcPr>
          <w:p>
            <w:pPr>
              <w:spacing w:after="0"/>
              <w:rPr>
                <w:sz w:val="20"/>
                <w:szCs w:val="20"/>
                <w:color w:val="auto"/>
              </w:rPr>
            </w:pPr>
            <w:r>
              <w:rPr>
                <w:rFonts w:ascii="Arial" w:cs="Arial" w:eastAsia="Arial" w:hAnsi="Arial"/>
                <w:sz w:val="18"/>
                <w:szCs w:val="18"/>
                <w:color w:val="auto"/>
              </w:rPr>
              <w:t>$20.00 or greater</w:t>
            </w: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Tranche 4</w:t>
            </w:r>
          </w:p>
        </w:tc>
        <w:tc>
          <w:tcPr>
            <w:tcW w:w="3880" w:type="dxa"/>
            <w:vAlign w:val="bottom"/>
            <w:gridSpan w:val="2"/>
          </w:tcPr>
          <w:p>
            <w:pPr>
              <w:spacing w:after="0"/>
              <w:rPr>
                <w:sz w:val="20"/>
                <w:szCs w:val="20"/>
                <w:color w:val="auto"/>
              </w:rPr>
            </w:pPr>
            <w:r>
              <w:rPr>
                <w:rFonts w:ascii="Arial" w:cs="Arial" w:eastAsia="Arial" w:hAnsi="Arial"/>
                <w:sz w:val="18"/>
                <w:szCs w:val="18"/>
                <w:color w:val="auto"/>
              </w:rPr>
              <w:t>20,000 shares</w:t>
            </w:r>
          </w:p>
        </w:tc>
        <w:tc>
          <w:tcPr>
            <w:tcW w:w="3640" w:type="dxa"/>
            <w:vAlign w:val="bottom"/>
          </w:tcPr>
          <w:p>
            <w:pPr>
              <w:spacing w:after="0"/>
              <w:rPr>
                <w:sz w:val="20"/>
                <w:szCs w:val="20"/>
                <w:color w:val="auto"/>
              </w:rPr>
            </w:pPr>
            <w:r>
              <w:rPr>
                <w:rFonts w:ascii="Arial" w:cs="Arial" w:eastAsia="Arial" w:hAnsi="Arial"/>
                <w:sz w:val="18"/>
                <w:szCs w:val="18"/>
                <w:color w:val="auto"/>
              </w:rPr>
              <w:t>$25.00 or greater</w:t>
            </w: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Tranche 5</w:t>
            </w:r>
          </w:p>
        </w:tc>
        <w:tc>
          <w:tcPr>
            <w:tcW w:w="3880" w:type="dxa"/>
            <w:vAlign w:val="bottom"/>
            <w:gridSpan w:val="2"/>
          </w:tcPr>
          <w:p>
            <w:pPr>
              <w:spacing w:after="0"/>
              <w:rPr>
                <w:sz w:val="20"/>
                <w:szCs w:val="20"/>
                <w:color w:val="auto"/>
              </w:rPr>
            </w:pPr>
            <w:r>
              <w:rPr>
                <w:rFonts w:ascii="Arial" w:cs="Arial" w:eastAsia="Arial" w:hAnsi="Arial"/>
                <w:sz w:val="18"/>
                <w:szCs w:val="18"/>
                <w:color w:val="auto"/>
              </w:rPr>
              <w:t>20,000 shares</w:t>
            </w:r>
          </w:p>
        </w:tc>
        <w:tc>
          <w:tcPr>
            <w:tcW w:w="3640" w:type="dxa"/>
            <w:vAlign w:val="bottom"/>
          </w:tcPr>
          <w:p>
            <w:pPr>
              <w:spacing w:after="0"/>
              <w:rPr>
                <w:sz w:val="20"/>
                <w:szCs w:val="20"/>
                <w:color w:val="auto"/>
              </w:rPr>
            </w:pPr>
            <w:r>
              <w:rPr>
                <w:rFonts w:ascii="Arial" w:cs="Arial" w:eastAsia="Arial" w:hAnsi="Arial"/>
                <w:sz w:val="18"/>
                <w:szCs w:val="18"/>
                <w:color w:val="auto"/>
              </w:rPr>
              <w:t>$30.00 or greater</w:t>
            </w:r>
          </w:p>
        </w:tc>
      </w:tr>
      <w:tr>
        <w:trPr>
          <w:trHeight w:val="466"/>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rPr>
              <w:t>F-20</w:t>
            </w: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For each respective tranche to vest the following conditions must have been met: (i) the Company’s common stock must have had an official closing price at or above the Target Share Price for the respective tranche (each such date a “Trigger Date”); (ii) during the period that included the Trigger Date and the immediately following 19 trading days (the “Measurement Period”), the arithmetic mean of the 20 closing prices during the Measurement Period have been at or above the Target Share Price for such tranche ((i) and (ii), the “Stock Price Conditions”); and (iii) with certain limited exceptions, 50% of the RSUs subject to a tranche would vest on the quarterly anniversary of the grant date following the satisfaction of the Stock Price Conditions with respect to that tranche, subject to the consultant being in continuous service with the Company on such quarterly anniversary and the remaining 50% would vest on the second anniversary of the grant date if (a) the Stock Price Conditions had been satisfied with respect to that tranche prior to the second anniversary of the grant date and (b) the consultant was in continuous service with the Company on the second anniversary of the grant date. All unvested RSUs would be forfeited on the second anniversary of the grant date.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initial value of the 100,000 RSUs with market-based vesting conditions granted to the consultant was $288,000, and as of December 31, 2013 the remeasured fair value of those RSUs was $10,080. The 100,000 RSUs were valued using a Monte Carlo Simulation with a 2 year life (based on the grant date), 75%-85% volatility and risk free interest rates of 0.13%-0.36%. During March 2014, the Company terminated its agreement with a consultant that provided for the grant of 100,000 RSUs that had vesting criteria based on the satisfaction of certain market-based conditions subject to the consultant’s continued service, among other things. Upon termination of the agreement, all 100,000 RSUs were forfeited and deemed reconveyed to the Company.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2013, the Company granted an aggregate of 34,325 RSUs to its non-employee directors, valued at $271,854. The RSUs vest in full 13 months after the date of grant subject to the director’s continued service, but the issuance and delivery of these shares are deferred until the director resigns. In September and October 2013, two directors resigned and forfeited all such RSUs.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2013, the Company issued 8,947 RSUs to a former director for his service to the Company as a director, valued at $39,814. The RSUs were to vest in full 13 months after the date of grant subject to the director’s continued service, but the issuance and delivery of these shares are deferred until the director resigns. All such RSUs were forfeited upon the director’s resignation in September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2013, the Company granted an aggregate of 10,418 RSUs to certain employees, valued at $42,498. The RSUs will vest in equal annual installments over a three-year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During the Year Ended December 31,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2014, the Company granted an aggregate of 26,492 RSUs to its non-employee directors valued at $200,015. These RSUs vest in equal quarterly installments over a one year period subject to the director’s continued service, but the issuance and delivery of these shares are deferred until the director resigns.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year ended December 31, 2014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 RSUs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Weighted Average Grant Date Fair Value</w:t>
            </w: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2014</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RSUs granted</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26,492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RSUs cancelled/forfeit</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(108,947)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r>
        <w:trPr>
          <w:trHeight w:val="230"/>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December 31, 2014</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1,276,815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36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0"/>
        </w:trPr>
        <w:tc>
          <w:tcPr>
            <w:tcW w:w="43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total unrecognized compensation expense related to unvested RSUs was approximately $1,923,000 which is expected to be recognized over a weighted-average period of 1.32 years, based on estimated vesting schedules. The stock-based compensation for RSU’s was $1,332,176 and $822,137 during the years ended December 31,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to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2013</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2013, the Company issued a warrant to purchase 30,000 shares of the Company’s common stock to a consultant with an exercise price of $5.25 per share. The warrants expire three years following the issuance date, and vest as follows: 10,000 shares vested immediately upon execution of the consulting agreement, and the remaining shares vested in 4,000 share installments on each of the five monthly anniversaries of the date of the consulting agreement, provided the consultant continued to provide services to the Company as of the applicable vesting dates.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spacing w:after="0" w:line="279" w:lineRule="auto"/>
        <w:rPr>
          <w:sz w:val="20"/>
          <w:szCs w:val="20"/>
          <w:color w:val="auto"/>
        </w:rPr>
      </w:pPr>
      <w:r>
        <w:rPr>
          <w:rFonts w:ascii="Arial" w:cs="Arial" w:eastAsia="Arial" w:hAnsi="Arial"/>
          <w:sz w:val="17"/>
          <w:szCs w:val="17"/>
          <w:color w:val="auto"/>
        </w:rPr>
        <w:t>In July 2013, the Company issued a warrant to purchase 60,000 shares of the Company’s common stock to a consultant with an exercise price of $8.50 per share, in consideration for services to be provided over a six month term. The warrants expire five years following the issuance date, vested immediately, are non-forfeitable, and became exercisable in January 2014. The Company recorded an initial stock-based prepaid consulting expense for the fair value of the warrants totaling $319,786, which was being amortized over the length of the consulting service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During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issue any warrants during the year ended December 31,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during the year ended December 31,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60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Number of Shares Subject to</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ind w:left="28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00" w:type="dxa"/>
            <w:vAlign w:val="bottom"/>
            <w:gridSpan w:val="3"/>
          </w:tcPr>
          <w:p>
            <w:pPr>
              <w:jc w:val="right"/>
              <w:ind w:right="600"/>
              <w:spacing w:after="0"/>
              <w:rPr>
                <w:sz w:val="20"/>
                <w:szCs w:val="20"/>
                <w:color w:val="auto"/>
              </w:rPr>
            </w:pPr>
            <w:r>
              <w:rPr>
                <w:rFonts w:ascii="Arial" w:cs="Arial" w:eastAsia="Arial" w:hAnsi="Arial"/>
                <w:sz w:val="18"/>
                <w:szCs w:val="18"/>
                <w:color w:val="auto"/>
              </w:rPr>
              <w:t>Warrants 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ind w:left="30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2014</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821,050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(130,106)</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Expired</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December 31, 2014</w:t>
            </w: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w:t>
            </w: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180" w:type="dxa"/>
            <w:vAlign w:val="bottom"/>
            <w:gridSpan w:val="2"/>
          </w:tcPr>
          <w:p>
            <w:pPr>
              <w:spacing w:after="0"/>
              <w:rPr>
                <w:sz w:val="20"/>
                <w:szCs w:val="20"/>
                <w:color w:val="auto"/>
              </w:rPr>
            </w:pPr>
            <w:r>
              <w:rPr>
                <w:rFonts w:ascii="Arial" w:cs="Arial" w:eastAsia="Arial" w:hAnsi="Arial"/>
                <w:sz w:val="18"/>
                <w:szCs w:val="18"/>
                <w:color w:val="auto"/>
              </w:rPr>
              <w:t>December 31, 2014</w:t>
            </w:r>
          </w:p>
        </w:tc>
        <w:tc>
          <w:tcPr>
            <w:tcW w:w="2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table below illustrates the fair value per share determined by the Black-Scholes-Merton option pricing model with the following assumptions used for valuing the warrants issued to consultants: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December 31, 2013</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40" w:type="dxa"/>
            <w:vAlign w:val="bottom"/>
          </w:tcPr>
          <w:p>
            <w:pPr>
              <w:spacing w:after="0"/>
              <w:rPr>
                <w:sz w:val="18"/>
                <w:szCs w:val="18"/>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85%-346%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18"/>
                <w:szCs w:val="18"/>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0.32%-1.31%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December 31, 2014 is included in the following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Warrants Outstanding</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Warrants Exercisable</w:t>
            </w:r>
          </w:p>
        </w:tc>
      </w:tr>
      <w:tr>
        <w:trPr>
          <w:trHeight w:val="202"/>
        </w:trPr>
        <w:tc>
          <w:tcPr>
            <w:tcW w:w="4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7"/>
                <w:szCs w:val="17"/>
                <w:color w:val="auto"/>
              </w:rPr>
            </w:pPr>
          </w:p>
        </w:tc>
        <w:tc>
          <w:tcPr>
            <w:tcW w:w="134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Warrants</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4"/>
              </w:rPr>
              <w:t>Expiration</w:t>
            </w:r>
          </w:p>
        </w:tc>
      </w:tr>
      <w:tr>
        <w:trPr>
          <w:trHeight w:val="237"/>
        </w:trPr>
        <w:tc>
          <w:tcPr>
            <w:tcW w:w="4820" w:type="dxa"/>
            <w:vAlign w:val="bottom"/>
            <w:gridSpan w:val="2"/>
          </w:tcPr>
          <w:p>
            <w:pPr>
              <w:ind w:left="1760"/>
              <w:spacing w:after="0"/>
              <w:rPr>
                <w:sz w:val="20"/>
                <w:szCs w:val="20"/>
                <w:color w:val="auto"/>
              </w:rPr>
            </w:pPr>
            <w:r>
              <w:rPr>
                <w:rFonts w:ascii="Arial" w:cs="Arial" w:eastAsia="Arial" w:hAnsi="Arial"/>
                <w:sz w:val="18"/>
                <w:szCs w:val="18"/>
                <w:color w:val="auto"/>
              </w:rPr>
              <w:t>Warrant Series</w:t>
            </w:r>
          </w:p>
        </w:tc>
        <w:tc>
          <w:tcPr>
            <w:tcW w:w="116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2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Price</w:t>
            </w: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Exercisable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issued to a former major shareholder</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4/25/2012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3"/>
              </w:rPr>
              <w:t>48,262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4/25/2015</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Warrants issued in April 2012 private placement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4/25/2012</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496,537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120" w:type="dxa"/>
            <w:vAlign w:val="bottom"/>
          </w:tcPr>
          <w:p>
            <w:pPr>
              <w:ind w:left="540"/>
              <w:spacing w:after="0"/>
              <w:rPr>
                <w:sz w:val="20"/>
                <w:szCs w:val="20"/>
                <w:color w:val="auto"/>
              </w:rPr>
            </w:pPr>
            <w:r>
              <w:rPr>
                <w:rFonts w:ascii="Arial" w:cs="Arial" w:eastAsia="Arial" w:hAnsi="Arial"/>
                <w:sz w:val="18"/>
                <w:szCs w:val="18"/>
                <w:color w:val="auto"/>
                <w:w w:val="86"/>
              </w:rPr>
              <w:t>496,537</w:t>
            </w:r>
          </w:p>
        </w:tc>
        <w:tc>
          <w:tcPr>
            <w:tcW w:w="220" w:type="dxa"/>
            <w:vAlign w:val="bottom"/>
          </w:tcPr>
          <w:p>
            <w:pPr>
              <w:spacing w:after="0"/>
              <w:rPr>
                <w:sz w:val="18"/>
                <w:szCs w:val="18"/>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2"/>
              </w:rPr>
              <w:t>4/25/2015</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2/7/2013</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56,145</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2/7/2018</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2/28/2013</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30,000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30,000</w:t>
            </w:r>
          </w:p>
        </w:tc>
        <w:tc>
          <w:tcPr>
            <w:tcW w:w="1140" w:type="dxa"/>
            <w:vAlign w:val="bottom"/>
          </w:tcPr>
          <w:p>
            <w:pPr>
              <w:jc w:val="center"/>
              <w:ind w:left="30"/>
              <w:spacing w:after="0"/>
              <w:rPr>
                <w:sz w:val="20"/>
                <w:szCs w:val="20"/>
                <w:color w:val="auto"/>
              </w:rPr>
            </w:pPr>
            <w:r>
              <w:rPr>
                <w:rFonts w:ascii="Arial" w:cs="Arial" w:eastAsia="Arial" w:hAnsi="Arial"/>
                <w:sz w:val="18"/>
                <w:szCs w:val="18"/>
                <w:color w:val="auto"/>
                <w:w w:val="92"/>
              </w:rPr>
              <w:t>2/28/2016</w:t>
            </w:r>
          </w:p>
        </w:tc>
      </w:tr>
      <w:tr>
        <w:trPr>
          <w:trHeight w:val="23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7/19/2013</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7/19/2018</w:t>
            </w:r>
          </w:p>
        </w:tc>
      </w:tr>
      <w:tr>
        <w:trPr>
          <w:trHeight w:val="203"/>
        </w:trPr>
        <w:tc>
          <w:tcPr>
            <w:tcW w:w="45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690,944</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6.05</w:t>
            </w:r>
          </w:p>
        </w:tc>
        <w:tc>
          <w:tcPr>
            <w:tcW w:w="1120" w:type="dxa"/>
            <w:vAlign w:val="bottom"/>
            <w:tcBorders>
              <w:top w:val="single" w:sz="8" w:color="auto"/>
              <w:bottom w:val="single" w:sz="8" w:color="auto"/>
            </w:tcBorders>
          </w:tcPr>
          <w:p>
            <w:pPr>
              <w:ind w:left="540"/>
              <w:spacing w:after="0" w:line="203" w:lineRule="exact"/>
              <w:rPr>
                <w:sz w:val="20"/>
                <w:szCs w:val="20"/>
                <w:color w:val="auto"/>
              </w:rPr>
            </w:pPr>
            <w:r>
              <w:rPr>
                <w:rFonts w:ascii="Arial" w:cs="Arial" w:eastAsia="Arial" w:hAnsi="Arial"/>
                <w:sz w:val="18"/>
                <w:szCs w:val="18"/>
                <w:color w:val="auto"/>
                <w:w w:val="86"/>
              </w:rPr>
              <w:t>690,944</w:t>
            </w: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stock-based compensation for warrants issued was $26,649 and $468,777 during the years ended December 31, 2014 and 2013, respectively.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stock-based compensation (including the amortization of stock-based prepaid consulting fees, issuance of common stock for services and accrual for stock-based compensation) related to equity instruments granted to employees, directors and consultants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For the</w:t>
            </w:r>
          </w:p>
        </w:tc>
        <w:tc>
          <w:tcPr>
            <w:tcW w:w="228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Year Ended</w:t>
            </w:r>
          </w:p>
        </w:tc>
        <w:tc>
          <w:tcPr>
            <w:tcW w:w="2280" w:type="dxa"/>
            <w:vAlign w:val="bottom"/>
          </w:tcPr>
          <w:p>
            <w:pPr>
              <w:spacing w:after="0"/>
              <w:rPr>
                <w:sz w:val="19"/>
                <w:szCs w:val="19"/>
                <w:color w:val="auto"/>
              </w:rPr>
            </w:pPr>
          </w:p>
        </w:tc>
      </w:tr>
      <w:tr>
        <w:trPr>
          <w:trHeight w:val="237"/>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 31, 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December 31, 2013</w:t>
            </w:r>
          </w:p>
        </w:tc>
        <w:tc>
          <w:tcPr>
            <w:tcW w:w="22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2,095,254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1,512,448</w:t>
            </w:r>
          </w:p>
        </w:tc>
        <w:tc>
          <w:tcPr>
            <w:tcW w:w="22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Employees - research and development</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156,568</w:t>
            </w: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Directors - general and administrative</w:t>
            </w:r>
          </w:p>
        </w:tc>
        <w:tc>
          <w:tcPr>
            <w:tcW w:w="1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146,093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399,986</w:t>
            </w:r>
          </w:p>
        </w:tc>
        <w:tc>
          <w:tcPr>
            <w:tcW w:w="228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and marketing</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Consultants - general and administrative</w:t>
            </w:r>
          </w:p>
        </w:tc>
        <w:tc>
          <w:tcPr>
            <w:tcW w:w="1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146,799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843,301</w:t>
            </w:r>
          </w:p>
        </w:tc>
        <w:tc>
          <w:tcPr>
            <w:tcW w:w="228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Consultants - research and development</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214,372</w:t>
            </w:r>
          </w:p>
        </w:tc>
        <w:tc>
          <w:tcPr>
            <w:tcW w:w="2280" w:type="dxa"/>
            <w:vAlign w:val="bottom"/>
          </w:tcPr>
          <w:p>
            <w:pPr>
              <w:spacing w:after="0"/>
              <w:rPr>
                <w:sz w:val="21"/>
                <w:szCs w:val="21"/>
                <w:color w:val="auto"/>
              </w:rPr>
            </w:pPr>
          </w:p>
        </w:tc>
      </w:tr>
      <w:tr>
        <w:trPr>
          <w:trHeight w:val="217"/>
        </w:trPr>
        <w:tc>
          <w:tcPr>
            <w:tcW w:w="53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2,564,619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3,134,973</w:t>
            </w: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F-22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taxation in the United States and California. The provision for income taxes for the years ended December 31, 2014 and 2013 are summarized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 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11,082,459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3,100,627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2,233,726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(14,183,086)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(10,309,068)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taxes for the years ended December 31, 2014 and 2013, are recorded in the general and administrative expenses line item in the accompanying consolidated statements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by applying the statutory U.S. income tax rate to the Company’s loss before income taxes to the income tax provision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December 31, 2014</w:t>
            </w:r>
          </w:p>
        </w:tc>
        <w:tc>
          <w:tcPr>
            <w:tcW w:w="4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6"/>
              </w:rPr>
              <w:t>December 31, 2013</w:t>
            </w:r>
          </w:p>
        </w:tc>
        <w:tc>
          <w:tcPr>
            <w:tcW w:w="220" w:type="dxa"/>
            <w:vAlign w:val="bottom"/>
            <w:tcBorders>
              <w:bottom w:val="single" w:sz="8" w:color="CCEEFF"/>
            </w:tcBorders>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20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Benefit of lower tax brackets</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net</w:t>
            </w:r>
          </w:p>
        </w:tc>
        <w:tc>
          <w:tcPr>
            <w:tcW w:w="2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8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based compensation</w:t>
            </w:r>
          </w:p>
        </w:tc>
        <w:tc>
          <w:tcPr>
            <w:tcW w:w="2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on debt conversion</w:t>
            </w:r>
          </w:p>
        </w:tc>
        <w:tc>
          <w:tcPr>
            <w:tcW w:w="2080" w:type="dxa"/>
            <w:vAlign w:val="bottom"/>
            <w:gridSpan w:val="2"/>
          </w:tcPr>
          <w:p>
            <w:pPr>
              <w:jc w:val="right"/>
              <w:ind w:right="150"/>
              <w:spacing w:after="0"/>
              <w:rPr>
                <w:sz w:val="20"/>
                <w:szCs w:val="20"/>
                <w:color w:val="auto"/>
              </w:rPr>
            </w:pPr>
            <w:r>
              <w:rPr>
                <w:rFonts w:ascii="Arial" w:cs="Arial" w:eastAsia="Arial" w:hAnsi="Arial"/>
                <w:sz w:val="18"/>
                <w:szCs w:val="18"/>
                <w:color w:val="auto"/>
              </w:rPr>
              <w:t>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(0.21)%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Valuation allowance</w:t>
            </w:r>
          </w:p>
        </w:tc>
        <w:tc>
          <w:tcPr>
            <w:tcW w:w="2080" w:type="dxa"/>
            <w:vAlign w:val="bottom"/>
            <w:gridSpan w:val="2"/>
          </w:tcPr>
          <w:p>
            <w:pPr>
              <w:jc w:val="right"/>
              <w:ind w:right="90"/>
              <w:spacing w:after="0"/>
              <w:rPr>
                <w:sz w:val="20"/>
                <w:szCs w:val="20"/>
                <w:color w:val="auto"/>
              </w:rPr>
            </w:pPr>
            <w:r>
              <w:rPr>
                <w:rFonts w:ascii="Arial" w:cs="Arial" w:eastAsia="Arial" w:hAnsi="Arial"/>
                <w:sz w:val="18"/>
                <w:szCs w:val="18"/>
                <w:color w:val="auto"/>
              </w:rPr>
              <w:t>(32.76)%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(29.63)%</w:t>
            </w:r>
          </w:p>
        </w:tc>
      </w:tr>
      <w:tr>
        <w:trPr>
          <w:trHeight w:val="230"/>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0"/>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Deferred tax assets and liabilities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December 31, 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December 31, 2013</w:t>
            </w:r>
          </w:p>
        </w:tc>
        <w:tc>
          <w:tcPr>
            <w:tcW w:w="22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NOL’s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10,922,914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7,364,058</w:t>
            </w:r>
          </w:p>
        </w:tc>
        <w:tc>
          <w:tcPr>
            <w:tcW w:w="228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8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129,191</w:t>
            </w:r>
          </w:p>
        </w:tc>
        <w:tc>
          <w:tcPr>
            <w:tcW w:w="228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credits</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563,485</w:t>
            </w:r>
          </w:p>
        </w:tc>
        <w:tc>
          <w:tcPr>
            <w:tcW w:w="228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2,646,208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2,252,674</w:t>
            </w:r>
          </w:p>
        </w:tc>
        <w:tc>
          <w:tcPr>
            <w:tcW w:w="2280" w:type="dxa"/>
            <w:vAlign w:val="bottom"/>
          </w:tcPr>
          <w:p>
            <w:pPr>
              <w:spacing w:after="0"/>
              <w:rPr>
                <w:sz w:val="18"/>
                <w:szCs w:val="18"/>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or loss on investments</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1"/>
                <w:szCs w:val="21"/>
                <w:color w:val="auto"/>
              </w:rPr>
            </w:pPr>
          </w:p>
        </w:tc>
      </w:tr>
      <w:tr>
        <w:trPr>
          <w:trHeight w:val="210"/>
        </w:trPr>
        <w:tc>
          <w:tcPr>
            <w:tcW w:w="53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14,183,086</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10,309,068</w:t>
            </w:r>
          </w:p>
        </w:tc>
        <w:tc>
          <w:tcPr>
            <w:tcW w:w="80" w:type="dxa"/>
            <w:vAlign w:val="bottom"/>
            <w:tcBorders>
              <w:top w:val="single" w:sz="8" w:color="CCEEFF"/>
              <w:bottom w:val="single" w:sz="8" w:color="CCEEFF"/>
            </w:tcBorders>
          </w:tcPr>
          <w:p>
            <w:pPr>
              <w:spacing w:after="0"/>
              <w:rPr>
                <w:sz w:val="18"/>
                <w:szCs w:val="18"/>
                <w:color w:val="auto"/>
              </w:rPr>
            </w:pPr>
          </w:p>
        </w:tc>
        <w:tc>
          <w:tcPr>
            <w:tcW w:w="2280" w:type="dxa"/>
            <w:vAlign w:val="bottom"/>
          </w:tcPr>
          <w:p>
            <w:pPr>
              <w:spacing w:after="0"/>
              <w:rPr>
                <w:sz w:val="18"/>
                <w:szCs w:val="18"/>
                <w:color w:val="auto"/>
              </w:rPr>
            </w:pPr>
          </w:p>
        </w:tc>
      </w:tr>
      <w:tr>
        <w:trPr>
          <w:trHeight w:val="23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(14,183,086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(10,309,068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80" w:type="dxa"/>
            <w:vAlign w:val="bottom"/>
          </w:tcPr>
          <w:p>
            <w:pPr>
              <w:spacing w:after="0"/>
              <w:rPr>
                <w:sz w:val="20"/>
                <w:szCs w:val="20"/>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260"/>
              <w:spacing w:after="0"/>
              <w:rPr>
                <w:sz w:val="20"/>
                <w:szCs w:val="20"/>
                <w:color w:val="auto"/>
              </w:rPr>
            </w:pPr>
            <w:r>
              <w:rPr>
                <w:rFonts w:ascii="Arial" w:cs="Arial" w:eastAsia="Arial" w:hAnsi="Arial"/>
                <w:sz w:val="18"/>
                <w:szCs w:val="18"/>
                <w:color w:val="auto"/>
              </w:rPr>
              <w:t>F-23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$3,900,000 and $3,000,000 in 2014 and 2013,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2014, the Company had net operating loss carryforwards for federal income tax purposes of approximately $27,800,000 which expire beginning in the year 2027 and federal research and development tax credits of approximately $350,000 which expire beginning in the year 2026. As of December 31, 2014, the Company had net operating loss carryforwards for state income tax purposes of approximately $24,600,000 which expire beginning in the year 2017 and state research and development tax credits of approximately $300,00 which do not expire.</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deferred tax asset at December 31, 2014 does not include approximately $30,000 and $30,000 of excess tax benefits from employee stock option exercises and RSU vests that are a component of the federal and California net operating loss carryover, respectively. The Company’s stockholders’ equity balance will be increased if and when such excess tax benefits are ultimately realized.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Utilization of the net operating losses may be subject to substantial annual limitation due to federal and state ownership change limitations provided by the Internal Revenue Code and similar state provisions. Such annual limitations could result in the expiration of the net operating losses ad credits before their utilization. The Company has not performed an analysis to determine the limitation of the net operating loss and research development credit carryforwards.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unrecognized tax benefits of as of December 31, 2014 and 2013, all of which is offset by a full valuation allowance. These unrecognized tax benefits, if recognized, would not affect the effective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SAVINGS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contributions to the plan in an amount not less than 3% of the participants’ annual cash compensation, subject to annual limits. The Company contributed approximately $56,000 to the plan during the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December 31, 2014, future payments under the Company’s capital leases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25,477</w:t>
            </w: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19,321</w:t>
            </w:r>
          </w:p>
        </w:tc>
      </w:tr>
      <w:tr>
        <w:trPr>
          <w:trHeight w:val="216"/>
        </w:trPr>
        <w:tc>
          <w:tcPr>
            <w:tcW w:w="6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9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8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9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(1,718)</w:t>
            </w:r>
          </w:p>
        </w:tc>
      </w:tr>
      <w:tr>
        <w:trPr>
          <w:trHeight w:val="216"/>
        </w:trPr>
        <w:tc>
          <w:tcPr>
            <w:tcW w:w="6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9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9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(24,112)</w:t>
            </w:r>
          </w:p>
        </w:tc>
      </w:tr>
      <w:tr>
        <w:trPr>
          <w:trHeight w:val="230"/>
        </w:trPr>
        <w:tc>
          <w:tcPr>
            <w:tcW w:w="67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leases as of December 31, 2014 was $52,687, with related accumulated depreciation of $8,656.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2014, the Company entered into a lease agreement for 7,565 square feet of office space that commenced on September 1, 2014 and continues until October 31, 2018. Monthly rent began on September 1, 2014 in the amount of $20,426, with a 3% increase in the base rent amount on an annual basis. The lease agreement allows for the monthly rent amount to be abated for two months at various times during the lease agreement.</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2013, the Company entered into a lease agreement for 3,784 square feet of office space that commenced on May 1, 2013 and continues until September 30, 2016. Monthly rent began on May 1, 2013 in the amount of $10,406, with a 3% increase in the base rent amount on an annual basis. The lease agreement allows for the monthly rent amount to be abated for five months at various times during the lease agreement. The Company entered into a sublease agreement in February 2015 to sublet 3,874 square feet of its previously occupied offices through the remaining term of the lease.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that commenced on January 1, 2010 and continues until December 31, 2015. Monthly rent began on January 1, 2010 in the amount of $3,594.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for the years ended December 31, 2014 and 2013 was $306,465 and $103,191, respectively. The following represents future annual minimum lease payments, including lease payments related to lease agreements entered into in January and February 2015 (see Note 16), and net of expected sublease income, as of December 31, 2014: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4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492,503</w:t>
            </w:r>
          </w:p>
        </w:tc>
        <w:tc>
          <w:tcPr>
            <w:tcW w:w="4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468,997</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481,443</w:t>
            </w:r>
          </w:p>
        </w:tc>
        <w:tc>
          <w:tcPr>
            <w:tcW w:w="4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2018</w:t>
            </w:r>
          </w:p>
        </w:tc>
        <w:tc>
          <w:tcPr>
            <w:tcW w:w="1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495,938</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257,039</w:t>
            </w:r>
          </w:p>
        </w:tc>
        <w:tc>
          <w:tcPr>
            <w:tcW w:w="40" w:type="dxa"/>
            <w:vAlign w:val="bottom"/>
            <w:shd w:val="clear" w:color="auto" w:fill="CCEEFF"/>
          </w:tcPr>
          <w:p>
            <w:pPr>
              <w:spacing w:after="0"/>
              <w:rPr>
                <w:sz w:val="18"/>
                <w:szCs w:val="18"/>
                <w:color w:val="auto"/>
              </w:rPr>
            </w:pPr>
          </w:p>
        </w:tc>
      </w:tr>
      <w:tr>
        <w:trPr>
          <w:trHeight w:val="237"/>
        </w:trPr>
        <w:tc>
          <w:tcPr>
            <w:tcW w:w="2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478,473</w:t>
            </w:r>
          </w:p>
        </w:tc>
        <w:tc>
          <w:tcPr>
            <w:tcW w:w="40" w:type="dxa"/>
            <w:vAlign w:val="bottom"/>
            <w:tcBorders>
              <w:bottom w:val="single" w:sz="8" w:color="CCEEFF"/>
            </w:tcBorders>
          </w:tcPr>
          <w:p>
            <w:pPr>
              <w:spacing w:after="0"/>
              <w:rPr>
                <w:sz w:val="20"/>
                <w:szCs w:val="20"/>
                <w:color w:val="auto"/>
              </w:rPr>
            </w:pPr>
          </w:p>
        </w:tc>
      </w:tr>
      <w:tr>
        <w:trPr>
          <w:trHeight w:val="230"/>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2,674,393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in the accompanying consolidated balance sheets.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Urigen License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2014, (the “Urigen Effective Date”), the Company entered into a license agreement (the “Urigen License”) with Urigen Pharmaceuticals, Inc. (“Urigen”), pursuant to which Urigen granted to the Company a license under certain U.S. patents and patent applications to develop and sell in the U.S. Urigen’s URG101 product (“HLA”), a heparin and alkalinized lidocaine compounded formulation, for the prevention or treatment of disorders of the lower urinary tract. Such license is non-exclusive; provided that, between April 24, 2015 and October 24, 2015, the Company will have the right, at its option, to convert such non-exclusive license to an exclusive license for the remaining term of the Urigen License, subject only to certain specified existing sublicenses (the “Existing Sublicenses”).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consideration for the license granted under the Urigen License, the Company agreed to pay Urigen annual tiered royalties based on sales of HLA, subject to certain minimum annual royalty payments. The annual tiered royalties consist of the greater of (i) $0.50 per dose, and (ii) 15% - 20% of its net sales of HLA, with the royalty amount within such range depending on the Company’s aggregate sales of HLA during the period to which the royalty payment applies. The minimum annual royalty payment consists of (a) for the 2015 calendar year, the greater of (i) 110% of the aggregate royalties paid to Urigen under the Existing Sublicenses during the preceding 12 months, on a prorated basis, and (ii) $800,000, less the aggregate royalties paid to Urigen under the Existing Sublicenses during the 2015 calendar year, and (b) for each calendar year thereafter, 110% of the aggregate amount owed by the Company to Urigen under the Urigen License during the prior calendar year. The Company is obligated to pay such royalties beginning with its first commercial sale of HLA and continuing until the expiration of the patents subject to the license granted under the Urigen License. The Company has also agreed to use commercially reasonable efforts to develop and commercialize HLA according to the terms of a diligence plan agreed to by the parties, which efforts will include, without limitation, the Company’s investment of $2 million in commercialization efforts of HLA, which investment and timeline can be adjusted dependent on market circumstances, and is expected to be incurred over 18-24 months following the Urigen Effective Date.</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terminates upon the first commercial sale of HLA by Urigen, its affiliates, or a third party after the U.S. Food and Drug Administration (the “FDA”) grants Urigen approval to market HLA in the U.S., if market approval is granted. The Company shall have the option, at its discretion, to become a non-exclusive distributor of HLA following the FDA granting Urigen such market approval. No royalty amounts have been paid or accrued under the Urigen License during the year ended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30, 2012, the Company entered into a license agreement with Professional Compounding Centers of America (“PCCA”), pursuant to which PCCA has granted to the Company and its affiliates certain exclusive rights under PCCA’s proprietary formulations, other technologies and data, and the Company has agreed to pay to PCCA certain royalties on net sales relating to the sale of certain potential future FDA-approved products that the Company may produce, which royalties will range from 4.5% to 9% for each such product, subject to certain minimum royalty payments. PCCA may terminate the license agreement if the Company fails to commence efforts to research and develop any such products within certain time periods, as set forth in the license agreement. No royalty amounts have been paid or accrued under this agreement during the years ended December 31, 2014 or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with respect to any potential development project the Company may pursue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2014 and 2015. No royalty amounts have been paid or accrued under this agreement during the years ended December 31, 2014 or 2013.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 during the term of the respective agreements, which remains in effect until expiration of all payment obligations thereunder.</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No royalty amounts have been paid or accrued under these agreements for the years ended December 31, 2014 or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Novel Drug and Eye Care Northwest Asset Purchase Agreement – Related Party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8, 2013, the Company acquired intellectual property rights related to certain proprietary innovations from the compounding pharmacy operations of Novel Drug Solutions, LLC (“NDS”) and from Eye Care Northwest, Inc. (together referred to as the “Sellers”) pursuant to an asset purchase agreement (as amended, the “ECN APA”). As part of this acquisition, the Company acquired intellectual property rights that include a provisional patent application related to injectable ophthalmological compositions having anti-bacterial and anti-inflammatory properties for the prevention of post-ophthalmic surgery complications. In addition, under the ECN APA, the Company has a right of first refusal on any of the Sellers’ additional intellectual property and drug development opportunities during the term of the agreement, which remains in effect until the expiration of all payment obligations thereunder. The ECN APA provides that the Sellers will cooperate with the Company in obtaining patent protection for the acquired intellectual property, among other things, and that the Company will use commercially reasonable efforts to research, develop and commercialize a product based on the acquired intellectual property.</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consideration for the acquisition, the Company is obligated to make the following payments to the Sellers: (1) a payment payable within 30 days after the issuance of the first patent in the United States arising from the acquired intellectual property (if any); (2) a payment payable within 30 days after the Company files the first IND with the FDA for the first product arising from the acquired intellectual property (if any); (3)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of the date of the ECN APA, the Company either has not filed an IND or has failed to generate royalty payments to NDS for any product based on the acquired intellectual property, NDS may terminate the ECN APA and request that the Company re-assign the acquired technology to NDS.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NDS is owned by the former owners of PC. During the years ended December 31, 2014 and 2013, the Company did not make any payments to NDS or the other Seller, and no amounts were due and payable to NDS or the other Seller at December 31,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United States; therefore, total revenues for 2014 and 2013 are attributed to the United States. All long-lived assets at December 31, 2014 are located in the United States.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year ended December 31,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84% of drug and chemical purchases during the year ended December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2014 through the filing date of this Annual Report on Form 10-K (the “Annual Report”). Based on its evaluation, nothing other than the events described below needs to be disclosed.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January 1, 2015 through the filing date of this Annual Report, the Company issued a total of 12,658 shares of common stock as a result of warrant exercises. The Company received gross cash proceeds of $74,998 for the issuance of such shares upon the exercise on a cash basis to purchase the same number of shares of common stock with an exercise price of $5.925.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2015, the Company issued 8,521 shares of its common stock in connection with RSUs which had been awarded to a non-employee director and vested, but were not issued until the resignation of the director on January 1, 2015.</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 2015, the Company completed the acquisition of all of the outstanding capital stock of Park from the previous owners (the “Park Sellers,” and such transaction, the “Park Acquisition”), pursuant to a Stock Purchase Agreement, dated November 26, 2014, by and among the Company, the Park Sellers, Park and the Seller Representative (as defined therein) (the “Park Purchase Agreement”). Park is a compounding pharmacy accredited by the Pharmacy Compounding Accreditation Board and is located in Irvine, California. On January 1, 2015 (the “Park Closing Date”), in connection with the closing of the Park Acquisition (the “Park Closing”), the Company paid to the Park Sellers an aggregate cash purchase price of $3,000,000, net of fees and expenses, subject to adjustment based on the final calculation of Park’s working capital and certain other financial information, and issued to the Park Sellers 63,525 shares of the Company’s common stock, valued at $500,000 based on the average closing price of the common stock for the 10 trading days preceding the Park Closing. In addition, the Company is obligated to make 12 quarterly cash payments to the Park Sellers collectively of $53,125 each over the three years following the Park Closing, totaling $637,500. The Park Sellers have the option to receive the last six of such quarterly payments, totaling up to an aggregate of $318,750, in the form of 6,749 shares of the Company’s common stock for each such payment.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Park Acquisition, one of the Park Sellers, Dennis Saadeh, entered into an employment agreement with the Company, effective as of January 1, 2015, to act as Senior Director of Corporate Development of Park. In addition, on January 1, 2015, Park and an entity affiliated with and controlled by the Park Sellers entered into a Commercial Lease Agreement, for the lease of certain premises to Park of approximately 4,500 square feet of lab and office space. The monthly rent amount is $9,788 and includes annual increases of approximately 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Company entered into a lease agreement for approximately 8,602 square feet of lab, warehouse and office space in Roxbury, New Jersey. The current lease term expires on July 31, 2022. The monthly rent amount is $9,548 and includes annual increases of approximately 3.75%, and the lease allows for the first five months of rent amounts to be abated. This facility is currently undergoing construction and being built to serve as an outsourcing facility and pharmacy.</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February 2015, the Company appointed Andrew R. Boll’s as its Chief Financial Officer, and entered into an amended and restated employment agreement (the “CFO Employment Agreement”) with Mr. Boll, which amends, restates and supersedes in its entirety Mr. Boll’s prior employment agreement with the Company dated February 1, 2012. The CFO Employment Agreement provides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Company’s Board of Directors; (iv) if Mr. Boll is terminated other than for cause, by death or by disability or if he terminates his employment with the Company for good reason (any such termination, a “Qualifying Termination”), then Mr. Boll will be entitled to receive, subject to the satisfaction of certain conditions, continued payments of his then-current annual base salary for six months following the date of his termination and a lump-sum payment equal to the pro-rated portion of his minimum annual cash bonus for the then-current year; and (v) in the event of a Qualifying Termination of Mr. Boll on or within 12 months following a change of control, Mr. Boll will be entitled to receive, subject to the satisfaction of certain conditions, continued payments of his then-current annual base salary for six months following the date of his termination, a lump-sum payment equal to the pro-rated portion of his minimum annual cash bonus for the then-current year, and immediate vesting of all of his outstanding equity awards as of the date of his termination. In connection with Mr. Boll’s appointment as the Company’s Chief Financial Officer, the Company’s Board of Directors has granted the following equity awards to Mr. Boll, in each case under the Plan: (i) a performance-based restricted stock unit award of up to 157,500 shares of the Company’s common stock, which will vest if the Company achieves and maintains certain stock price vesting targets during the three-year period following the date of grant of the award and subject to Mr. Boll’s continued employment with the Company on the third anniversary of the date of grant, subject to certain exceptions, and (ii) a RSU award of up to 30,000 shares of the Company’s common stock, which will vest on the third anniversary of the date of grant, subject to Mr. Boll’s continued employment with the Company on such date and accelerated vesting of all unvested shares thereunder upon the occurrence of a change in control (as defined in the Plan), and is subject to the Company’s standard form of award agreement for RSUs granted under the Plan.</w:t>
      </w:r>
    </w:p>
    <w:p>
      <w:pPr>
        <w:spacing w:after="0" w:line="38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February 2015, the Company appointed John P. Saharek as of the Company’s Chief Commercial Officer, effective as of February 1, 2015, and entered into an employment agreement (the “CCO Employment Agreement”) with Mr. Saharek. The CCO Employment Agreement provides for the following, among other things: (i) a term of three years, (ii) an annual base salary of $220,000; (iii) eligibility to receive an annual cash bonus in an amount equal to a target of 50% of his then-current annual base salary, with the precise amount to be determined at the discretion of the Company’s Board of Directors; (iv) in the event of a Qualifying Termination of Mr. Saharek, Mr. Saharek will be entitled to receive, subject to the satisfaction of certain conditions, continued payments of his then-current annual base salary for six months following the date of his termination; and (v) in the event of a Qualifying Termination of Mr. Saharek on or within 12 months following a change of control, then Mr. Saharek will be entitled to receive, subject to the satisfaction of certain conditions, continued payments of his then-current annual base salary for 12 months following the date of his termination and immediate vesting of all of his outstanding equity awards as of the date of his termination. In connection with Mr. Saharek’s appointment as the Company’s Chief Commercial Officer, the Company’s Board of Directors has granted the following equity awards to Mr. Saharek, in each case under the Plan: (i) a stock option award of up to 90,000 shares of the Company’s common stock, which has a term of 10 years and an exercise price of $7.37, will vest in equal quarterly installments over a three-year period, subject to Mr. Saharek’s continued employment with the Company at the end of such period and accelerated vesting of all unvested shares thereunder upon the occurrence of a change in control (as defined in the Plan), and is subject to the Company’s standard form of award agreement for stock options granted under the Plan, and (ii) a RSU award of up to 30,000 shares of the Company’s common stock, which will vest on the third anniversary of the date of grant, subject to Mr. Saharek’s continued employment with the Company on such date and accelerated vesting of all unvested shares thereunder upon the occurrence of a change in control (as defined in the Plan), and is subject to the Company’s standard form of award agreement for restricted stock units granted under the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59"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Agreement and Plan of Merger, dated as of September 17, 2007, by and among Imprimis Pharmaceuticals, Inc., Transdel Pharmaceuticals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Holdings, Inc. and Trans-Pharma Acquisition Corp. Incorporation (incorporated herein by reference to Exhibit 2.1 to the Current Report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September 21,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Membership Interest Purchase Agreement, dated February 10, 2014, among John Scott Karolchyk and Bernard Covalesky and Imprimis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Pharmaceuticals, Inc. (incorporated herein by reference to Exhibit 2.1 to the Current Report on Form 8-K of Imprimis Pharmaceuticals, Inc.</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February 11, 2014)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Stock Purchase Agreement, dated as of November 26, 2014, by and between Imprimis Pharmaceuticals, Inc., and Dennis Saadeh and Tina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Sulic-Saadeh (incorporated herein by reference to Exhibit 2.1 to the Current Report on Form 8-K of Imprimis Pharmaceuticals, Inc. filed with</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Securities and Exchange Commission on December 2, 2014)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Certificate of Incorporation, as amended by the Certificate of Amendment to Amended and Restated Certificate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Incorporation effective February 28, 2012, as further amended by the Certificate of Amendment to Amended and Restated Certificate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Incorporation effective February 7, 2013, and as further amended by the Certificate of Amendment to Amended and Restated Certificate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Incorporation effective September 10, 2014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Bylaws of Imprimis Pharmaceuticals, Inc. (incorporated herein by reference to Exhibit 3.2 to the Annual Report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of Imprimis Pharmaceuticals, Inc. filed with the Securities and Exchange Commission on March 28, 2014)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Certificate of Designation of Series A Convertible Preferred Stock of Imprimis Pharmaceuticals, Inc. (incorporated herein by reference 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Exhibit 3.1 to the Current Report on Form 8-K of Imprimis Pharmaceuticals, Inc. filed with the Securities and Exchange Commission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20, 2011)</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Directors and Officers Indemnification Agreement (incorporated herein by reference to Exhibit 10.8 to the Current Report on Form</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8-K of Imprimis Pharmaceuticals, Inc. filed with the Securities and Exchange Commission on September 21,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Imprimis Pharmaceuticals, Inc. Amended and Restated 2007 Stock Incentive and Awards Plan (incorporated herein by reference to Exhibit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10.3 to the Quarterly Report on Form 10-Q of Imprimis Pharmaceuticals, Inc. filed with the Securities and Exchange Commission on May 8,</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No. 1 to Imprimis Pharmaceuticals, Inc. Amended and Restated 2007 Incentive Stock and Awards Plan (incorporated herein by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reference to Exhibit 10.3 to the Quarterly Report on Form 10-Q of Imprimis Pharmaceuticals, Inc. filed with the Securities and Exchange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on November 6, 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Form of Incentive Stock Option Agreement (incorporated herein by reference to Exhibit 10.12 to the Current Report on Form 8-K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Non-Qualified Stock Option Agreement (incorporated herein by reference to Exhibit 10.13 to the Current Report on Form 8-K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September 21, 2007)</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Form of Restricted Stock Unit Agreement (incorporated herein by reference to Exhibit 10.4 to the Quarterly Report on Form 10-Q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Imprimis Pharmaceuticals, Inc. filed with the Securities and Exchange Commission on May 8, 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Warrant dated as of April 25, 2012 (incorporated by reference to Exhibit 10.2 to the Company’s Current Report on 8-K filed with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April 27, 2012)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Stand-alone Restricted Stock Unit Agreement, dated July 18, 2012, granted by Imprimis Pharmaceuticals, Inc. to Mark L. Baum (incorporated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herein by reference to Exhibit 10.40 to the Company’s Registration Statement on Form S-1 (File No. 333-182846) filed on July 25, 2012)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Stand-alone Restricted Stock Unit Agreement, dated July 18, 2012, granted by Imprimis Pharmaceuticals, Inc. to Robert J. Kammer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10.41 to the Company’s Registration Statement on Form S-1 (File No. 333-182846) filed on July</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25, 2012)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License Agreement, dated as of August 30, 2012, by and between Imprimis Pharmaceuticals, Inc. and Professional Compounding Centers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America, Inc. (incorporated herein by reference to Exhibit 10.1 to the Current Report on Form 8-K of Imprimis Pharmaceuticals, Inc. filed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with the Securities and Exchange Commission on August 31, 2012)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Underwriter’s Warrant (incorporated herein by reference to Exhibit 10.41 to the Company’s Registration Statement on Form S-1 (File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333-182846) filed on October 26, 2012)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Strategic Alliance Agreement, dated February 18, 2013, by and between Imprimis Pharmaceuticals, Inc. and Professional Compounding</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Centers of America, Inc. (incorporated herein by reference to Exhibit 10.1 to the Current Report on Form 8-K of Imprimis Pharmaceuticals,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filed with the Securities and Exchange Commission on February 21, 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Employment Agreement, dated May 2, 2013, by and between Imprimis Pharmaceuticals, Inc. and Mark L. Baum</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(incorporated herein by reference to Exhibit 10.2 to the Quarterly Report on Form 10-Q of Imprimis Pharmaceuticals, Inc. filed with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Securities and Exchange Commission on May 8, 2013)</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Performance Stock Units Agreement, dated May 2, 2013, by and between Imprimis Pharmaceuticals, Inc. and Mark L. Baum (incorporated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herein by reference to Exhibit 10.4 to the Quarterly Report on Form 10-Q of Imprimis Pharmaceuticals, Inc. filed with the Securities and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Exchange Commission on August 14, 2013)</w:t>
            </w:r>
          </w:p>
        </w:tc>
      </w:tr>
      <w:tr>
        <w:trPr>
          <w:trHeight w:val="466"/>
        </w:trPr>
        <w:tc>
          <w:tcPr>
            <w:tcW w:w="9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661"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10.15+</w:t>
            </w: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Asset Purchase Agreement, dated June 11, 2013, by and between Imprimis Pharmaceuticals, Inc. and Buderer Drug Company, Inc.</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6"/>
              </w:rPr>
              <w:t>(incorporated herein by reference to Exhibit 10.5 to the Quarterly Report on Form 10-Q of Imprimis Pharmaceuticals, Inc. filed with the</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Securities and Exchange Commission on August 14,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200"/>
              <w:spacing w:after="0"/>
              <w:rPr>
                <w:sz w:val="20"/>
                <w:szCs w:val="20"/>
                <w:color w:val="auto"/>
              </w:rPr>
            </w:pPr>
            <w:r>
              <w:rPr>
                <w:rFonts w:ascii="Arial" w:cs="Arial" w:eastAsia="Arial" w:hAnsi="Arial"/>
                <w:sz w:val="18"/>
                <w:szCs w:val="18"/>
                <w:color w:val="auto"/>
                <w:w w:val="92"/>
              </w:rPr>
              <w:t>Asset Purchase Agreement, dated August 8, 2013, by and among Imprimis Pharmaceuticals, Inc., Novel Drug Solutions, LLC and Eye Care</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4"/>
              </w:rPr>
              <w:t>Northwest, PA (incorporated herein by reference to Exhibit 10.1 to the Quarterly Report on Form 10-Q of Imprimis Pharmaceuticals, Inc.</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filed with the Securities and Exchange Commission on November 6,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200"/>
              <w:spacing w:after="0"/>
              <w:rPr>
                <w:sz w:val="20"/>
                <w:szCs w:val="20"/>
                <w:color w:val="auto"/>
              </w:rPr>
            </w:pPr>
            <w:r>
              <w:rPr>
                <w:rFonts w:ascii="Arial" w:cs="Arial" w:eastAsia="Arial" w:hAnsi="Arial"/>
                <w:sz w:val="18"/>
                <w:szCs w:val="18"/>
                <w:color w:val="auto"/>
                <w:w w:val="96"/>
              </w:rPr>
              <w:t>Amendment to Asset Purchase Agreement, dated as of October 14, 2013, by and among Imprimis Pharmaceuticals, Inc., Novel Drug</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6"/>
              </w:rPr>
              <w:t>Solutions, LLC and EyeCare Northwest, PA (incorporated herein by reference to Exhibit 10.2 to the Quarterly Report on Form 10-Q of</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Imprimis Pharmaceuticals, Inc. filed with the Securities and Exchange Commission on November 6, 2013)</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Asset Purchase Agreement, dated October 8, 2013, by and between Imprimis Pharmaceuticals, Inc. and Novel Drug Solutions, LLC</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(incorporated herein by reference to Exhibit 10.27 to the Annual Report on Form 10-K of Imprimis Pharmaceuticals, Inc. filed with the</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Securities and Exchange Commission on March 28, 2014)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200"/>
              <w:spacing w:after="0"/>
              <w:rPr>
                <w:sz w:val="20"/>
                <w:szCs w:val="20"/>
                <w:color w:val="auto"/>
              </w:rPr>
            </w:pPr>
            <w:r>
              <w:rPr>
                <w:rFonts w:ascii="Arial" w:cs="Arial" w:eastAsia="Arial" w:hAnsi="Arial"/>
                <w:sz w:val="18"/>
                <w:szCs w:val="18"/>
                <w:color w:val="auto"/>
                <w:w w:val="91"/>
              </w:rPr>
              <w:t>Amendment to Asset Purchase Agreement, dated as of October 21, 2013, by and between Imprimis Pharmaceuticals, Inc. and Buderer Drug</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2"/>
              </w:rPr>
              <w:t>Company, Inc. (incorporated herein by reference to Exhibit 10.28 to the Annual Report on Form 10-K of Imprimis Pharmaceuticals, Inc. filed</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with the Securities and Exchange Commission on March 28, 2014)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200"/>
              <w:spacing w:after="0"/>
              <w:rPr>
                <w:sz w:val="20"/>
                <w:szCs w:val="20"/>
                <w:color w:val="auto"/>
              </w:rPr>
            </w:pPr>
            <w:r>
              <w:rPr>
                <w:rFonts w:ascii="Arial" w:cs="Arial" w:eastAsia="Arial" w:hAnsi="Arial"/>
                <w:sz w:val="18"/>
                <w:szCs w:val="18"/>
                <w:color w:val="auto"/>
                <w:w w:val="92"/>
              </w:rPr>
              <w:t>Amendment to Asset Purchase Agreement, dated as of October 21, 2013, by and between Imprimis Pharmaceuticals, Inc. and Novel Drug</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Solutions, LLC and EyeCare Northwest, PA (incorporated herein by reference to Exhibit 10.29 to the Annual Report on Form 10-K of</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Imprimis Pharmaceuticals, Inc. filed with the Securities and Exchange Commission on March 28, 2014)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License Agreement, dated as of October 24, 2014, by and between Imprimis Pharmaceuticals, Inc. and Urigen Pharmaceuticals, Inc.</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8"/>
              </w:rPr>
              <w:t>(incorporated herein by reference to Exhibit 10.1 to the Current Report on Form 8-K of Imprimis Pharmaceuticals, Inc. filed with the</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Securities and Exchange Commission on October 29, 2014)</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200"/>
              <w:spacing w:after="0"/>
              <w:rPr>
                <w:sz w:val="20"/>
                <w:szCs w:val="20"/>
                <w:color w:val="auto"/>
              </w:rPr>
            </w:pPr>
            <w:r>
              <w:rPr>
                <w:rFonts w:ascii="Arial" w:cs="Arial" w:eastAsia="Arial" w:hAnsi="Arial"/>
                <w:sz w:val="18"/>
                <w:szCs w:val="18"/>
                <w:color w:val="auto"/>
                <w:w w:val="95"/>
              </w:rPr>
              <w:t>Amended and Restated Employment Agreement, effective as of February 1, 2015, by and between Imprimis Pharmaceuticals, Inc. and</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3"/>
              </w:rPr>
              <w:t>Andrew R. Boll (incorporated herein by reference to Exhibit 10.1 to the Current Report on Form 8-K of Imprimis Pharmaceuticals, Inc. filed</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with the Securities and Exchange Commission on February 2, 2015)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200"/>
              <w:spacing w:after="0"/>
              <w:rPr>
                <w:sz w:val="20"/>
                <w:szCs w:val="20"/>
                <w:color w:val="auto"/>
              </w:rPr>
            </w:pPr>
            <w:r>
              <w:rPr>
                <w:rFonts w:ascii="Arial" w:cs="Arial" w:eastAsia="Arial" w:hAnsi="Arial"/>
                <w:sz w:val="18"/>
                <w:szCs w:val="18"/>
                <w:color w:val="auto"/>
                <w:w w:val="91"/>
              </w:rPr>
              <w:t>Performance Stock Units Award Agreement, effective as of February 1, 2015, by and between Imprimis Pharmaceuticals, Inc. and Andrew R.</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5"/>
              </w:rPr>
              <w:t>Boll (incorporated herein by reference to Exhibit 10.2 to the Current Report on Form 8-K of Imprimis Pharmaceuticals, Inc. filed with the</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Securities and Exchange Commission on February 2, 2015)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200"/>
              <w:spacing w:after="0"/>
              <w:rPr>
                <w:sz w:val="20"/>
                <w:szCs w:val="20"/>
                <w:color w:val="auto"/>
              </w:rPr>
            </w:pPr>
            <w:r>
              <w:rPr>
                <w:rFonts w:ascii="Arial" w:cs="Arial" w:eastAsia="Arial" w:hAnsi="Arial"/>
                <w:sz w:val="18"/>
                <w:szCs w:val="18"/>
                <w:color w:val="auto"/>
                <w:w w:val="90"/>
              </w:rPr>
              <w:t>Employment Agreement, effective as of February 1, 2015, by and between Imprimis Pharmaceuticals, Inc. and John P. Saharek (incorporated</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w w:val="97"/>
              </w:rPr>
              <w:t>herein by reference to Exhibit 10.3 to the Current Report on Form 8-K of Imprimis Pharmaceuticals, Inc. filed with the Securities and</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Exchange Commission on February 2, 2015)</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10460" w:type="dxa"/>
            <w:vAlign w:val="bottom"/>
          </w:tcPr>
          <w:p>
            <w:pPr>
              <w:ind w:left="200"/>
              <w:spacing w:after="0"/>
              <w:rPr>
                <w:sz w:val="20"/>
                <w:szCs w:val="20"/>
                <w:color w:val="auto"/>
              </w:rPr>
            </w:pPr>
            <w:r>
              <w:rPr>
                <w:rFonts w:ascii="Arial" w:cs="Arial" w:eastAsia="Arial" w:hAnsi="Arial"/>
                <w:sz w:val="18"/>
                <w:szCs w:val="18"/>
                <w:color w:val="auto"/>
              </w:rPr>
              <w:t>List of Subsidiaries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24.1*</w:t>
            </w:r>
          </w:p>
        </w:tc>
        <w:tc>
          <w:tcPr>
            <w:tcW w:w="10460" w:type="dxa"/>
            <w:vAlign w:val="bottom"/>
          </w:tcPr>
          <w:p>
            <w:pPr>
              <w:ind w:left="200"/>
              <w:spacing w:after="0"/>
              <w:rPr>
                <w:sz w:val="20"/>
                <w:szCs w:val="20"/>
                <w:color w:val="auto"/>
              </w:rPr>
            </w:pPr>
            <w:r>
              <w:rPr>
                <w:rFonts w:ascii="Arial" w:cs="Arial" w:eastAsia="Arial" w:hAnsi="Arial"/>
                <w:sz w:val="18"/>
                <w:szCs w:val="18"/>
                <w:color w:val="auto"/>
              </w:rPr>
              <w:t>Power of Attorney (included on the signature page to this Annual Report)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200"/>
              <w:spacing w:after="0"/>
              <w:rPr>
                <w:sz w:val="20"/>
                <w:szCs w:val="20"/>
                <w:color w:val="auto"/>
              </w:rPr>
            </w:pPr>
            <w:r>
              <w:rPr>
                <w:rFonts w:ascii="Arial" w:cs="Arial" w:eastAsia="Arial" w:hAnsi="Arial"/>
                <w:sz w:val="18"/>
                <w:szCs w:val="18"/>
                <w:color w:val="auto"/>
                <w:w w:val="92"/>
              </w:rPr>
              <w:t>Certification of Mark L. Baum, Chief Executive Officer, pursuant to Rule 13a-14(a) or 15d-14(a) of the Securities and Exchange Act of 1934,</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200"/>
              <w:spacing w:after="0"/>
              <w:rPr>
                <w:sz w:val="20"/>
                <w:szCs w:val="20"/>
                <w:color w:val="auto"/>
              </w:rPr>
            </w:pPr>
            <w:r>
              <w:rPr>
                <w:rFonts w:ascii="Arial" w:cs="Arial" w:eastAsia="Arial" w:hAnsi="Arial"/>
                <w:sz w:val="18"/>
                <w:szCs w:val="18"/>
                <w:color w:val="auto"/>
                <w:w w:val="92"/>
              </w:rPr>
              <w:t>Certification of Andrew R. Boll, Chief Financial Officer, pursuant to Rule 13a-14(a) or 15d-14(a) of the Securities and Exchange Act of 1934,</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2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executed by Mark L.</w:t>
            </w:r>
          </w:p>
        </w:tc>
      </w:tr>
      <w:tr>
        <w:trPr>
          <w:trHeight w:val="216"/>
        </w:trPr>
        <w:tc>
          <w:tcPr>
            <w:tcW w:w="96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Baum, Chief Executive Officer, and Andrew R. Boll, Chief Financial Officer.</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Instant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9" w:lineRule="exact"/>
        <w:rPr>
          <w:rFonts w:ascii="Arial" w:cs="Arial" w:eastAsia="Arial" w:hAnsi="Arial"/>
          <w:sz w:val="18"/>
          <w:szCs w:val="18"/>
          <w:color w:val="auto"/>
        </w:rPr>
      </w:pPr>
    </w:p>
    <w:p>
      <w:pPr>
        <w:ind w:left="580" w:hanging="581"/>
        <w:spacing w:after="0" w:line="255" w:lineRule="auto"/>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of the Exchange Act and these confidential portions have been redacted from the filing that is incorporated herein by reference. A complete copy of this exhibit, including the redacted terms, has been separately filed with the Securities and Exchange Commission.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69" w:name="page70"/>
    <w:bookmarkEnd w:id="6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223520</wp:posOffset>
            </wp:positionV>
            <wp:extent cx="36449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IMPRIMIS PHARMACEUTICALS, INC., a corporation organized and existing under and by virtue of the General Corporation Law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(the “Corporation”), does hereby certify as follows:</w:t>
      </w:r>
    </w:p>
    <w:p>
      <w:pPr>
        <w:spacing w:after="0" w:line="211" w:lineRule="exact"/>
        <w:rPr>
          <w:sz w:val="20"/>
          <w:szCs w:val="20"/>
          <w:color w:val="auto"/>
        </w:rPr>
      </w:pPr>
    </w:p>
    <w:p>
      <w:pPr>
        <w:jc w:val="both"/>
        <w:ind w:left="1300" w:hanging="644"/>
        <w:spacing w:after="0" w:line="286"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name of the Corporation is Imprimis Pharmaceuticals, Inc. The Corporation was originally incorporated under the name of Bywater Resources Inc. and changed its name to Imprimis Pharmaceuticals, Inc. pursuant to a Certificate of Amendment to Certificate of Incorporation filed with the Secretary of State of Delaware on February 13, 2012 and effective on February 28, 2012.</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Corporation’s original Certificate of Incorporation was filed with the Secretary of State of the State of Delaware on January 11, 2006.</w:t>
      </w:r>
    </w:p>
    <w:p>
      <w:pPr>
        <w:spacing w:after="0" w:line="248"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of the Corporation has duly adopted resolutions proposing to amend and restate the Certificate of Incorporation, and that said amendment and restatement was duly adopted in accordance with the provisions of Sections 242 and 245 of the General Corporation Law of the State of Delaware. This Amended and Restated Certificate of Incorporation amends and restates and replaces in its entirety the Corporation’s Certificate of Incorporation as in effect immediately prior to the filing of this Amended and Restated Certificate of Incorporation.</w:t>
      </w:r>
    </w:p>
    <w:p>
      <w:pPr>
        <w:spacing w:after="0" w:line="18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text of the Corporation’s Amended and Restated Certificate of Incorporation is hereby restated and further amended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executed on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5700" w:type="dxa"/>
            <w:vAlign w:val="bottom"/>
          </w:tcPr>
          <w:p>
            <w:pPr>
              <w:spacing w:after="0"/>
              <w:rPr>
                <w:sz w:val="21"/>
                <w:szCs w:val="21"/>
                <w:color w:val="auto"/>
              </w:rPr>
            </w:pP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Mark L. Baum</w:t>
            </w:r>
          </w:p>
        </w:tc>
        <w:tc>
          <w:tcPr>
            <w:tcW w:w="5700" w:type="dxa"/>
            <w:vAlign w:val="bottom"/>
          </w:tcPr>
          <w:p>
            <w:pPr>
              <w:spacing w:after="0"/>
              <w:rPr>
                <w:sz w:val="17"/>
                <w:szCs w:val="17"/>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00" w:type="dxa"/>
            <w:vAlign w:val="bottom"/>
          </w:tcPr>
          <w:p>
            <w:pPr>
              <w:spacing w:after="0"/>
              <w:rPr>
                <w:sz w:val="20"/>
                <w:szCs w:val="20"/>
                <w:color w:val="auto"/>
              </w:rPr>
            </w:pPr>
          </w:p>
        </w:tc>
      </w:tr>
      <w:tr>
        <w:trPr>
          <w:trHeight w:val="466"/>
        </w:trPr>
        <w:tc>
          <w:tcPr>
            <w:tcW w:w="7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1" w:name="page72"/>
    <w:bookmarkEnd w:id="71"/>
    <w:p>
      <w:pPr>
        <w:ind w:left="52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this Corporation is Imprimis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615 South DuPont Highway, Dover, Delaware 19901, County of Kent; and the name of the registered agent of the Corporation in the State of Delaware at such address is National Corporate Research, Ltd.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THIRD: The nature of the business and of the purposes to be conducted and promoted by the Corporation is to conduct any lawful business, to promote any lawful purpose, and to engage in any lawful act or activity for which corporations may be organized under the General Corporation Law of the State of Delaware.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25"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A. The total number of shares of stock that the Corporation shall have authority to issue is Ninety Five Million (95,000,000). The classes and aggregate number of shares of each class which the Corporation shall have authority to issue are as follows:</w:t>
      </w:r>
    </w:p>
    <w:p>
      <w:pPr>
        <w:spacing w:after="0" w:line="170" w:lineRule="exact"/>
        <w:rPr>
          <w:sz w:val="20"/>
          <w:szCs w:val="20"/>
          <w:color w:val="auto"/>
        </w:rPr>
      </w:pPr>
    </w:p>
    <w:p>
      <w:pPr>
        <w:ind w:left="1620" w:hanging="315"/>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Ninety Million (90,000,000) shares of Common Stock, par value $0.001 per share (the “Common Stock”);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Five Million (5,000,000) shares of Preferred Stock, par value $0.001 per share (the “Preferred Stock”); and</w:t>
      </w:r>
    </w:p>
    <w:p>
      <w:pPr>
        <w:spacing w:after="0" w:line="225" w:lineRule="exact"/>
        <w:rPr>
          <w:rFonts w:ascii="Arial" w:cs="Arial" w:eastAsia="Arial" w:hAnsi="Arial"/>
          <w:sz w:val="18"/>
          <w:szCs w:val="18"/>
          <w:color w:val="auto"/>
        </w:rPr>
      </w:pPr>
    </w:p>
    <w:p>
      <w:pPr>
        <w:jc w:val="both"/>
        <w:ind w:firstLine="972"/>
        <w:spacing w:after="0" w:line="255" w:lineRule="auto"/>
        <w:rPr>
          <w:rFonts w:ascii="Arial" w:cs="Arial" w:eastAsia="Arial" w:hAnsi="Arial"/>
          <w:sz w:val="18"/>
          <w:szCs w:val="18"/>
          <w:color w:val="auto"/>
        </w:rPr>
      </w:pPr>
      <w:r>
        <w:rPr>
          <w:rFonts w:ascii="Arial" w:cs="Arial" w:eastAsia="Arial" w:hAnsi="Arial"/>
          <w:sz w:val="18"/>
          <w:szCs w:val="18"/>
          <w:color w:val="auto"/>
        </w:rPr>
        <w:t>B. The Corporation may issue any class of the Preferred Stock in any series. The Board of Directors shall have authority to establish and designate series, and to fix the number of shares included in each such series and the variations in the relative rights, preferences and limitations as between series, provided that, if the stated dividends and amounts payable on liquidation are not paid in full, the shares of all series of the same class shall share ratably in the payment of dividends including accumulations, if any, in accordance with the sums which would be payable on such shares if all dividends were declared and paid in full, and in any distribution of assets other than by way of dividends in accordance with the sums which would be payable on such distribution if all sums payable were discharged in full. Shares of each such series when issued shall be designated to distinguish the shares of each series from shares of all other series.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FIFTH: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SIXTH: The original Bylaws of the Corporation shall be adopted by the incorporator. Thereafter, the power to make, alter, or repeal the Bylaws, and to adopt any new Bylaw, shall be vested in the Board of Directors.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SEVENTH: To the fullest extent that the General Corporation Law of the State of Delaware, as it exists on the date hereof or as it may hereafter be amended, permits the limitation or elimination of the liability of directors, no director of this Corporation shall be personally liable to this Corporation or its stockholders for monetary damages for breach of fiduciary duty as a director. Notwithstanding the foregoing, a director shall be liable to the extent provided by applicable law: (1) for any breach of the directors’ duty of loyalty to the Corporation or its stockholders; (2) for acts or omissions not in good faith or which involve intentional misconduct or a knowing violation of law; (3) under section 174 of the General Corporation Law of the State of Delaware; or (4) for any transaction from which the director derived any improper personal benefit. Neither the amendment nor repeal of this Article, nor the adoption of any provision of this Certificate of Incorporation inconsistent with this Article, shall adversely affect any right or protection of a director of the Corporation existing at the time of such amendment or repeal.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EIGHTH: The Corporation shall, to the fullest extent permitted by Section 145 of the General Corporation Law of the State of Delaware, as the same may be amended and supplemented, indemnify any and all persons whom it shall have power to indemnify under said section from and against any and all of the expenses, liabilities or other matters referred to in or covered by said section. The Corporation shall advance expenses to the fullest extent permitted by said section. Such right to indemnification and advancement of expenses shall continue as to a person who has ceased to be a director, officer, employee or agent and shall inure to the benefit of the heirs, executors and administrators of such a person. The indemnification and advancement of expenses provided for herein shall not be deemed exclusive of any other rights to which those seeking indemnification or advancement of expenses may be entitled under any Bylaw, agreement, vote of stockholders or disinterested directors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8240" w:type="dxa"/>
            <w:vAlign w:val="bottom"/>
            <w:gridSpan w:val="3"/>
          </w:tcPr>
          <w:p>
            <w:pPr>
              <w:jc w:val="center"/>
              <w:ind w:right="3090"/>
              <w:spacing w:after="0"/>
              <w:rPr>
                <w:sz w:val="20"/>
                <w:szCs w:val="20"/>
                <w:color w:val="auto"/>
              </w:rPr>
            </w:pPr>
            <w:r>
              <w:rPr>
                <w:rFonts w:ascii="Arial" w:cs="Arial" w:eastAsia="Arial" w:hAnsi="Arial"/>
                <w:sz w:val="18"/>
                <w:szCs w:val="18"/>
                <w:b w:val="1"/>
                <w:bCs w:val="1"/>
                <w:color w:val="auto"/>
              </w:rPr>
              <w:t>IMPRIMIS PHARMACEUTICALS, INC. SUBSIDIARIES</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20" w:type="dxa"/>
            <w:vAlign w:val="bottom"/>
            <w:gridSpan w:val="2"/>
          </w:tcPr>
          <w:p>
            <w:pPr>
              <w:jc w:val="center"/>
              <w:ind w:right="3890"/>
              <w:spacing w:after="0"/>
              <w:rPr>
                <w:sz w:val="20"/>
                <w:szCs w:val="20"/>
                <w:color w:val="auto"/>
              </w:rPr>
            </w:pPr>
            <w:r>
              <w:rPr>
                <w:rFonts w:ascii="Arial" w:cs="Arial" w:eastAsia="Arial" w:hAnsi="Arial"/>
                <w:sz w:val="18"/>
                <w:szCs w:val="18"/>
                <w:color w:val="auto"/>
                <w:w w:val="89"/>
              </w:rPr>
              <w:t>as of December 31, 2014</w:t>
            </w:r>
          </w:p>
        </w:tc>
      </w:tr>
      <w:tr>
        <w:trPr>
          <w:trHeight w:val="41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87"/>
              </w:rPr>
              <w:t>State of</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 or</w:t>
            </w:r>
          </w:p>
        </w:tc>
      </w:tr>
      <w:tr>
        <w:trPr>
          <w:trHeight w:val="24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8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r>
      <w:tr>
        <w:trPr>
          <w:trHeight w:val="230"/>
        </w:trPr>
        <w:tc>
          <w:tcPr>
            <w:tcW w:w="20" w:type="dxa"/>
            <w:vAlign w:val="bottom"/>
          </w:tcPr>
          <w:p>
            <w:pPr>
              <w:spacing w:after="0"/>
              <w:rPr>
                <w:sz w:val="20"/>
                <w:szCs w:val="20"/>
                <w:color w:val="auto"/>
              </w:rPr>
            </w:pPr>
          </w:p>
        </w:tc>
        <w:tc>
          <w:tcPr>
            <w:tcW w:w="316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Pharmacy Creations, LLC</w:t>
            </w:r>
          </w:p>
        </w:tc>
        <w:tc>
          <w:tcPr>
            <w:tcW w:w="820" w:type="dxa"/>
            <w:vAlign w:val="bottom"/>
            <w:tcBorders>
              <w:top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New Jersey</w:t>
            </w:r>
          </w:p>
        </w:tc>
      </w:tr>
      <w:tr>
        <w:trPr>
          <w:trHeight w:val="452"/>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75" w:name="page76"/>
    <w:bookmarkEnd w:id="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Nos. 333-159159, 333-183488 and 333-198674 on Form S-8 and Registration Statement No. 333-198675 on Form S-3 of our report dated March 12, 2015, relating to the consolidated financial statements of Imprimis Pharmaceuticals, Inc. and subsidiary, appearing in this Annual Report on Form 10-K of Imprimis Pharmaceuticals, Inc. for the year ended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8417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2015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12, 2015</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10-K for the fiscal year ended December 31, 2015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12, 2015</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Annual Report of the Company on Form 10-K for the fiscal year ended December 31, 2014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o"/>
      <w:numFmt w:val="bullet"/>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lvl w:ilvl="1">
      <w:lvlJc w:val="left"/>
      <w:lvlText w:val="(%2)"/>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2020-01-22T21:27:15Z</dcterms:created>
  <dcterms:modified xsi:type="dcterms:W3CDTF">2020-01-22T21:27:15Z</dcterms:modified>
</cp:coreProperties>
</file>