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3,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620" w:type="dxa"/>
            <w:vAlign w:val="bottom"/>
            <w:gridSpan w:val="4"/>
          </w:tcPr>
          <w:p>
            <w:pPr>
              <w:jc w:val="center"/>
              <w:ind w:right="1000"/>
              <w:spacing w:after="0"/>
              <w:rPr>
                <w:sz w:val="20"/>
                <w:szCs w:val="20"/>
                <w:color w:val="auto"/>
              </w:rPr>
            </w:pPr>
            <w:r>
              <w:rPr>
                <w:rFonts w:ascii="Arial" w:cs="Arial" w:eastAsia="Arial" w:hAnsi="Arial"/>
                <w:sz w:val="18"/>
                <w:szCs w:val="18"/>
                <w:b w:val="1"/>
                <w:bCs w:val="1"/>
                <w:color w:val="auto"/>
                <w:w w:val="93"/>
              </w:rPr>
              <w:t>Delaware</w:t>
            </w:r>
          </w:p>
        </w:tc>
        <w:tc>
          <w:tcPr>
            <w:tcW w:w="19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001-35814</w:t>
            </w:r>
          </w:p>
        </w:tc>
        <w:tc>
          <w:tcPr>
            <w:tcW w:w="220" w:type="dxa"/>
            <w:vAlign w:val="bottom"/>
          </w:tcPr>
          <w:p>
            <w:pPr>
              <w:spacing w:after="0"/>
              <w:rPr>
                <w:sz w:val="19"/>
                <w:szCs w:val="19"/>
                <w:color w:val="auto"/>
              </w:rPr>
            </w:pPr>
          </w:p>
        </w:tc>
        <w:tc>
          <w:tcPr>
            <w:tcW w:w="448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4620" w:type="dxa"/>
            <w:vAlign w:val="bottom"/>
            <w:gridSpan w:val="4"/>
          </w:tcPr>
          <w:p>
            <w:pPr>
              <w:jc w:val="center"/>
              <w:ind w:right="1000"/>
              <w:spacing w:after="0"/>
              <w:rPr>
                <w:sz w:val="20"/>
                <w:szCs w:val="20"/>
                <w:color w:val="auto"/>
              </w:rPr>
            </w:pPr>
            <w:r>
              <w:rPr>
                <w:rFonts w:ascii="Arial" w:cs="Arial" w:eastAsia="Arial" w:hAnsi="Arial"/>
                <w:sz w:val="18"/>
                <w:szCs w:val="18"/>
                <w:color w:val="auto"/>
                <w:w w:val="92"/>
              </w:rPr>
              <w:t>(State or other jurisdiction</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(Commission</w:t>
            </w:r>
          </w:p>
        </w:tc>
        <w:tc>
          <w:tcPr>
            <w:tcW w:w="1680" w:type="dxa"/>
            <w:vAlign w:val="bottom"/>
          </w:tcPr>
          <w:p>
            <w:pPr>
              <w:spacing w:after="0"/>
              <w:rPr>
                <w:sz w:val="18"/>
                <w:szCs w:val="18"/>
                <w:color w:val="auto"/>
              </w:rPr>
            </w:pPr>
          </w:p>
        </w:tc>
        <w:tc>
          <w:tcPr>
            <w:tcW w:w="2800" w:type="dxa"/>
            <w:vAlign w:val="bottom"/>
          </w:tcPr>
          <w:p>
            <w:pPr>
              <w:jc w:val="center"/>
              <w:ind w:right="690"/>
              <w:spacing w:after="0"/>
              <w:rPr>
                <w:sz w:val="20"/>
                <w:szCs w:val="20"/>
                <w:color w:val="auto"/>
              </w:rPr>
            </w:pPr>
            <w:r>
              <w:rPr>
                <w:rFonts w:ascii="Arial" w:cs="Arial" w:eastAsia="Arial" w:hAnsi="Arial"/>
                <w:sz w:val="18"/>
                <w:szCs w:val="18"/>
                <w:color w:val="auto"/>
                <w:w w:val="93"/>
              </w:rPr>
              <w:t>(IRS Employer</w:t>
            </w:r>
          </w:p>
        </w:tc>
      </w:tr>
      <w:tr>
        <w:trPr>
          <w:trHeight w:val="230"/>
        </w:trPr>
        <w:tc>
          <w:tcPr>
            <w:tcW w:w="4620" w:type="dxa"/>
            <w:vAlign w:val="bottom"/>
            <w:gridSpan w:val="4"/>
          </w:tcPr>
          <w:p>
            <w:pPr>
              <w:jc w:val="center"/>
              <w:ind w:right="1000"/>
              <w:spacing w:after="0"/>
              <w:rPr>
                <w:sz w:val="20"/>
                <w:szCs w:val="20"/>
                <w:color w:val="auto"/>
              </w:rPr>
            </w:pPr>
            <w:r>
              <w:rPr>
                <w:rFonts w:ascii="Arial" w:cs="Arial" w:eastAsia="Arial" w:hAnsi="Arial"/>
                <w:sz w:val="18"/>
                <w:szCs w:val="18"/>
                <w:color w:val="auto"/>
                <w:w w:val="93"/>
              </w:rPr>
              <w:t>of incorporation)</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 Number)</w:t>
            </w:r>
          </w:p>
        </w:tc>
        <w:tc>
          <w:tcPr>
            <w:tcW w:w="1680" w:type="dxa"/>
            <w:vAlign w:val="bottom"/>
          </w:tcPr>
          <w:p>
            <w:pPr>
              <w:spacing w:after="0"/>
              <w:rPr>
                <w:sz w:val="20"/>
                <w:szCs w:val="20"/>
                <w:color w:val="auto"/>
              </w:rPr>
            </w:pPr>
          </w:p>
        </w:tc>
        <w:tc>
          <w:tcPr>
            <w:tcW w:w="2800" w:type="dxa"/>
            <w:vAlign w:val="bottom"/>
          </w:tcPr>
          <w:p>
            <w:pPr>
              <w:jc w:val="center"/>
              <w:ind w:right="6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760" w:type="dxa"/>
            <w:vAlign w:val="bottom"/>
            <w:gridSpan w:val="6"/>
          </w:tcPr>
          <w:p>
            <w:pPr>
              <w:jc w:val="center"/>
              <w:ind w:left="590"/>
              <w:spacing w:after="0"/>
              <w:rPr>
                <w:sz w:val="20"/>
                <w:szCs w:val="20"/>
                <w:color w:val="auto"/>
              </w:rPr>
            </w:pPr>
            <w:r>
              <w:rPr>
                <w:rFonts w:ascii="Arial" w:cs="Arial" w:eastAsia="Arial" w:hAnsi="Arial"/>
                <w:sz w:val="18"/>
                <w:szCs w:val="18"/>
                <w:b w:val="1"/>
                <w:bCs w:val="1"/>
                <w:color w:val="auto"/>
                <w:w w:val="89"/>
              </w:rPr>
              <w:t>102 Woodmont Blvd., Suite 610</w:t>
            </w:r>
          </w:p>
        </w:tc>
        <w:tc>
          <w:tcPr>
            <w:tcW w:w="16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0"/>
        </w:trPr>
        <w:tc>
          <w:tcPr>
            <w:tcW w:w="2820" w:type="dxa"/>
            <w:vAlign w:val="bottom"/>
          </w:tcPr>
          <w:p>
            <w:pPr>
              <w:spacing w:after="0"/>
              <w:rPr>
                <w:sz w:val="19"/>
                <w:szCs w:val="19"/>
                <w:color w:val="auto"/>
              </w:rPr>
            </w:pPr>
          </w:p>
        </w:tc>
        <w:tc>
          <w:tcPr>
            <w:tcW w:w="1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Nashville, Tennessee</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gridSpan w:val="2"/>
          </w:tcPr>
          <w:p>
            <w:pPr>
              <w:jc w:val="right"/>
              <w:ind w:right="1490"/>
              <w:spacing w:after="0"/>
              <w:rPr>
                <w:sz w:val="20"/>
                <w:szCs w:val="20"/>
                <w:color w:val="auto"/>
              </w:rPr>
            </w:pPr>
            <w:r>
              <w:rPr>
                <w:rFonts w:ascii="Arial" w:cs="Arial" w:eastAsia="Arial" w:hAnsi="Arial"/>
                <w:sz w:val="18"/>
                <w:szCs w:val="18"/>
                <w:b w:val="1"/>
                <w:bCs w:val="1"/>
                <w:color w:val="auto"/>
              </w:rPr>
              <w:t>37205</w:t>
            </w:r>
          </w:p>
        </w:tc>
      </w:tr>
      <w:tr>
        <w:trPr>
          <w:trHeight w:val="230"/>
        </w:trPr>
        <w:tc>
          <w:tcPr>
            <w:tcW w:w="6760" w:type="dxa"/>
            <w:vAlign w:val="bottom"/>
            <w:gridSpan w:val="6"/>
          </w:tcPr>
          <w:p>
            <w:pPr>
              <w:jc w:val="center"/>
              <w:ind w:left="59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spacing w:after="0"/>
              <w:rPr>
                <w:sz w:val="20"/>
                <w:szCs w:val="20"/>
                <w:color w:val="auto"/>
              </w:rPr>
            </w:pPr>
          </w:p>
        </w:tc>
        <w:tc>
          <w:tcPr>
            <w:tcW w:w="2800" w:type="dxa"/>
            <w:vAlign w:val="bottom"/>
          </w:tcPr>
          <w:p>
            <w:pPr>
              <w:jc w:val="center"/>
              <w:ind w:right="710"/>
              <w:spacing w:after="0"/>
              <w:rPr>
                <w:sz w:val="20"/>
                <w:szCs w:val="20"/>
                <w:color w:val="auto"/>
              </w:rPr>
            </w:pPr>
            <w:r>
              <w:rPr>
                <w:rFonts w:ascii="Arial" w:cs="Arial" w:eastAsia="Arial" w:hAnsi="Arial"/>
                <w:sz w:val="18"/>
                <w:szCs w:val="18"/>
                <w:color w:val="auto"/>
                <w:w w:val="94"/>
              </w:rPr>
              <w:t>(Zip Code)</w:t>
            </w:r>
          </w:p>
        </w:tc>
      </w:tr>
      <w:tr>
        <w:trPr>
          <w:trHeight w:val="432"/>
        </w:trPr>
        <w:tc>
          <w:tcPr>
            <w:tcW w:w="2820" w:type="dxa"/>
            <w:vAlign w:val="bottom"/>
          </w:tcPr>
          <w:p>
            <w:pPr>
              <w:spacing w:after="0"/>
              <w:rPr>
                <w:sz w:val="24"/>
                <w:szCs w:val="24"/>
                <w:color w:val="auto"/>
              </w:rPr>
            </w:pPr>
          </w:p>
        </w:tc>
        <w:tc>
          <w:tcPr>
            <w:tcW w:w="8420" w:type="dxa"/>
            <w:vAlign w:val="bottom"/>
            <w:gridSpan w:val="7"/>
          </w:tcPr>
          <w:p>
            <w:pPr>
              <w:jc w:val="center"/>
              <w:ind w:right="273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(615) 733-4730</w:t>
            </w:r>
          </w:p>
        </w:tc>
      </w:tr>
      <w:tr>
        <w:trPr>
          <w:trHeight w:val="439"/>
        </w:trPr>
        <w:tc>
          <w:tcPr>
            <w:tcW w:w="28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0"/>
              </w:rPr>
              <w:t>Not Applicable</w:t>
            </w:r>
          </w:p>
        </w:tc>
        <w:tc>
          <w:tcPr>
            <w:tcW w:w="1680" w:type="dxa"/>
            <w:vAlign w:val="bottom"/>
            <w:tcBorders>
              <w:bottom w:val="single" w:sz="8" w:color="auto"/>
            </w:tcBorders>
          </w:tcPr>
          <w:p>
            <w:pPr>
              <w:spacing w:after="0"/>
              <w:rPr>
                <w:sz w:val="24"/>
                <w:szCs w:val="24"/>
                <w:color w:val="auto"/>
              </w:rPr>
            </w:pPr>
          </w:p>
        </w:tc>
        <w:tc>
          <w:tcPr>
            <w:tcW w:w="2800" w:type="dxa"/>
            <w:vAlign w:val="bottom"/>
          </w:tcPr>
          <w:p>
            <w:pPr>
              <w:spacing w:after="0"/>
              <w:rPr>
                <w:sz w:val="24"/>
                <w:szCs w:val="24"/>
                <w:color w:val="auto"/>
              </w:rPr>
            </w:pPr>
          </w:p>
        </w:tc>
      </w:tr>
      <w:tr>
        <w:trPr>
          <w:trHeight w:val="230"/>
        </w:trPr>
        <w:tc>
          <w:tcPr>
            <w:tcW w:w="2820" w:type="dxa"/>
            <w:vAlign w:val="bottom"/>
          </w:tcPr>
          <w:p>
            <w:pPr>
              <w:spacing w:after="0"/>
              <w:rPr>
                <w:sz w:val="20"/>
                <w:szCs w:val="20"/>
                <w:color w:val="auto"/>
              </w:rPr>
            </w:pPr>
          </w:p>
        </w:tc>
        <w:tc>
          <w:tcPr>
            <w:tcW w:w="5620" w:type="dxa"/>
            <w:vAlign w:val="bottom"/>
            <w:gridSpan w:val="6"/>
          </w:tcPr>
          <w:p>
            <w:pPr>
              <w:jc w:val="center"/>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800" w:type="dxa"/>
            <w:vAlign w:val="bottom"/>
          </w:tcPr>
          <w:p>
            <w:pPr>
              <w:spacing w:after="0"/>
              <w:rPr>
                <w:sz w:val="20"/>
                <w:szCs w:val="20"/>
                <w:color w:val="auto"/>
              </w:rPr>
            </w:pPr>
          </w:p>
        </w:tc>
      </w:tr>
      <w:tr>
        <w:trPr>
          <w:trHeight w:val="431"/>
        </w:trPr>
        <w:tc>
          <w:tcPr>
            <w:tcW w:w="462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39"/>
        </w:trPr>
        <w:tc>
          <w:tcPr>
            <w:tcW w:w="4620" w:type="dxa"/>
            <w:vAlign w:val="bottom"/>
            <w:gridSpan w:val="4"/>
          </w:tcPr>
          <w:p>
            <w:pPr>
              <w:jc w:val="center"/>
              <w:ind w:right="560"/>
              <w:spacing w:after="0"/>
              <w:rPr>
                <w:sz w:val="20"/>
                <w:szCs w:val="20"/>
                <w:color w:val="auto"/>
              </w:rPr>
            </w:pPr>
            <w:r>
              <w:rPr>
                <w:rFonts w:ascii="Arial" w:cs="Arial" w:eastAsia="Arial" w:hAnsi="Arial"/>
                <w:sz w:val="18"/>
                <w:szCs w:val="18"/>
                <w:color w:val="auto"/>
                <w:w w:val="90"/>
              </w:rPr>
              <w:t>Title of each class</w:t>
            </w:r>
          </w:p>
        </w:tc>
        <w:tc>
          <w:tcPr>
            <w:tcW w:w="214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Trading Symbol(s)</w:t>
            </w:r>
          </w:p>
        </w:tc>
        <w:tc>
          <w:tcPr>
            <w:tcW w:w="4480" w:type="dxa"/>
            <w:vAlign w:val="bottom"/>
            <w:gridSpan w:val="2"/>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02"/>
        </w:trPr>
        <w:tc>
          <w:tcPr>
            <w:tcW w:w="406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jc w:val="center"/>
              <w:ind w:right="250"/>
              <w:spacing w:after="0" w:line="201" w:lineRule="exact"/>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17"/>
                <w:szCs w:val="17"/>
                <w:color w:val="auto"/>
              </w:rPr>
            </w:pPr>
          </w:p>
        </w:tc>
        <w:tc>
          <w:tcPr>
            <w:tcW w:w="448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4"/>
              </w:rPr>
              <w:t>The NASDAQ Global Market</w:t>
            </w:r>
          </w:p>
        </w:tc>
      </w:tr>
      <w:tr>
        <w:trPr>
          <w:trHeight w:val="230"/>
        </w:trPr>
        <w:tc>
          <w:tcPr>
            <w:tcW w:w="4620" w:type="dxa"/>
            <w:vAlign w:val="bottom"/>
            <w:gridSpan w:val="4"/>
          </w:tcPr>
          <w:p>
            <w:pPr>
              <w:jc w:val="center"/>
              <w:ind w:right="540"/>
              <w:spacing w:after="0"/>
              <w:rPr>
                <w:sz w:val="20"/>
                <w:szCs w:val="20"/>
                <w:color w:val="auto"/>
              </w:rPr>
            </w:pPr>
            <w:r>
              <w:rPr>
                <w:rFonts w:ascii="Arial" w:cs="Arial" w:eastAsia="Arial" w:hAnsi="Arial"/>
                <w:sz w:val="18"/>
                <w:szCs w:val="18"/>
                <w:color w:val="auto"/>
                <w:w w:val="89"/>
              </w:rPr>
              <w:t>8.625% Senior Notes due 2026</w:t>
            </w:r>
          </w:p>
        </w:tc>
        <w:tc>
          <w:tcPr>
            <w:tcW w:w="2140" w:type="dxa"/>
            <w:vAlign w:val="bottom"/>
            <w:gridSpan w:val="2"/>
          </w:tcPr>
          <w:p>
            <w:pPr>
              <w:jc w:val="center"/>
              <w:ind w:right="560"/>
              <w:spacing w:after="0"/>
              <w:rPr>
                <w:sz w:val="20"/>
                <w:szCs w:val="20"/>
                <w:color w:val="auto"/>
              </w:rPr>
            </w:pPr>
            <w:r>
              <w:rPr>
                <w:rFonts w:ascii="Arial" w:cs="Arial" w:eastAsia="Arial" w:hAnsi="Arial"/>
                <w:sz w:val="18"/>
                <w:szCs w:val="18"/>
                <w:color w:val="auto"/>
                <w:w w:val="98"/>
              </w:rPr>
              <w:t>HROWL</w:t>
            </w:r>
          </w:p>
        </w:tc>
        <w:tc>
          <w:tcPr>
            <w:tcW w:w="4480" w:type="dxa"/>
            <w:vAlign w:val="bottom"/>
            <w:gridSpan w:val="2"/>
          </w:tcPr>
          <w:p>
            <w:pPr>
              <w:jc w:val="center"/>
              <w:spacing w:after="0"/>
              <w:rPr>
                <w:sz w:val="20"/>
                <w:szCs w:val="20"/>
                <w:color w:val="auto"/>
              </w:rPr>
            </w:pPr>
            <w:r>
              <w:rPr>
                <w:rFonts w:ascii="Arial" w:cs="Arial" w:eastAsia="Arial" w:hAnsi="Arial"/>
                <w:sz w:val="18"/>
                <w:szCs w:val="18"/>
                <w:color w:val="auto"/>
                <w:w w:val="94"/>
              </w:rPr>
              <w:t>The NASDAQ Global Market</w:t>
            </w: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further discussed below in Item 5.07, on June 3, 2021, at the 2021 annual meeting of stockholders (the “</w:t>
      </w:r>
      <w:r>
        <w:rPr>
          <w:rFonts w:ascii="Arial" w:cs="Arial" w:eastAsia="Arial" w:hAnsi="Arial"/>
          <w:sz w:val="16"/>
          <w:szCs w:val="16"/>
          <w:u w:val="single" w:color="auto"/>
          <w:color w:val="auto"/>
        </w:rPr>
        <w:t>Annual Meeting</w:t>
      </w:r>
      <w:r>
        <w:rPr>
          <w:rFonts w:ascii="Arial" w:cs="Arial" w:eastAsia="Arial" w:hAnsi="Arial"/>
          <w:sz w:val="16"/>
          <w:szCs w:val="16"/>
          <w:color w:val="auto"/>
        </w:rPr>
        <w:t>”) of Harrow Health, Inc. (the “</w:t>
      </w:r>
      <w:r>
        <w:rPr>
          <w:rFonts w:ascii="Arial" w:cs="Arial" w:eastAsia="Arial" w:hAnsi="Arial"/>
          <w:sz w:val="16"/>
          <w:szCs w:val="16"/>
          <w:u w:val="single" w:color="auto"/>
          <w:color w:val="auto"/>
        </w:rPr>
        <w:t>Company</w:t>
      </w:r>
      <w:r>
        <w:rPr>
          <w:rFonts w:ascii="Arial" w:cs="Arial" w:eastAsia="Arial" w:hAnsi="Arial"/>
          <w:sz w:val="16"/>
          <w:szCs w:val="16"/>
          <w:color w:val="auto"/>
        </w:rPr>
        <w:t>”), the stockholders of the Company approved an amendment (the “</w:t>
      </w:r>
      <w:r>
        <w:rPr>
          <w:rFonts w:ascii="Arial" w:cs="Arial" w:eastAsia="Arial" w:hAnsi="Arial"/>
          <w:sz w:val="16"/>
          <w:szCs w:val="16"/>
          <w:u w:val="single" w:color="auto"/>
          <w:color w:val="auto"/>
        </w:rPr>
        <w:t>Amendment</w:t>
      </w:r>
      <w:r>
        <w:rPr>
          <w:rFonts w:ascii="Arial" w:cs="Arial" w:eastAsia="Arial" w:hAnsi="Arial"/>
          <w:sz w:val="16"/>
          <w:szCs w:val="16"/>
          <w:color w:val="auto"/>
        </w:rPr>
        <w:t>”) to the Company’s 2017 Incentive Stock and Awards Plan (the “</w:t>
      </w:r>
      <w:r>
        <w:rPr>
          <w:rFonts w:ascii="Arial" w:cs="Arial" w:eastAsia="Arial" w:hAnsi="Arial"/>
          <w:sz w:val="16"/>
          <w:szCs w:val="16"/>
          <w:u w:val="single" w:color="auto"/>
          <w:color w:val="auto"/>
        </w:rPr>
        <w:t>Plan</w:t>
      </w:r>
      <w:r>
        <w:rPr>
          <w:rFonts w:ascii="Arial" w:cs="Arial" w:eastAsia="Arial" w:hAnsi="Arial"/>
          <w:sz w:val="16"/>
          <w:szCs w:val="16"/>
          <w:color w:val="auto"/>
        </w:rPr>
        <w:t>”). The Amendment increased by 4,000,000 the aggregate number of shares of the Company’s common stock which may be issued or used for reference purposes for awards granted under the Plan and includes certain other changes with respect to the Plan. A summary of the material terms of the Amendment and the Plan is set forth on pages 6 through 9 of the Company’s definitive proxy statement for the Annual Meeting,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on April 23, 2021. The summary and the foregoing description of the Amendment and the Plan are qualified in their entirety by reference to the text of the Amendment and the Plan, copies of which are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June 3, 2021, the Company held the Annual Meeting at 102 Woodmont Blvd., Suite 610, Nashville, Tennessee 37205. The number of shares of common stock entitled to vote at the Annual Meeting was 25,983,666. The number of shares of common stock present or represented by valid proxy at the Annual Meeting was 20,600,874. All matters submitted to a binding vote of stockholders at the Annual Meeting were approved. The number of votes cast for and against, and the number of abstentions and broker non-votes with respect to the matters voted upon at the Annual Meeting, are set forth below:</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 1: Election of Directors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Stockholders voted to elect to the Board of Directors the five (5) director nominees named in the Company’s proxy statement to serve until the 2022 annual meeting of stockholders or until their successors are duly elected and qualified. The results of the voting were:</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Directors</w:t>
            </w:r>
          </w:p>
        </w:tc>
        <w:tc>
          <w:tcPr>
            <w:tcW w:w="2520" w:type="dxa"/>
            <w:vAlign w:val="bottom"/>
            <w:gridSpan w:val="2"/>
          </w:tcPr>
          <w:p>
            <w:pPr>
              <w:jc w:val="right"/>
              <w:ind w:right="1280"/>
              <w:spacing w:after="0"/>
              <w:rPr>
                <w:sz w:val="20"/>
                <w:szCs w:val="20"/>
                <w:color w:val="auto"/>
              </w:rPr>
            </w:pPr>
            <w:r>
              <w:rPr>
                <w:rFonts w:ascii="Arial" w:cs="Arial" w:eastAsia="Arial" w:hAnsi="Arial"/>
                <w:sz w:val="18"/>
                <w:szCs w:val="18"/>
                <w:b w:val="1"/>
                <w:bCs w:val="1"/>
                <w:color w:val="auto"/>
              </w:rPr>
              <w:t>For</w:t>
            </w:r>
          </w:p>
        </w:tc>
        <w:tc>
          <w:tcPr>
            <w:tcW w:w="250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rPr>
              <w:t>Withheld</w:t>
            </w:r>
          </w:p>
        </w:tc>
        <w:tc>
          <w:tcPr>
            <w:tcW w:w="2280" w:type="dxa"/>
            <w:vAlign w:val="bottom"/>
            <w:gridSpan w:val="2"/>
          </w:tcPr>
          <w:p>
            <w:pPr>
              <w:ind w:left="440"/>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L. Baum</w:t>
            </w:r>
          </w:p>
        </w:tc>
        <w:tc>
          <w:tcPr>
            <w:tcW w:w="22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15,881,779</w:t>
            </w:r>
          </w:p>
        </w:tc>
        <w:tc>
          <w:tcPr>
            <w:tcW w:w="32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83,252</w:t>
            </w:r>
          </w:p>
        </w:tc>
        <w:tc>
          <w:tcPr>
            <w:tcW w:w="3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4,635,843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Richard L. Lindstrom</w:t>
            </w:r>
          </w:p>
        </w:tc>
        <w:tc>
          <w:tcPr>
            <w:tcW w:w="2520" w:type="dxa"/>
            <w:vAlign w:val="bottom"/>
            <w:gridSpan w:val="2"/>
          </w:tcPr>
          <w:p>
            <w:pPr>
              <w:jc w:val="right"/>
              <w:ind w:right="320"/>
              <w:spacing w:after="0"/>
              <w:rPr>
                <w:sz w:val="20"/>
                <w:szCs w:val="20"/>
                <w:color w:val="auto"/>
              </w:rPr>
            </w:pPr>
            <w:r>
              <w:rPr>
                <w:rFonts w:ascii="Arial" w:cs="Arial" w:eastAsia="Arial" w:hAnsi="Arial"/>
                <w:sz w:val="18"/>
                <w:szCs w:val="18"/>
                <w:color w:val="auto"/>
              </w:rPr>
              <w:t>14,072,231</w:t>
            </w:r>
          </w:p>
        </w:tc>
        <w:tc>
          <w:tcPr>
            <w:tcW w:w="2500" w:type="dxa"/>
            <w:vAlign w:val="bottom"/>
            <w:gridSpan w:val="2"/>
          </w:tcPr>
          <w:p>
            <w:pPr>
              <w:jc w:val="right"/>
              <w:ind w:right="300"/>
              <w:spacing w:after="0"/>
              <w:rPr>
                <w:sz w:val="20"/>
                <w:szCs w:val="20"/>
                <w:color w:val="auto"/>
              </w:rPr>
            </w:pPr>
            <w:r>
              <w:rPr>
                <w:rFonts w:ascii="Arial" w:cs="Arial" w:eastAsia="Arial" w:hAnsi="Arial"/>
                <w:sz w:val="18"/>
                <w:szCs w:val="18"/>
                <w:color w:val="auto"/>
              </w:rPr>
              <w:t>1,892,800</w:t>
            </w: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4,635,843</w:t>
            </w: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Kammer</w:t>
            </w:r>
          </w:p>
        </w:tc>
        <w:tc>
          <w:tcPr>
            <w:tcW w:w="2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13,576,172</w:t>
            </w:r>
          </w:p>
        </w:tc>
        <w:tc>
          <w:tcPr>
            <w:tcW w:w="2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2,388,859</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4,635,843</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Teresa F. Sparks</w:t>
            </w:r>
          </w:p>
        </w:tc>
        <w:tc>
          <w:tcPr>
            <w:tcW w:w="2520" w:type="dxa"/>
            <w:vAlign w:val="bottom"/>
            <w:gridSpan w:val="2"/>
          </w:tcPr>
          <w:p>
            <w:pPr>
              <w:jc w:val="right"/>
              <w:ind w:right="320"/>
              <w:spacing w:after="0"/>
              <w:rPr>
                <w:sz w:val="20"/>
                <w:szCs w:val="20"/>
                <w:color w:val="auto"/>
              </w:rPr>
            </w:pPr>
            <w:r>
              <w:rPr>
                <w:rFonts w:ascii="Arial" w:cs="Arial" w:eastAsia="Arial" w:hAnsi="Arial"/>
                <w:sz w:val="18"/>
                <w:szCs w:val="18"/>
                <w:color w:val="auto"/>
              </w:rPr>
              <w:t>15,057,886</w:t>
            </w:r>
          </w:p>
        </w:tc>
        <w:tc>
          <w:tcPr>
            <w:tcW w:w="2500" w:type="dxa"/>
            <w:vAlign w:val="bottom"/>
            <w:gridSpan w:val="2"/>
          </w:tcPr>
          <w:p>
            <w:pPr>
              <w:jc w:val="right"/>
              <w:ind w:right="300"/>
              <w:spacing w:after="0"/>
              <w:rPr>
                <w:sz w:val="20"/>
                <w:szCs w:val="20"/>
                <w:color w:val="auto"/>
              </w:rPr>
            </w:pPr>
            <w:r>
              <w:rPr>
                <w:rFonts w:ascii="Arial" w:cs="Arial" w:eastAsia="Arial" w:hAnsi="Arial"/>
                <w:sz w:val="18"/>
                <w:szCs w:val="18"/>
                <w:color w:val="auto"/>
              </w:rPr>
              <w:t>907,145</w:t>
            </w: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4,635,843</w:t>
            </w: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Lawrence Van Horn</w:t>
            </w:r>
          </w:p>
        </w:tc>
        <w:tc>
          <w:tcPr>
            <w:tcW w:w="2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15,874,425</w:t>
            </w:r>
          </w:p>
        </w:tc>
        <w:tc>
          <w:tcPr>
            <w:tcW w:w="2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90,606</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4,635,843</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 2: Ratification of Auditors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Stockholders ratified the selection of KMJ Corbin &amp; Company, LLP as the Company’s independent registered public accounting firm for the fiscal year ending December 31, 2021. The results of the voting were:</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For</w:t>
            </w:r>
          </w:p>
        </w:tc>
        <w:tc>
          <w:tcPr>
            <w:tcW w:w="2740" w:type="dxa"/>
            <w:vAlign w:val="bottom"/>
            <w:gridSpan w:val="2"/>
          </w:tcPr>
          <w:p>
            <w:pPr>
              <w:ind w:left="900"/>
              <w:spacing w:after="0"/>
              <w:rPr>
                <w:sz w:val="20"/>
                <w:szCs w:val="20"/>
                <w:color w:val="auto"/>
              </w:rPr>
            </w:pPr>
            <w:r>
              <w:rPr>
                <w:rFonts w:ascii="Arial" w:cs="Arial" w:eastAsia="Arial" w:hAnsi="Arial"/>
                <w:sz w:val="18"/>
                <w:szCs w:val="18"/>
                <w:b w:val="1"/>
                <w:bCs w:val="1"/>
                <w:color w:val="auto"/>
              </w:rPr>
              <w:t>Against</w:t>
            </w:r>
          </w:p>
        </w:tc>
        <w:tc>
          <w:tcPr>
            <w:tcW w:w="2680" w:type="dxa"/>
            <w:vAlign w:val="bottom"/>
            <w:gridSpan w:val="2"/>
          </w:tcPr>
          <w:p>
            <w:pPr>
              <w:ind w:left="900"/>
              <w:spacing w:after="0"/>
              <w:rPr>
                <w:sz w:val="20"/>
                <w:szCs w:val="20"/>
                <w:color w:val="auto"/>
              </w:rPr>
            </w:pPr>
            <w:r>
              <w:rPr>
                <w:rFonts w:ascii="Arial" w:cs="Arial" w:eastAsia="Arial" w:hAnsi="Arial"/>
                <w:sz w:val="18"/>
                <w:szCs w:val="18"/>
                <w:b w:val="1"/>
                <w:bCs w:val="1"/>
                <w:color w:val="auto"/>
              </w:rPr>
              <w:t>Abstain</w:t>
            </w:r>
          </w:p>
        </w:tc>
        <w:tc>
          <w:tcPr>
            <w:tcW w:w="2280" w:type="dxa"/>
            <w:vAlign w:val="bottom"/>
            <w:gridSpan w:val="2"/>
          </w:tcPr>
          <w:p>
            <w:pPr>
              <w:ind w:left="440"/>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20,353,990</w:t>
            </w:r>
          </w:p>
        </w:tc>
        <w:tc>
          <w:tcPr>
            <w:tcW w:w="3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84,972</w:t>
            </w:r>
          </w:p>
        </w:tc>
        <w:tc>
          <w:tcPr>
            <w:tcW w:w="32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161,912</w:t>
            </w:r>
          </w:p>
        </w:tc>
        <w:tc>
          <w:tcPr>
            <w:tcW w:w="3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 3: To approve an amendment to the Harrow Health, Inc. 2017 Incentive Stock and Awards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Stockholders approved an amendment to the Company’s 2017 Incentive Stock and Awards Plan. The results of the voting were:</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For</w:t>
            </w:r>
          </w:p>
        </w:tc>
        <w:tc>
          <w:tcPr>
            <w:tcW w:w="2740" w:type="dxa"/>
            <w:vAlign w:val="bottom"/>
            <w:gridSpan w:val="2"/>
          </w:tcPr>
          <w:p>
            <w:pPr>
              <w:ind w:left="900"/>
              <w:spacing w:after="0"/>
              <w:rPr>
                <w:sz w:val="20"/>
                <w:szCs w:val="20"/>
                <w:color w:val="auto"/>
              </w:rPr>
            </w:pPr>
            <w:r>
              <w:rPr>
                <w:rFonts w:ascii="Arial" w:cs="Arial" w:eastAsia="Arial" w:hAnsi="Arial"/>
                <w:sz w:val="18"/>
                <w:szCs w:val="18"/>
                <w:b w:val="1"/>
                <w:bCs w:val="1"/>
                <w:color w:val="auto"/>
              </w:rPr>
              <w:t>Against</w:t>
            </w:r>
          </w:p>
        </w:tc>
        <w:tc>
          <w:tcPr>
            <w:tcW w:w="2680" w:type="dxa"/>
            <w:vAlign w:val="bottom"/>
            <w:gridSpan w:val="2"/>
          </w:tcPr>
          <w:p>
            <w:pPr>
              <w:ind w:left="900"/>
              <w:spacing w:after="0"/>
              <w:rPr>
                <w:sz w:val="20"/>
                <w:szCs w:val="20"/>
                <w:color w:val="auto"/>
              </w:rPr>
            </w:pPr>
            <w:r>
              <w:rPr>
                <w:rFonts w:ascii="Arial" w:cs="Arial" w:eastAsia="Arial" w:hAnsi="Arial"/>
                <w:sz w:val="18"/>
                <w:szCs w:val="18"/>
                <w:b w:val="1"/>
                <w:bCs w:val="1"/>
                <w:color w:val="auto"/>
              </w:rPr>
              <w:t>Abstain</w:t>
            </w:r>
          </w:p>
        </w:tc>
        <w:tc>
          <w:tcPr>
            <w:tcW w:w="2280" w:type="dxa"/>
            <w:vAlign w:val="bottom"/>
            <w:gridSpan w:val="2"/>
          </w:tcPr>
          <w:p>
            <w:pPr>
              <w:ind w:left="440"/>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12,632,036</w:t>
            </w:r>
          </w:p>
        </w:tc>
        <w:tc>
          <w:tcPr>
            <w:tcW w:w="3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3,196,329</w:t>
            </w:r>
          </w:p>
        </w:tc>
        <w:tc>
          <w:tcPr>
            <w:tcW w:w="32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136,666</w:t>
            </w:r>
          </w:p>
        </w:tc>
        <w:tc>
          <w:tcPr>
            <w:tcW w:w="3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4,635,843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 4: To approve on an advisory basis, the compensation of the Company’s named executive officers.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Stockholders approved, on an advisory basis, the compensation of the Company’s named executive officers. The results of the voting were: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For</w:t>
            </w:r>
          </w:p>
        </w:tc>
        <w:tc>
          <w:tcPr>
            <w:tcW w:w="2740" w:type="dxa"/>
            <w:vAlign w:val="bottom"/>
            <w:gridSpan w:val="2"/>
          </w:tcPr>
          <w:p>
            <w:pPr>
              <w:ind w:left="900"/>
              <w:spacing w:after="0"/>
              <w:rPr>
                <w:sz w:val="20"/>
                <w:szCs w:val="20"/>
                <w:color w:val="auto"/>
              </w:rPr>
            </w:pPr>
            <w:r>
              <w:rPr>
                <w:rFonts w:ascii="Arial" w:cs="Arial" w:eastAsia="Arial" w:hAnsi="Arial"/>
                <w:sz w:val="18"/>
                <w:szCs w:val="18"/>
                <w:b w:val="1"/>
                <w:bCs w:val="1"/>
                <w:color w:val="auto"/>
              </w:rPr>
              <w:t>Against</w:t>
            </w:r>
          </w:p>
        </w:tc>
        <w:tc>
          <w:tcPr>
            <w:tcW w:w="2680" w:type="dxa"/>
            <w:vAlign w:val="bottom"/>
            <w:gridSpan w:val="2"/>
          </w:tcPr>
          <w:p>
            <w:pPr>
              <w:ind w:left="900"/>
              <w:spacing w:after="0"/>
              <w:rPr>
                <w:sz w:val="20"/>
                <w:szCs w:val="20"/>
                <w:color w:val="auto"/>
              </w:rPr>
            </w:pPr>
            <w:r>
              <w:rPr>
                <w:rFonts w:ascii="Arial" w:cs="Arial" w:eastAsia="Arial" w:hAnsi="Arial"/>
                <w:sz w:val="18"/>
                <w:szCs w:val="18"/>
                <w:b w:val="1"/>
                <w:bCs w:val="1"/>
                <w:color w:val="auto"/>
              </w:rPr>
              <w:t>Abstain</w:t>
            </w:r>
          </w:p>
        </w:tc>
        <w:tc>
          <w:tcPr>
            <w:tcW w:w="2280" w:type="dxa"/>
            <w:vAlign w:val="bottom"/>
            <w:gridSpan w:val="2"/>
          </w:tcPr>
          <w:p>
            <w:pPr>
              <w:ind w:left="440"/>
              <w:spacing w:after="0"/>
              <w:rPr>
                <w:sz w:val="20"/>
                <w:szCs w:val="20"/>
                <w:color w:val="auto"/>
              </w:rPr>
            </w:pPr>
            <w:r>
              <w:rPr>
                <w:rFonts w:ascii="Arial" w:cs="Arial" w:eastAsia="Arial" w:hAnsi="Arial"/>
                <w:sz w:val="18"/>
                <w:szCs w:val="18"/>
                <w:b w:val="1"/>
                <w:bCs w:val="1"/>
                <w:color w:val="auto"/>
              </w:rPr>
              <w:t>Broker Non-Vote</w:t>
            </w:r>
          </w:p>
        </w:tc>
        <w:tc>
          <w:tcPr>
            <w:tcW w:w="14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14,781,072</w:t>
            </w:r>
          </w:p>
        </w:tc>
        <w:tc>
          <w:tcPr>
            <w:tcW w:w="3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600,632</w:t>
            </w:r>
          </w:p>
        </w:tc>
        <w:tc>
          <w:tcPr>
            <w:tcW w:w="32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583,327</w:t>
            </w:r>
          </w:p>
        </w:tc>
        <w:tc>
          <w:tcPr>
            <w:tcW w:w="3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4,635,843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439"/>
        </w:trPr>
        <w:tc>
          <w:tcPr>
            <w:tcW w:w="6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r:id="rId13">
        <w:r>
          <w:rPr>
            <w:rFonts w:ascii="Arial" w:cs="Arial" w:eastAsia="Arial" w:hAnsi="Arial"/>
            <w:sz w:val="16"/>
            <w:szCs w:val="16"/>
            <w:u w:val="single" w:color="auto"/>
            <w:color w:val="0000EE"/>
          </w:rPr>
          <w:t>Harrow Health, Inc. 2017 Incentive Stock and Awards Plan. (a)</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14">
        <w:r>
          <w:rPr>
            <w:rFonts w:ascii="Arial" w:cs="Arial" w:eastAsia="Arial" w:hAnsi="Arial"/>
            <w:sz w:val="16"/>
            <w:szCs w:val="16"/>
            <w:u w:val="single" w:color="auto"/>
            <w:color w:val="0000EE"/>
          </w:rPr>
          <w:t>First Amendment to the Harrow Health, Inc. 2017 Incentive Stock and Awards Plan. (b)</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Incorporated by reference to Exhibit 10.1 to the Company’s Registration Statement on Form S-8 filed with the SEC on August 25, 2017.</w:t>
      </w:r>
    </w:p>
    <w:p>
      <w:pPr>
        <w:spacing w:after="0" w:line="46" w:lineRule="exact"/>
        <w:rPr>
          <w:rFonts w:ascii="Arial" w:cs="Arial" w:eastAsia="Arial" w:hAnsi="Arial"/>
          <w:sz w:val="16"/>
          <w:szCs w:val="16"/>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Appendix A to the Company’s Definitive Proxy Statement filed with the SEC on April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661" w:right="10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June 7,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s://www.sec.gov/Archives/edgar/data/1360214/000149315217009907/ex10-1.htm#a_001" TargetMode="External"/><Relationship Id="rId14" Type="http://schemas.openxmlformats.org/officeDocument/2006/relationships/hyperlink" Target="https://www.sec.gov/Archives/edgar/data/1360214/000149315221009572/formdef14a.htm#a_0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2021-06-07T15:33:42Z</dcterms:created>
  <dcterms:modified xsi:type="dcterms:W3CDTF">2021-06-07T15:33:42Z</dcterms:modified>
</cp:coreProperties>
</file>