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6996430" cy="4640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64058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BAUM MARK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HARROW,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1A BURTON HILLS BLVD., STE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HARROW,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04/03/2025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3" w:right="700" w:firstLine="3"/>
        <w:spacing w:after="0" w:line="249"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34"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9"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NASHVILLE</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37205</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6"/>
                <w:szCs w:val="16"/>
                <w:color w:val="0000FF"/>
              </w:rPr>
              <w:t>04/03/2025</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762,300</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ind w:right="7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2,899,825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6"/>
                <w:szCs w:val="16"/>
                <w:color w:val="0000FF"/>
              </w:rPr>
              <w:t>04/07/2025</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300,363</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23.09</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2,599,462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16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3"/>
                <w:szCs w:val="13"/>
                <w:color w:val="0000FF"/>
              </w:rPr>
              <w:t>04/03/2025</w:t>
            </w:r>
          </w:p>
        </w:tc>
        <w:tc>
          <w:tcPr>
            <w:tcW w:w="11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762,300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762,300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40" w:hanging="1"/>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762,300 shares of Harrow, Inc. ("Harrow") common stock listed in Table I as "Acquired" represent shares upon vesting of performance stock units ("PSUs") granted to Mr. Baum under Harrow's 2017 Stock Incentive and Awards Plan (the "Incentive Plan") on April 3, 2023. The PSUs vested on April 3, 2025 and were settled in full in shares of Harrow common stock (on a one-for-one basis) on April 7, 2025, following attainment of (i) a two-year service period, and (ii) the achievement of Harrow common stock price targets ranging from $25 - $50. The 300,363 shares of Harrow common stock listed in Table I as "Disposed" were not sold by Mr. Baum in any market transaction; rather, they were shares of Harrow common stock withheld by the Company for payroll tax purposes from the same aforementioned 762,300 shares pursuant to the terms of the Incentive Plan.</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Mark L. Baum</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04/07/2025</w:t>
            </w:r>
          </w:p>
        </w:tc>
      </w:tr>
      <w:tr>
        <w:trPr>
          <w:trHeight w:val="20"/>
        </w:trPr>
        <w:tc>
          <w:tcPr>
            <w:tcW w:w="1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7428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2025-04-07T21:00:13Z</dcterms:created>
  <dcterms:modified xsi:type="dcterms:W3CDTF">2025-04-07T21:00:13Z</dcterms:modified>
</cp:coreProperties>
</file>