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460" w:right="11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OF 1934</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216" w:lineRule="exact"/>
        <w:rPr>
          <w:sz w:val="20"/>
          <w:szCs w:val="20"/>
          <w:color w:val="auto"/>
        </w:rPr>
      </w:pPr>
    </w:p>
    <w:p>
      <w:pPr>
        <w:ind w:left="1460" w:hanging="850"/>
        <w:spacing w:after="0"/>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UNDER SECTION 13 OR 15(d) OF THE EXCHANGE ACT</w:t>
      </w:r>
    </w:p>
    <w:p>
      <w:pPr>
        <w:spacing w:after="0" w:line="188" w:lineRule="exact"/>
        <w:rPr>
          <w:sz w:val="20"/>
          <w:szCs w:val="20"/>
          <w:color w:val="auto"/>
        </w:rPr>
      </w:pPr>
    </w:p>
    <w:p>
      <w:pPr>
        <w:ind w:left="2800"/>
        <w:spacing w:after="0"/>
        <w:tabs>
          <w:tab w:leader="none" w:pos="6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000-52998</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u w:val="single" w:color="auto"/>
          <w:color w:val="auto"/>
        </w:rPr>
        <w:t>Transdel Pharmaceuticals,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in Its Charter)</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900" w:type="dxa"/>
            <w:vAlign w:val="bottom"/>
            <w:gridSpan w:val="2"/>
          </w:tcPr>
          <w:p>
            <w:pPr>
              <w:jc w:val="right"/>
              <w:ind w:right="1690"/>
              <w:spacing w:after="0"/>
              <w:rPr>
                <w:sz w:val="20"/>
                <w:szCs w:val="20"/>
                <w:color w:val="auto"/>
              </w:rPr>
            </w:pPr>
            <w:r>
              <w:rPr>
                <w:rFonts w:ascii="Arial" w:cs="Arial" w:eastAsia="Arial" w:hAnsi="Arial"/>
                <w:sz w:val="18"/>
                <w:szCs w:val="18"/>
                <w:color w:val="auto"/>
              </w:rPr>
              <w:t>45-0567010</w:t>
            </w:r>
          </w:p>
        </w:tc>
      </w:tr>
      <w:tr>
        <w:trPr>
          <w:trHeight w:val="195"/>
        </w:trPr>
        <w:tc>
          <w:tcPr>
            <w:tcW w:w="4420" w:type="dxa"/>
            <w:vAlign w:val="bottom"/>
            <w:tcBorders>
              <w:top w:val="single" w:sz="8" w:color="auto"/>
            </w:tcBorders>
          </w:tcPr>
          <w:p>
            <w:pPr>
              <w:ind w:left="600"/>
              <w:spacing w:after="0" w:line="195" w:lineRule="exact"/>
              <w:rPr>
                <w:sz w:val="20"/>
                <w:szCs w:val="20"/>
                <w:color w:val="auto"/>
              </w:rPr>
            </w:pPr>
            <w:r>
              <w:rPr>
                <w:rFonts w:ascii="Arial" w:cs="Arial" w:eastAsia="Arial" w:hAnsi="Arial"/>
                <w:sz w:val="18"/>
                <w:szCs w:val="18"/>
                <w:color w:val="auto"/>
              </w:rPr>
              <w:t>(State or Other Jurisdiction of Incorporation</w:t>
            </w:r>
          </w:p>
        </w:tc>
        <w:tc>
          <w:tcPr>
            <w:tcW w:w="460" w:type="dxa"/>
            <w:vAlign w:val="bottom"/>
          </w:tcPr>
          <w:p>
            <w:pPr>
              <w:spacing w:after="0"/>
              <w:rPr>
                <w:sz w:val="16"/>
                <w:szCs w:val="16"/>
                <w:color w:val="auto"/>
              </w:rPr>
            </w:pPr>
          </w:p>
        </w:tc>
        <w:tc>
          <w:tcPr>
            <w:tcW w:w="4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1"/>
              </w:rPr>
              <w:t>or Organization)</w:t>
            </w:r>
          </w:p>
        </w:tc>
        <w:tc>
          <w:tcPr>
            <w:tcW w:w="4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18"/>
        </w:trPr>
        <w:tc>
          <w:tcPr>
            <w:tcW w:w="4420" w:type="dxa"/>
            <w:vAlign w:val="bottom"/>
          </w:tcPr>
          <w:p>
            <w:pPr>
              <w:jc w:val="center"/>
              <w:spacing w:after="0"/>
              <w:rPr>
                <w:sz w:val="20"/>
                <w:szCs w:val="20"/>
                <w:color w:val="auto"/>
              </w:rPr>
            </w:pPr>
            <w:r>
              <w:rPr>
                <w:rFonts w:ascii="Arial" w:cs="Arial" w:eastAsia="Arial" w:hAnsi="Arial"/>
                <w:sz w:val="18"/>
                <w:szCs w:val="18"/>
                <w:color w:val="auto"/>
                <w:w w:val="90"/>
              </w:rPr>
              <w:t>4225 Executive Square, Suite 485</w:t>
            </w:r>
          </w:p>
        </w:tc>
        <w:tc>
          <w:tcPr>
            <w:tcW w:w="46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2"/>
              </w:rPr>
              <w:t>La Jolla, CA</w:t>
            </w:r>
          </w:p>
        </w:tc>
        <w:tc>
          <w:tcPr>
            <w:tcW w:w="4900" w:type="dxa"/>
            <w:vAlign w:val="bottom"/>
            <w:gridSpan w:val="2"/>
          </w:tcPr>
          <w:p>
            <w:pPr>
              <w:jc w:val="right"/>
              <w:ind w:right="1910"/>
              <w:spacing w:after="0"/>
              <w:rPr>
                <w:sz w:val="20"/>
                <w:szCs w:val="20"/>
                <w:color w:val="auto"/>
              </w:rPr>
            </w:pPr>
            <w:r>
              <w:rPr>
                <w:rFonts w:ascii="Arial" w:cs="Arial" w:eastAsia="Arial" w:hAnsi="Arial"/>
                <w:sz w:val="18"/>
                <w:szCs w:val="18"/>
                <w:color w:val="auto"/>
              </w:rPr>
              <w:t>92037</w:t>
            </w:r>
          </w:p>
        </w:tc>
      </w:tr>
      <w:tr>
        <w:trPr>
          <w:trHeight w:val="224"/>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(858) 457-5300</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013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165" w:lineRule="exact"/>
        <w:rPr>
          <w:sz w:val="20"/>
          <w:szCs w:val="20"/>
          <w:color w:val="auto"/>
        </w:rPr>
      </w:pPr>
    </w:p>
    <w:p>
      <w:pPr>
        <w:jc w:val="both"/>
        <w:ind w:left="340" w:right="55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4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jc w:val="center"/>
        <w:ind w:left="480"/>
        <w:spacing w:after="0"/>
        <w:rPr>
          <w:sz w:val="20"/>
          <w:szCs w:val="20"/>
          <w:color w:val="auto"/>
        </w:rPr>
      </w:pPr>
      <w:r>
        <w:rPr>
          <w:rFonts w:ascii="Arial" w:cs="Arial" w:eastAsia="Arial" w:hAnsi="Arial"/>
          <w:sz w:val="15"/>
          <w:szCs w:val="15"/>
          <w:color w:val="auto"/>
        </w:rPr>
        <w:t>Large accelerated</w:t>
      </w:r>
    </w:p>
    <w:p>
      <w:pPr>
        <w:spacing w:after="0" w:line="5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56" w:lineRule="exact"/>
        <w:rPr>
          <w:sz w:val="20"/>
          <w:szCs w:val="20"/>
          <w:color w:val="auto"/>
        </w:rPr>
      </w:pPr>
    </w:p>
    <w:p>
      <w:pPr>
        <w:sectPr>
          <w:pgSz w:w="11900" w:h="16838" w:orient="portrait"/>
          <w:cols w:equalWidth="0" w:num="4">
            <w:col w:w="1760" w:space="480"/>
            <w:col w:w="1340" w:space="340"/>
            <w:col w:w="3360" w:space="200"/>
            <w:col w:w="2739"/>
          </w:cols>
          <w:pgMar w:left="240" w:top="122" w:right="1440" w:bottom="1440" w:gutter="0" w:footer="0" w:header="0"/>
          <w:type w:val="continuous"/>
        </w:sectPr>
      </w:pPr>
    </w:p>
    <w:p>
      <w:pPr>
        <w:ind w:left="340" w:right="559"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May 10, 2009, 15,652,061 shares of issuer’s common stock, with $0.001 par value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142240</wp:posOffset>
            </wp:positionV>
            <wp:extent cx="5925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159385</wp:posOffset>
            </wp:positionV>
            <wp:extent cx="59258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826135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jc w:val="center"/>
        <w:ind w:right="1420"/>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(A Development Stage Company)</w:t>
      </w:r>
    </w:p>
    <w:p>
      <w:pPr>
        <w:spacing w:after="0" w:line="184" w:lineRule="exact"/>
        <w:rPr>
          <w:sz w:val="20"/>
          <w:szCs w:val="20"/>
          <w:color w:val="auto"/>
        </w:rPr>
      </w:pPr>
    </w:p>
    <w:p>
      <w:pPr>
        <w:ind w:left="4360"/>
        <w:spacing w:after="0"/>
        <w:rPr>
          <w:sz w:val="20"/>
          <w:szCs w:val="20"/>
          <w:color w:val="auto"/>
        </w:rPr>
      </w:pPr>
      <w:r>
        <w:rPr>
          <w:rFonts w:ascii="Arial" w:cs="Arial" w:eastAsia="Arial" w:hAnsi="Arial"/>
          <w:sz w:val="18"/>
          <w:szCs w:val="18"/>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gridSpan w:val="23"/>
            <w:vMerge w:val="restart"/>
          </w:tcPr>
          <w:p>
            <w:pPr>
              <w:ind w:left="340"/>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760" w:type="dxa"/>
            <w:vAlign w:val="bottom"/>
            <w:gridSpan w:val="2"/>
          </w:tcPr>
          <w:p>
            <w:pPr>
              <w:jc w:val="right"/>
              <w:ind w:right="2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8660" w:type="dxa"/>
            <w:vAlign w:val="bottom"/>
            <w:gridSpan w:val="23"/>
            <w:vMerge w:val="continue"/>
          </w:tcPr>
          <w:p>
            <w:pPr>
              <w:spacing w:after="0"/>
              <w:rPr>
                <w:sz w:val="14"/>
                <w:szCs w:val="14"/>
                <w:color w:val="auto"/>
              </w:rPr>
            </w:pPr>
          </w:p>
        </w:tc>
        <w:tc>
          <w:tcPr>
            <w:tcW w:w="9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420" w:type="dxa"/>
            <w:vAlign w:val="bottom"/>
            <w:tcBorders>
              <w:top w:val="single" w:sz="8" w:color="0000EE"/>
            </w:tcBorders>
            <w:gridSpan w:val="4"/>
          </w:tcPr>
          <w:p>
            <w:pPr>
              <w:spacing w:after="0"/>
              <w:rPr>
                <w:sz w:val="24"/>
                <w:szCs w:val="24"/>
                <w:color w:val="auto"/>
              </w:rPr>
            </w:pPr>
          </w:p>
        </w:tc>
        <w:tc>
          <w:tcPr>
            <w:tcW w:w="5640" w:type="dxa"/>
            <w:vAlign w:val="bottom"/>
            <w:gridSpan w:val="7"/>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March 31, 2010 (Unaudited) and December 31, 2009</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20" w:type="dxa"/>
            <w:vAlign w:val="bottom"/>
            <w:tcBorders>
              <w:top w:val="single" w:sz="8" w:color="0000EE"/>
            </w:tcBorders>
            <w:gridSpan w:val="18"/>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Statements of Operations for the three-month periods ended</w:t>
              </w:r>
            </w:hyperlink>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March 31, 2010 and 2009</w:t>
              </w:r>
            </w:hyperlink>
          </w:p>
        </w:tc>
        <w:tc>
          <w:tcPr>
            <w:tcW w:w="4880" w:type="dxa"/>
            <w:vAlign w:val="bottom"/>
            <w:tcBorders>
              <w:top w:val="single" w:sz="8" w:color="0000EE"/>
            </w:tcBorders>
            <w:gridSpan w:val="6"/>
          </w:tcPr>
          <w:p>
            <w:pPr>
              <w:spacing w:after="0"/>
              <w:rPr>
                <w:sz w:val="17"/>
                <w:szCs w:val="17"/>
                <w:color w:val="auto"/>
              </w:rPr>
            </w:pPr>
          </w:p>
        </w:tc>
        <w:tc>
          <w:tcPr>
            <w:tcW w:w="980" w:type="dxa"/>
            <w:vAlign w:val="bottom"/>
            <w:gridSpan w:val="3"/>
          </w:tcPr>
          <w:p>
            <w:pPr>
              <w:spacing w:after="0"/>
              <w:rPr>
                <w:sz w:val="17"/>
                <w:szCs w:val="17"/>
                <w:color w:val="auto"/>
              </w:rPr>
            </w:pPr>
          </w:p>
        </w:tc>
        <w:tc>
          <w:tcPr>
            <w:tcW w:w="276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Cash Flows for the three-month periods ended</w:t>
              </w:r>
            </w:hyperlink>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31, 2010 and 2009</w:t>
              </w:r>
            </w:hyperlink>
          </w:p>
        </w:tc>
        <w:tc>
          <w:tcPr>
            <w:tcW w:w="4940" w:type="dxa"/>
            <w:vAlign w:val="bottom"/>
            <w:tcBorders>
              <w:top w:val="single" w:sz="8" w:color="0000EE"/>
            </w:tcBorders>
            <w:gridSpan w:val="7"/>
          </w:tcPr>
          <w:p>
            <w:pPr>
              <w:spacing w:after="0"/>
              <w:rPr>
                <w:sz w:val="17"/>
                <w:szCs w:val="17"/>
                <w:color w:val="auto"/>
              </w:rPr>
            </w:pPr>
          </w:p>
        </w:tc>
        <w:tc>
          <w:tcPr>
            <w:tcW w:w="920" w:type="dxa"/>
            <w:vAlign w:val="bottom"/>
            <w:gridSpan w:val="2"/>
          </w:tcPr>
          <w:p>
            <w:pPr>
              <w:spacing w:after="0"/>
              <w:rPr>
                <w:sz w:val="17"/>
                <w:szCs w:val="17"/>
                <w:color w:val="auto"/>
              </w:rPr>
            </w:pPr>
          </w:p>
        </w:tc>
        <w:tc>
          <w:tcPr>
            <w:tcW w:w="276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Unaudited Condensed Consolidated Financial Statements</w:t>
              </w:r>
            </w:hyperlink>
          </w:p>
        </w:tc>
        <w:tc>
          <w:tcPr>
            <w:tcW w:w="2860" w:type="dxa"/>
            <w:vAlign w:val="bottom"/>
            <w:gridSpan w:val="5"/>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2.</w:t>
              </w:r>
            </w:hyperlink>
          </w:p>
        </w:tc>
        <w:tc>
          <w:tcPr>
            <w:tcW w:w="7600" w:type="dxa"/>
            <w:vAlign w:val="bottom"/>
            <w:gridSpan w:val="17"/>
          </w:tcPr>
          <w:p>
            <w:pPr>
              <w:ind w:left="40"/>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Item 4T. Controls and Procedures</w:t>
              </w:r>
            </w:hyperlink>
          </w:p>
        </w:tc>
        <w:tc>
          <w:tcPr>
            <w:tcW w:w="4580" w:type="dxa"/>
            <w:vAlign w:val="bottom"/>
            <w:tcBorders>
              <w:top w:val="single" w:sz="8" w:color="0000EE"/>
            </w:tcBorders>
            <w:gridSpan w:val="4"/>
          </w:tcPr>
          <w:p>
            <w:pPr>
              <w:spacing w:after="0"/>
              <w:rPr>
                <w:sz w:val="24"/>
                <w:szCs w:val="24"/>
                <w:color w:val="auto"/>
              </w:rPr>
            </w:pPr>
          </w:p>
        </w:tc>
        <w:tc>
          <w:tcPr>
            <w:tcW w:w="1120" w:type="dxa"/>
            <w:vAlign w:val="bottom"/>
            <w:gridSpan w:val="4"/>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8660" w:type="dxa"/>
            <w:vAlign w:val="bottom"/>
            <w:gridSpan w:val="23"/>
          </w:tcPr>
          <w:p>
            <w:pPr>
              <w:ind w:left="340"/>
              <w:spacing w:after="0"/>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1.</w:t>
              </w:r>
            </w:hyperlink>
          </w:p>
        </w:tc>
        <w:tc>
          <w:tcPr>
            <w:tcW w:w="1660" w:type="dxa"/>
            <w:vAlign w:val="bottom"/>
            <w:tcBorders>
              <w:top w:val="single" w:sz="8" w:color="0000EE"/>
            </w:tcBorders>
            <w:gridSpan w:val="7"/>
          </w:tcPr>
          <w:p>
            <w:pPr>
              <w:ind w:left="40"/>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5940" w:type="dxa"/>
            <w:vAlign w:val="bottom"/>
            <w:gridSpan w:val="10"/>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1A. Risk Factors</w:t>
              </w:r>
            </w:hyperlink>
          </w:p>
        </w:tc>
        <w:tc>
          <w:tcPr>
            <w:tcW w:w="6240" w:type="dxa"/>
            <w:vAlign w:val="bottom"/>
            <w:gridSpan w:val="12"/>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4380" w:type="dxa"/>
            <w:vAlign w:val="bottom"/>
            <w:tcBorders>
              <w:bottom w:val="single" w:sz="8" w:color="0000EE"/>
            </w:tcBorders>
            <w:gridSpan w:val="11"/>
          </w:tcPr>
          <w:p>
            <w:pPr>
              <w:ind w:left="4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3220" w:type="dxa"/>
            <w:vAlign w:val="bottom"/>
            <w:gridSpan w:val="6"/>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640" w:type="dxa"/>
            <w:vAlign w:val="bottom"/>
            <w:tcBorders>
              <w:bottom w:val="single" w:sz="8" w:color="0000EE"/>
            </w:tcBorders>
            <w:gridSpan w:val="3"/>
          </w:tcPr>
          <w:p>
            <w:pPr>
              <w:ind w:left="40"/>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6960" w:type="dxa"/>
            <w:vAlign w:val="bottom"/>
            <w:gridSpan w:val="14"/>
          </w:tcPr>
          <w:p>
            <w:pPr>
              <w:spacing w:after="0"/>
              <w:rPr>
                <w:sz w:val="24"/>
                <w:szCs w:val="24"/>
                <w:color w:val="auto"/>
              </w:rPr>
            </w:pPr>
          </w:p>
        </w:tc>
        <w:tc>
          <w:tcPr>
            <w:tcW w:w="2760" w:type="dxa"/>
            <w:vAlign w:val="bottom"/>
            <w:gridSpan w:val="2"/>
          </w:tcPr>
          <w:p>
            <w:pPr>
              <w:jc w:val="right"/>
              <w:ind w:right="18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Exhibit 31.1</w:t>
              </w:r>
            </w:hyperlink>
          </w:p>
        </w:tc>
        <w:tc>
          <w:tcPr>
            <w:tcW w:w="740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8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Exhibit 32.1</w:t>
              </w:r>
            </w:hyperlink>
          </w:p>
        </w:tc>
        <w:tc>
          <w:tcPr>
            <w:tcW w:w="9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0" w:type="dxa"/>
            <w:vAlign w:val="bottom"/>
            <w:gridSpan w:val="10"/>
          </w:tcPr>
          <w:p>
            <w:pPr>
              <w:jc w:val="right"/>
              <w:ind w:right="40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March 31,</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8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951,882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1,589,773</w:t>
            </w:r>
          </w:p>
        </w:tc>
        <w:tc>
          <w:tcPr>
            <w:tcW w:w="0" w:type="dxa"/>
            <w:vAlign w:val="bottom"/>
          </w:tcPr>
          <w:p>
            <w:pPr>
              <w:spacing w:after="0"/>
              <w:rPr>
                <w:sz w:val="1"/>
                <w:szCs w:val="1"/>
                <w:color w:val="auto"/>
              </w:rPr>
            </w:pPr>
          </w:p>
        </w:tc>
      </w:tr>
      <w:tr>
        <w:trPr>
          <w:trHeight w:val="216"/>
        </w:trPr>
        <w:tc>
          <w:tcPr>
            <w:tcW w:w="68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65,099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80,917</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1,016,981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1,670,690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Equipment, net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1,018,111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1,672,084</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559,797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681,014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Phase 3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255,259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343,633</w:t>
            </w:r>
          </w:p>
        </w:tc>
        <w:tc>
          <w:tcPr>
            <w:tcW w:w="0" w:type="dxa"/>
            <w:vAlign w:val="bottom"/>
          </w:tcPr>
          <w:p>
            <w:pPr>
              <w:spacing w:after="0"/>
              <w:rPr>
                <w:sz w:val="1"/>
                <w:szCs w:val="1"/>
                <w:color w:val="auto"/>
              </w:rPr>
            </w:pPr>
          </w:p>
        </w:tc>
      </w:tr>
      <w:tr>
        <w:trPr>
          <w:trHeight w:val="216"/>
        </w:trPr>
        <w:tc>
          <w:tcPr>
            <w:tcW w:w="6880" w:type="dxa"/>
            <w:vAlign w:val="bottom"/>
          </w:tcPr>
          <w:p>
            <w:pPr>
              <w:ind w:left="200"/>
              <w:spacing w:after="0"/>
              <w:rPr>
                <w:sz w:val="20"/>
                <w:szCs w:val="20"/>
                <w:color w:val="auto"/>
              </w:rPr>
            </w:pPr>
            <w:r>
              <w:rPr>
                <w:rFonts w:ascii="Arial" w:cs="Arial" w:eastAsia="Arial" w:hAnsi="Arial"/>
                <w:sz w:val="18"/>
                <w:szCs w:val="18"/>
                <w:color w:val="auto"/>
              </w:rPr>
              <w:t>Accrued separation expenses</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211,046</w:t>
            </w: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payroll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70,226</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8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1,053,912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1,094,873</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Preferred stock, $0.001 par value; 5,000,000 shares authorized, none outstanding</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$0.001 par value; 50,000,000 shares authorized, 15,652,061 shares issued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outstanding as of March 31, 2010 (unaudited) and December 31, 2009</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15,652</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15,652</w:t>
            </w:r>
          </w:p>
        </w:tc>
        <w:tc>
          <w:tcPr>
            <w:tcW w:w="0" w:type="dxa"/>
            <w:vAlign w:val="bottom"/>
          </w:tcPr>
          <w:p>
            <w:pPr>
              <w:spacing w:after="0"/>
              <w:rPr>
                <w:sz w:val="1"/>
                <w:szCs w:val="1"/>
                <w:color w:val="auto"/>
              </w:rPr>
            </w:pPr>
          </w:p>
        </w:tc>
      </w:tr>
      <w:tr>
        <w:trPr>
          <w:trHeight w:val="432"/>
        </w:trPr>
        <w:tc>
          <w:tcPr>
            <w:tcW w:w="68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15,754,728</w:t>
            </w:r>
          </w:p>
        </w:tc>
        <w:tc>
          <w:tcPr>
            <w:tcW w:w="1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15,497,128</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(15,806,181)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(14,935,569)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8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(35,801)</w:t>
            </w:r>
          </w:p>
        </w:tc>
        <w:tc>
          <w:tcPr>
            <w:tcW w:w="1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577,211</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(deficit)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1,018,111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1,672,084</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40" w:type="dxa"/>
            <w:vAlign w:val="bottom"/>
            <w:gridSpan w:val="5"/>
          </w:tcPr>
          <w:p>
            <w:pPr>
              <w:jc w:val="center"/>
              <w:ind w:left="1250"/>
              <w:spacing w:after="0"/>
              <w:rPr>
                <w:sz w:val="20"/>
                <w:szCs w:val="20"/>
                <w:color w:val="auto"/>
              </w:rPr>
            </w:pPr>
            <w:r>
              <w:rPr>
                <w:rFonts w:ascii="Arial" w:cs="Arial" w:eastAsia="Arial" w:hAnsi="Arial"/>
                <w:sz w:val="18"/>
                <w:szCs w:val="18"/>
                <w:b w:val="1"/>
                <w:bCs w:val="1"/>
                <w:color w:val="auto"/>
              </w:rPr>
              <w:t>TRANSDEL PHARMACEUTICALS, INC.</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6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w w:val="90"/>
              </w:rPr>
              <w:t>(A Development Stage Company)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9"/>
              </w:rPr>
              <w:t>UNAUDITED CONDENSED CONSOLIDATED STATEMENTS OF OPERATIONS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Period From</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July 24, 1998</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Through</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106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March 31,</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755,587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481,474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7,193,268</w:t>
            </w: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115,158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1,146,551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7,629,274</w:t>
            </w:r>
          </w:p>
        </w:tc>
      </w:tr>
      <w:tr>
        <w:trPr>
          <w:trHeight w:val="223"/>
        </w:trPr>
        <w:tc>
          <w:tcPr>
            <w:tcW w:w="34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870,745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1,628,025</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14,822,542</w:t>
            </w:r>
          </w:p>
        </w:tc>
        <w:tc>
          <w:tcPr>
            <w:tcW w:w="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(1,575,755)</w:t>
            </w: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6,789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127,202</w:t>
            </w:r>
          </w:p>
        </w:tc>
      </w:tr>
      <w:tr>
        <w:trPr>
          <w:trHeight w:val="216"/>
        </w:trPr>
        <w:tc>
          <w:tcPr>
            <w:tcW w:w="34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Gain on forgiveness of liabilities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89,914</w:t>
            </w: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settlement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375,000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3360" w:type="dxa"/>
            <w:vAlign w:val="bottom"/>
            <w:gridSpan w:val="2"/>
          </w:tcPr>
          <w:p>
            <w:pPr>
              <w:ind w:left="200"/>
              <w:spacing w:after="0"/>
              <w:rPr>
                <w:sz w:val="20"/>
                <w:szCs w:val="20"/>
                <w:color w:val="auto"/>
              </w:rPr>
            </w:pPr>
            <w:r>
              <w:rPr>
                <w:rFonts w:ascii="Arial" w:cs="Arial" w:eastAsia="Arial" w:hAnsi="Arial"/>
                <w:sz w:val="18"/>
                <w:szCs w:val="18"/>
                <w:color w:val="auto"/>
              </w:rPr>
              <w:t>Total other income (expense), net</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6,789</w:t>
            </w:r>
          </w:p>
        </w:tc>
        <w:tc>
          <w:tcPr>
            <w:tcW w:w="1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(983,639)</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(870,612)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(1,621,236)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(15,806,181)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Basic and diluted loss per common share</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Weighted average common shares outstanding</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15,652,061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15,564,676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6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700" w:type="dxa"/>
            <w:vAlign w:val="bottom"/>
            <w:gridSpan w:val="4"/>
          </w:tcPr>
          <w:p>
            <w:pPr>
              <w:jc w:val="center"/>
              <w:ind w:left="1490"/>
              <w:spacing w:after="0"/>
              <w:rPr>
                <w:sz w:val="20"/>
                <w:szCs w:val="20"/>
                <w:color w:val="auto"/>
              </w:rPr>
            </w:pPr>
            <w:r>
              <w:rPr>
                <w:rFonts w:ascii="Arial" w:cs="Arial" w:eastAsia="Arial" w:hAnsi="Arial"/>
                <w:sz w:val="18"/>
                <w:szCs w:val="18"/>
                <w:b w:val="1"/>
                <w:bCs w:val="1"/>
                <w:color w:val="auto"/>
              </w:rPr>
              <w:t>TRANSDEL PHARMACEUTICALS, INC.</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00" w:type="dxa"/>
            <w:vAlign w:val="bottom"/>
            <w:gridSpan w:val="4"/>
          </w:tcPr>
          <w:p>
            <w:pPr>
              <w:jc w:val="center"/>
              <w:ind w:left="1490"/>
              <w:spacing w:after="0"/>
              <w:rPr>
                <w:sz w:val="20"/>
                <w:szCs w:val="20"/>
                <w:color w:val="auto"/>
              </w:rPr>
            </w:pPr>
            <w:r>
              <w:rPr>
                <w:rFonts w:ascii="Arial" w:cs="Arial" w:eastAsia="Arial" w:hAnsi="Arial"/>
                <w:sz w:val="18"/>
                <w:szCs w:val="18"/>
                <w:b w:val="1"/>
                <w:bCs w:val="1"/>
                <w:color w:val="auto"/>
                <w:w w:val="90"/>
              </w:rPr>
              <w:t>(A Development Stage Company)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40" w:type="dxa"/>
            <w:vAlign w:val="bottom"/>
            <w:gridSpan w:val="7"/>
          </w:tcPr>
          <w:p>
            <w:pPr>
              <w:jc w:val="center"/>
              <w:ind w:left="150"/>
              <w:spacing w:after="0"/>
              <w:rPr>
                <w:sz w:val="20"/>
                <w:szCs w:val="20"/>
                <w:color w:val="auto"/>
              </w:rPr>
            </w:pPr>
            <w:r>
              <w:rPr>
                <w:rFonts w:ascii="Arial" w:cs="Arial" w:eastAsia="Arial" w:hAnsi="Arial"/>
                <w:sz w:val="18"/>
                <w:szCs w:val="18"/>
                <w:b w:val="1"/>
                <w:bCs w:val="1"/>
                <w:color w:val="auto"/>
                <w:w w:val="99"/>
              </w:rPr>
              <w:t>UNAUDITED CONDENSED CONSOLIDATED STATEMENTS OF CASH FLOWS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7"/>
              </w:rPr>
              <w:t>For The Period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From July 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1998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7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Three Months Ended March 31,</w:t>
            </w:r>
          </w:p>
        </w:tc>
        <w:tc>
          <w:tcPr>
            <w:tcW w:w="14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Through</w:t>
            </w: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740" w:type="dxa"/>
            <w:vAlign w:val="bottom"/>
            <w:gridSpan w:val="6"/>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(870,612)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(1,621,236)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(15,806,181)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3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to reconcile net loss to net cash used in operating</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Estimated fair value of contributed services</w:t>
            </w: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2,475,000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forgiveness of liabilities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Amortization of prepaid consulting fees</w:t>
            </w: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28,939</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572,008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Non-cash interest on notes payable</w:t>
            </w: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1,575,755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257,600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159,118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1,514,068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Prepaid consulting costs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15,818</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34,064</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(65,099)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(121,217)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224,470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649,711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rPr>
              <w:t>Accrued Phase 3 expenses</w:t>
            </w:r>
          </w:p>
        </w:tc>
        <w:tc>
          <w:tcPr>
            <w:tcW w:w="1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(88,374)</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275,456</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255,259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Accrued separation expenses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211,046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211,046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600"/>
              <w:spacing w:after="0"/>
              <w:rPr>
                <w:sz w:val="20"/>
                <w:szCs w:val="20"/>
                <w:color w:val="auto"/>
              </w:rPr>
            </w:pPr>
            <w:r>
              <w:rPr>
                <w:rFonts w:ascii="Arial" w:cs="Arial" w:eastAsia="Arial" w:hAnsi="Arial"/>
                <w:sz w:val="18"/>
                <w:szCs w:val="18"/>
                <w:color w:val="auto"/>
              </w:rPr>
              <w:t>Accrued expenses and payroll liabilities</w:t>
            </w:r>
          </w:p>
        </w:tc>
        <w:tc>
          <w:tcPr>
            <w:tcW w:w="1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(42,416)</w:t>
            </w:r>
          </w:p>
        </w:tc>
        <w:tc>
          <w:tcPr>
            <w:tcW w:w="1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(18,756)</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27,810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(637,891)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(917,681)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(8,818,513)</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fixed assets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Proceeds from notes payable to stockholders</w:t>
            </w: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226,300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notes payable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Capital contributions</w:t>
            </w: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168,707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3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Net proceeds from purchase of common stock and exercise of</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warrants and stock options</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Net proceeds from Private Placements</w:t>
            </w: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7,779,092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9,773,549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(637,891)</w:t>
            </w:r>
          </w:p>
        </w:tc>
        <w:tc>
          <w:tcPr>
            <w:tcW w:w="16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(917,681)</w:t>
            </w:r>
          </w:p>
        </w:tc>
        <w:tc>
          <w:tcPr>
            <w:tcW w:w="14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951,882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1,589,773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5,111,031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951,882</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4,193,350</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951,882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320" w:type="dxa"/>
            <w:vAlign w:val="bottom"/>
            <w:gridSpan w:val="2"/>
          </w:tcPr>
          <w:p>
            <w:pPr>
              <w:spacing w:after="0" w:line="201" w:lineRule="exact"/>
              <w:rPr>
                <w:sz w:val="20"/>
                <w:szCs w:val="20"/>
                <w:color w:val="auto"/>
              </w:rPr>
            </w:pPr>
            <w:r>
              <w:rPr>
                <w:rFonts w:ascii="Arial" w:cs="Arial" w:eastAsia="Arial" w:hAnsi="Arial"/>
                <w:sz w:val="18"/>
                <w:szCs w:val="18"/>
                <w:color w:val="auto"/>
              </w:rPr>
              <w:t>Issuance of and adjustment to common stock and warrants to</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consulting firms for prepaid consulting fees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432,007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Conversion of notes payable and accrued interest into common stock</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1,530,177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w w:val="99"/>
              </w:rPr>
              <w:t>Forgiveness of notes payable and accrued interest to shareholders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32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advances to notes payable to shareholders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Business Description</w:t>
      </w:r>
    </w:p>
    <w:p>
      <w:pPr>
        <w:spacing w:after="0" w:line="189"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Transdel Pharmaceuticals, Inc. (“Transdel” or “Company”) is a specialty pharmaceutical company developing non-invasive, topically delivered products. The Company’s innovative patented Transdel™ cream formulation technology is designed to facilitate the effective penetration of a variety of products through the tough skin barrier. Ketotransdel</w:t>
      </w:r>
      <w:r>
        <w:rPr>
          <w:rFonts w:ascii="Arial" w:cs="Arial" w:eastAsia="Arial" w:hAnsi="Arial"/>
          <w:sz w:val="14"/>
          <w:szCs w:val="14"/>
          <w:color w:val="auto"/>
        </w:rPr>
        <w:t>®</w:t>
      </w:r>
      <w:r>
        <w:rPr>
          <w:rFonts w:ascii="Arial" w:cs="Arial" w:eastAsia="Arial" w:hAnsi="Arial"/>
          <w:sz w:val="17"/>
          <w:szCs w:val="17"/>
          <w:color w:val="auto"/>
        </w:rPr>
        <w:t>, the Company’s lead pain product, utilizes the Transdel™ platform technology to deliver the active drug, ketoprofen, a non-steroidal anti-inflammatory drug (“NSAID”), through the skin directly into the underlying tissues where the drug exerts its well-known anti-inflammatory and analgesic effects. The Company intends to leverage its Transdel™ platform technology to expand and create a portfolio of topical products for a variety of indications.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Basis of Presentation</w:t>
      </w:r>
    </w:p>
    <w:p>
      <w:pPr>
        <w:spacing w:after="0" w:line="202"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6"/>
          <w:szCs w:val="16"/>
          <w:color w:val="auto"/>
        </w:rPr>
        <w:t>The Company has prepared the accompanying condensed consolidated financial statements in accordance with United States generally accepted accounting principles (“GAAP”) for interim financial information and with the rules and regulations of the Securities and Exchange Commission (the “SEC”) related to a Quarterly Report on Form 10-Q and Article 8 of Regulation S-X. Accordingly, they do not include all of the information and disclosures required by GAAP for annual financial statements. The condensed consolidated financial statements include the accounts of Transdel and its wholly owned subsidiary, Transdel Pharmaceuticals Holdings, Inc. (formerly known as Trans-Pharma Corporation). All significant intercompany balances and transactions have been eliminated in consolidation. In the opinion of the Company’s management, the accompanying condensed consolidated financial statements contain all the adjustments necessary (consisting only of normal recurring accruals) to make the financial position of the Company as of March 31, 2010, the results of operations for three months ended March 31, 2010 and 2009, and cash flows for the three months ended March 31, 2010 and 2009, fairly stated. We have evaluated subsequent events through the filing date of this Form 10-Q and determined that no subsequent events have occurred that would require recognition in the condensed consolidated financial statements or disclosure in the notes thereto other than as disclosed in the accompanying notes. The condensed consolidated financial statements should be read in conjunction with the audited consolidated financial statements for the year ended December 31, 2009 contained in Form 10-K filed on March 31, 2010 with the SEC. Interim operating results are not necessarily indicative of operating results for the full year.</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Merger with Public Company and Reorganization</w:t>
      </w:r>
    </w:p>
    <w:p>
      <w:pPr>
        <w:spacing w:after="0" w:line="189"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(the “Merger”), Acquisition Sub merged with and into Transdel Holdings, and Transdel Holdings, as the surviving corporation, became a wholly-owned subsidiary of Transdel.</w:t>
      </w:r>
    </w:p>
    <w:p>
      <w:pPr>
        <w:spacing w:after="0" w:line="13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connection with the merger, 1,849,993 of Transdel common shares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w:t>
      </w:r>
    </w:p>
    <w:p>
      <w:pPr>
        <w:spacing w:after="0" w:line="14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Effective on September 17, 2007, and for all reporting periods thereafter, Transdel’s operating activities, including any prior comparative period, will include only those of Transdel Holdings. All references to shares and per share amounts in the accompanying condensed consolidated financial statements and footnotes have been restated to reflect the aforementioned share exchange.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Summary of Significant Accounting Policies</w:t>
      </w:r>
    </w:p>
    <w:p>
      <w:pPr>
        <w:spacing w:after="0" w:line="202"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i w:val="1"/>
          <w:iCs w:val="1"/>
          <w:color w:val="auto"/>
        </w:rPr>
        <w:t>Going Concern</w:t>
      </w:r>
      <w:r>
        <w:rPr>
          <w:rFonts w:ascii="Arial" w:cs="Arial" w:eastAsia="Arial" w:hAnsi="Arial"/>
          <w:sz w:val="17"/>
          <w:szCs w:val="17"/>
          <w:color w:val="auto"/>
        </w:rPr>
        <w:t>. The accompanying condensed consolidated financial statements have been prepared on a going-concern basis,</w:t>
      </w:r>
      <w:r>
        <w:rPr>
          <w:rFonts w:ascii="Arial" w:cs="Arial" w:eastAsia="Arial" w:hAnsi="Arial"/>
          <w:sz w:val="17"/>
          <w:szCs w:val="17"/>
          <w:i w:val="1"/>
          <w:iCs w:val="1"/>
          <w:color w:val="auto"/>
        </w:rPr>
        <w:t xml:space="preserve"> </w:t>
      </w:r>
      <w:r>
        <w:rPr>
          <w:rFonts w:ascii="Arial" w:cs="Arial" w:eastAsia="Arial" w:hAnsi="Arial"/>
          <w:sz w:val="17"/>
          <w:szCs w:val="17"/>
          <w:color w:val="auto"/>
        </w:rPr>
        <w:t>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$15.8 million at March 31, 2010. These factors raise substantial doubt about the Company’s ability to continue as a going concern.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Summary of Significant Accounting Policies (continued)</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Company’s continuation as a going concern is dependent on its ability to obtain additional financing to fund operations, implement its business model, and ultimately, to attain profitable operations.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spacing w:after="0" w:line="14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spacing w:after="0" w:line="154"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i w:val="1"/>
          <w:iCs w:val="1"/>
          <w:color w:val="auto"/>
        </w:rPr>
        <w:t xml:space="preserve">Development Stage Enterprise. </w:t>
      </w:r>
      <w:r>
        <w:rPr>
          <w:rFonts w:ascii="Arial" w:cs="Arial" w:eastAsia="Arial" w:hAnsi="Arial"/>
          <w:sz w:val="18"/>
          <w:szCs w:val="18"/>
          <w:color w:val="auto"/>
        </w:rPr>
        <w:t>The Company is devoting substantially all of its present efforts to establishing a new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planned principal operations have not yet commenced. All losses accumulated since inception have been considered as part of the Company’s development stage activities.</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accompanying condensed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2010.</w:t>
      </w:r>
    </w:p>
    <w:p>
      <w:pPr>
        <w:spacing w:after="0" w:line="141" w:lineRule="exact"/>
        <w:rPr>
          <w:sz w:val="20"/>
          <w:szCs w:val="20"/>
          <w:color w:val="auto"/>
        </w:rPr>
      </w:pPr>
    </w:p>
    <w:p>
      <w:pPr>
        <w:jc w:val="both"/>
        <w:ind w:left="340" w:right="559"/>
        <w:spacing w:after="0" w:line="287" w:lineRule="auto"/>
        <w:rPr>
          <w:sz w:val="20"/>
          <w:szCs w:val="20"/>
          <w:color w:val="auto"/>
        </w:rPr>
      </w:pPr>
      <w:r>
        <w:rPr>
          <w:rFonts w:ascii="Arial" w:cs="Arial" w:eastAsia="Arial" w:hAnsi="Arial"/>
          <w:sz w:val="16"/>
          <w:szCs w:val="16"/>
          <w:color w:val="auto"/>
        </w:rPr>
        <w:t>In order to execute the second Phase 3 clinical trial and other supportive safety studies for Ketotransdel</w:t>
      </w:r>
      <w:r>
        <w:rPr>
          <w:rFonts w:ascii="Arial" w:cs="Arial" w:eastAsia="Arial" w:hAnsi="Arial"/>
          <w:sz w:val="13"/>
          <w:szCs w:val="13"/>
          <w:color w:val="auto"/>
        </w:rPr>
        <w:t>®</w:t>
      </w:r>
      <w:r>
        <w:rPr>
          <w:rFonts w:ascii="Arial" w:cs="Arial" w:eastAsia="Arial" w:hAnsi="Arial"/>
          <w:sz w:val="16"/>
          <w:szCs w:val="16"/>
          <w:color w:val="auto"/>
        </w:rPr>
        <w:t>, which are required by the U.S. Food and Drug Administration (“FDA”) to obtain final regulatory approval for Ketotransdel</w:t>
      </w:r>
      <w:r>
        <w:rPr>
          <w:rFonts w:ascii="Arial" w:cs="Arial" w:eastAsia="Arial" w:hAnsi="Arial"/>
          <w:sz w:val="13"/>
          <w:szCs w:val="13"/>
          <w:color w:val="auto"/>
        </w:rPr>
        <w:t>®</w:t>
      </w:r>
      <w:r>
        <w:rPr>
          <w:rFonts w:ascii="Arial" w:cs="Arial" w:eastAsia="Arial" w:hAnsi="Arial"/>
          <w:sz w:val="16"/>
          <w:szCs w:val="16"/>
          <w:color w:val="auto"/>
        </w:rPr>
        <w:t>, the Company will need to secure additional funds through various means, including equity and debt financing, funding from a corporate partnership or licensing arrangement or any similar financing. On April 5, 2010, the Company received gross proceeds of $1 million from the issuance of a 2-year senior convertible note (see Note 9), however,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costs are charged to expense and accordingly accrued when incurred.</w:t>
      </w:r>
    </w:p>
    <w:p>
      <w:pPr>
        <w:spacing w:after="0" w:line="20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Cash equivalents consist of highly liquid investments with maturities of three months or less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original purchase date.</w:t>
      </w:r>
    </w:p>
    <w:p>
      <w:pPr>
        <w:spacing w:after="0" w:line="130"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i w:val="1"/>
          <w:iCs w:val="1"/>
          <w:color w:val="auto"/>
        </w:rPr>
        <w:t xml:space="preserve">Concentrations of Credit Risk. </w:t>
      </w:r>
      <w:r>
        <w:rPr>
          <w:rFonts w:ascii="Arial" w:cs="Arial" w:eastAsia="Arial" w:hAnsi="Arial"/>
          <w:sz w:val="18"/>
          <w:szCs w:val="18"/>
          <w:color w:val="auto"/>
        </w:rPr>
        <w:t>Financial instruments that potentially subject the Company to significant concentration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risk consist primarily of cash and cash equivalents. The Company invests its excess cash balances (approximately $500,000 as of March 31, 2010) in a combination of government issued and government backed securities. The remaining amount of cash is held in an operating account and in the form of multiple short term certificates of deposit, all of which (except for $100,000 of the operating account) are insured by the Federal Deposit Insurance Corporation (“FDIC”) as they are individually under the insured maximum of $250,000.</w:t>
      </w:r>
    </w:p>
    <w:p>
      <w:pPr>
        <w:spacing w:after="0" w:line="166"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 xml:space="preserve">Computer Equipment. </w:t>
      </w:r>
      <w:r>
        <w:rPr>
          <w:rFonts w:ascii="Arial" w:cs="Arial" w:eastAsia="Arial" w:hAnsi="Arial"/>
          <w:sz w:val="18"/>
          <w:szCs w:val="18"/>
          <w:color w:val="auto"/>
        </w:rPr>
        <w:t>Computer equipment is stated at cost less accumulated depreciation. Depreciation is calculated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method over the estimated useful life of three years.</w:t>
      </w:r>
    </w:p>
    <w:p>
      <w:pPr>
        <w:spacing w:after="0" w:line="13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The fair values of the Company’s cash and cash equivalents, accounts payable and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approximate carrying values due to their short maturities.</w:t>
      </w:r>
    </w:p>
    <w:p>
      <w:pPr>
        <w:spacing w:after="0" w:line="130"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Company will recognize revenues when four basic criteria are met: (1) persuasive evidence of an</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Summary of Significant Accounting Policies (continued)</w:t>
      </w:r>
    </w:p>
    <w:p>
      <w:pPr>
        <w:spacing w:after="0" w:line="189"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As of March 31, 2010, the Company had not generated any revenues and the Company does not anticipate that it will generate any revenues until one or more of its drug candidates are approved by the FDA or until the Company is able to commercialize one or more of its cosmetic products. Also, effective sales and marketing support must be in place in order for either the drug candidates or the cosmetic products to generate any revenues. The FDA approval process is highly uncertain and at this time the Company cannot estimate when it will generate revenues from sales of its products.</w:t>
      </w:r>
    </w:p>
    <w:p>
      <w:pPr>
        <w:spacing w:after="0" w:line="13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All share-based payments to employees, including grants of stock options to employees,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consultants and restricted stock grants, are recognized in the financial statements based upon their fair values. The Company recorded total stock-based compensation for employees, directors and consultants of $257,600, $159,118 and $1,514,068 for the three months ended March 31, 2010 and 2009 and the period from Inception through March 31, 2010, respectively, for options and restricted stock granted and vested which is included in selling, general and administrative expenses and research and development expenses in the amount of $224,063 and $33,537, $156,199 and $2,919, and $1,004,217 and $509,851, respectively.</w:t>
      </w:r>
    </w:p>
    <w:p>
      <w:pPr>
        <w:spacing w:after="0" w:line="162"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The value of equity instruments issued to consultants and vendors in exchange for goods and services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w:t>
      </w:r>
    </w:p>
    <w:p>
      <w:pPr>
        <w:spacing w:after="0" w:line="12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i w:val="1"/>
          <w:iCs w:val="1"/>
          <w:color w:val="auto"/>
        </w:rPr>
        <w:t>Basic and Diluted Loss per Common Share</w:t>
      </w:r>
      <w:r>
        <w:rPr>
          <w:rFonts w:ascii="Arial" w:cs="Arial" w:eastAsia="Arial" w:hAnsi="Arial"/>
          <w:sz w:val="18"/>
          <w:szCs w:val="18"/>
          <w:color w:val="auto"/>
        </w:rPr>
        <w:t>. Basic net loss per common share is computed by dividing net loss for the period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number of common shares outstanding during the period. Diluted net loss per share is computed by dividing the net loss for the period by the weighted average number of common and common equivalent shares, such as stock options and warrants outstanding during the period.</w:t>
      </w:r>
    </w:p>
    <w:p>
      <w:pPr>
        <w:spacing w:after="0" w:line="146"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Basic and diluted net loss applicable to common stock per share is computed using the weighted average number of common shares outstanding during the period. Common stock equivalents (prior to application of the treasury stock, if converted method) from stock options and warrants were 2,707,730 and 1,837,730 for the three months ended March 31, 2010 and 2009, respectively, are excluded from the calculation of diluted net loss per share for all periods presented because the effect is anti-dilutive. If the Company reported net income for these periods, no common stock equivalents would have been included in the number of shares used to calculate diluted earnings per share in each of the three months ended March 31, 2010 and 2009, respectively.</w:t>
      </w:r>
    </w:p>
    <w:p>
      <w:pPr>
        <w:spacing w:after="0" w:line="162"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Stockholders’ Equity</w:t>
      </w:r>
    </w:p>
    <w:p>
      <w:pPr>
        <w:spacing w:after="0" w:line="189"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On October 27, 2008, the Company entered into an agreement with an investor relations firm (“IR Firm”), pursuant to which the IR Firm would provide certain investor relations and public relations services to the Company for a period of one year, beginning on November 1, 2008. In exchange for such services, the Company issued the 82,568 registered shares of its common stock, of which 68,667 shares were nonforfeitable (valued at $85,834 and recorded as prepaid consulting fees upon issuance) and 13,901 shares were forfeitable, to the IR Firm as a prepayment of services to be received. The Company terminated the agreement with the IR Firm effective March 31, 2009. Therefore, during the first quarter of 2009, the Company amortized the remaining portion of the nonforfeitable shares of $28,612 (previously issued and recorded as prepaid consulting fees) and recognized the issuance of the 13,901 forfeitable shares in addition to the issuance of 31,877 (for an aggregate of 45,778) shares of the Company’s common stock for services provided by the IR Firm. The fair market value of the shares issued during the first quarter of 2009 was $50,356, which was included in selling, general and administrative expenses in the accompanying statement of operations and is included in the expenses disclosed in Note 4.</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Stockholders’ Equity (continued)</w:t>
      </w:r>
    </w:p>
    <w:p>
      <w:pPr>
        <w:spacing w:after="0" w:line="189"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On April 24, 2008, the Company entered into a one-year consulting agreement with a firm to provide the Company with financial advisory services. As compensation for the services, the Company issued a three-year warrant to purchase 5,000 shares of the Company’s common stock at a cash and cashless price of $2.00 per share. The fair value of the warrant, determined based on the Black-Scholes pricing model, was valued at $1,310, which was amortized over the one-year term ending in April 2009. For the three months ended March 31, 2009, $327 was amortized and included in selling, general and administrative expenses in the accompanying condensed consolidated statement of operations</w:t>
      </w:r>
    </w:p>
    <w:p>
      <w:pPr>
        <w:spacing w:after="0" w:line="13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For the three months ended March 31, 2009 and for the period from Inception through March 31, 2010, the Company amortized $28,939 and $572,008, respectively, of prepaid consulting fees which is included as part of selling, general and administrative expenses.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Stock Option Plan</w:t>
      </w:r>
    </w:p>
    <w:p>
      <w:pPr>
        <w:spacing w:after="0" w:line="189"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Plan for the three months ended March 31, 2010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Weighted</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Ave.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Ave.</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of Shares</w:t>
            </w:r>
          </w:p>
        </w:tc>
        <w:tc>
          <w:tcPr>
            <w:tcW w:w="38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 January 1, 2010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0.90</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400" w:type="dxa"/>
            <w:vAlign w:val="bottom"/>
          </w:tcPr>
          <w:p>
            <w:pPr>
              <w:spacing w:after="0"/>
              <w:rPr>
                <w:sz w:val="20"/>
                <w:szCs w:val="20"/>
                <w:color w:val="auto"/>
              </w:rPr>
            </w:pPr>
            <w:r>
              <w:rPr>
                <w:rFonts w:ascii="Arial" w:cs="Arial" w:eastAsia="Arial" w:hAnsi="Arial"/>
                <w:sz w:val="18"/>
                <w:szCs w:val="18"/>
                <w:color w:val="auto"/>
              </w:rPr>
              <w:t>Outstanding — March 31, 2010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1,905,000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109,500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Exercisable — March 31, 2010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1,045,417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Vested and expected to vest — March 31, 2010</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1,826,792</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2010, based on the closing price of the Company’s common stock of $1.00 on that date.</w:t>
      </w:r>
    </w:p>
    <w:p>
      <w:pPr>
        <w:spacing w:after="0" w:line="146"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The options were granted to the employees, directors and consultants at exercise prices that ranged from $0.70 to $2.62, the estimated fair market value of the common stock on the dates of issuance. All options granted to date expire on the ten year anniversary of the issuance date and vest on a quarterly basis over three months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Stock Option Plan (continued)</w:t>
      </w:r>
    </w:p>
    <w:p>
      <w:pPr>
        <w:spacing w:after="0" w:line="189"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For the three months ended March 31, 2010, the Company recorded stock-based compensation related to stock options for employees and directors of $257,600.</w:t>
      </w:r>
    </w:p>
    <w:p>
      <w:pPr>
        <w:spacing w:after="0" w:line="152"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On December 19, 2008, the Board of Directors approved and the Company entered into a consulting agreement with a firm to provide the Company with business development services. As part of the compensation for the services, the Company issued the firm a non-qualified stock option, under the Plan, to purchase up to 50,000 shares of common stock. The stock option vested in full on March 19, 2009 and was exercised during the third quarter of 2009. The option was granted with an exercise price of $0.99. The option was revalued on an interim basis until the termination of the agreement and the final estimated fair value of the stock option, based on the Black-Scholes pricing model. This option was amortized over the term of the agreement which was approximately four months as the consulting agreement was terminated effective April 16, 2009. For the three months ended March 31, 2009, the Company recorded stock-based compensation related to this stock option of $28,267.</w:t>
      </w:r>
    </w:p>
    <w:p>
      <w:pPr>
        <w:spacing w:after="0" w:line="139" w:lineRule="exact"/>
        <w:rPr>
          <w:sz w:val="20"/>
          <w:szCs w:val="20"/>
          <w:color w:val="auto"/>
        </w:rPr>
      </w:pPr>
    </w:p>
    <w:p>
      <w:pPr>
        <w:jc w:val="both"/>
        <w:ind w:left="340" w:right="559"/>
        <w:spacing w:after="0" w:line="285" w:lineRule="auto"/>
        <w:rPr>
          <w:sz w:val="20"/>
          <w:szCs w:val="20"/>
          <w:color w:val="auto"/>
        </w:rPr>
      </w:pPr>
      <w:r>
        <w:rPr>
          <w:rFonts w:ascii="Arial" w:cs="Arial" w:eastAsia="Arial" w:hAnsi="Arial"/>
          <w:sz w:val="16"/>
          <w:szCs w:val="16"/>
          <w:color w:val="auto"/>
        </w:rPr>
        <w:t>In April 2009, the Company entered into a consulting agreement with a consultant to provide the Company with clinical management services. On June 18, 2009, as part of the compensation for the services, the Board of Directors approved and the Company issued the consultant a non-qualified stock option, under the Plan, to purchase up to 85,000 shares of common stock. Per the option agreement, a portion of the stock option (25,000 shares) became fully vested once the Company announced the results from the Phase 3 trial of Ketotransdel</w:t>
      </w:r>
      <w:r>
        <w:rPr>
          <w:rFonts w:ascii="Arial" w:cs="Arial" w:eastAsia="Arial" w:hAnsi="Arial"/>
          <w:sz w:val="13"/>
          <w:szCs w:val="13"/>
          <w:color w:val="auto"/>
        </w:rPr>
        <w:t>®</w:t>
      </w:r>
      <w:r>
        <w:rPr>
          <w:rFonts w:ascii="Arial" w:cs="Arial" w:eastAsia="Arial" w:hAnsi="Arial"/>
          <w:sz w:val="16"/>
          <w:szCs w:val="16"/>
          <w:color w:val="auto"/>
        </w:rPr>
        <w:t>, which occurred on October 6, 2009. Therefore, the final valuation (of $36,658) of this portion of the option was determined and recorded in the fourth quarter of 2009. The remainder of the stock option (60,000 shares) was scheduled to vest, on a quarterly basis, over a one-year term, if the consulting agreement was still effective and had not been terminated by either the Company or the consultant prior to the one-year vesting term. The option was granted with an exercise price of $1.60 and has a ten year life. However, effective October 12, 2009, the consultant became an employee of the Company. Therefore, the original stock option agreement was amended and effectively removed the requirement for the consulting agreement to be in place for the remainder of term, but rather that the individual retains the employee status through the remaining vesting term that will end on June 1, 2010. Since this option effectively was transformed into an employee stock option agreement with the change in status, the final valuation of the option was determined. For the portion of the 60,000 options that vested prior to the change in status, the amount associated with those vested shares was recorded as a consulting stock-based compensation expense in the fourth quarter of 2009. The expense related to the options that vest subsequent to the hire date, are recorded as employee stock-based compensation.</w:t>
      </w:r>
    </w:p>
    <w:p>
      <w:pPr>
        <w:spacing w:after="0" w:line="137"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As of March 31, 2010, there was approximately $600,000 of total unrecognized compensation expense related to unvested stock options under the Plan. That expense is expected to be recognized over the weighted-average period of 2.3 years.</w:t>
      </w:r>
    </w:p>
    <w:p>
      <w:pPr>
        <w:spacing w:after="0" w:line="106"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Also, on November 21, 2008, the Company issued a restricted stock grant to a director of the Company for 25,000 shares of the Company’s common stock. The restricted stock grant vested over a one-year period. The fair value of the grant was determined to be $17,500 and was amortized to selling, general and administrative expenses on a straight line basis over the one-year vesting period. For the three months ended March 31, 2009 and the period from Inception through March 31, 2010, the Company recorded stock-based compensation related to this restricted stock of $4,374, and $17,500, respectively.</w:t>
      </w:r>
    </w:p>
    <w:p>
      <w:pPr>
        <w:spacing w:after="0" w:line="131"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provided Dr. Singh with one year of continued salary in accordance with the terms of her existing employment agreement as well as the accelerated vesting of 300,000 stock options previously granted. In addition, the term in which Dr. Singh may exercise the vested options (which included 610,000 options in total, comprised of 310,000 stock options that were vested as of the separation date as well as the 300,000 stock options subject to the accelerated vesting) was modified and extended to three years from the date of her resignation. In accordance with accounting guidance, since these stock options were modified, the value of the modification for each stock option was determined. For the stock options vested as of the separation date, the modified value was equal to the number of options multiplied by the difference in value (per the Black-Scholes option pricing model) between the original and modified terms of the stock options utilizing current values for market stock price, interest rate and volatility. For the stock options in which the vesting was accelerated, the new value for these stock options was calculated as of the separation date using the Black-Scholes option pricing model. In total, the additional stock based compensation expense recognized for the modified stock options was approximately $174,000 and was recorded in additional paid-in capital and general and administrative expenses in the accompanying condensed consolidated balance sheets and condensed consolidated statement of operations as of and for the three-month period ended March 31, 2010, respectively.</w:t>
      </w:r>
    </w:p>
    <w:p>
      <w:pPr>
        <w:sectPr>
          <w:pgSz w:w="11900" w:h="16838" w:orient="portrait"/>
          <w:cols w:equalWidth="0" w:num="1">
            <w:col w:w="10219"/>
          </w:cols>
          <w:pgMar w:left="240" w:top="419" w:right="1440" w:bottom="568"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68"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Stock Warrants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issued warrants to purchase shares of its common stock in conjunction with private placement offerings in 2007 and 2008 and a consulting agreement in 2008. The expiration of the outstanding warrants occurs through May 2013 at various periods.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status of the warrants for the three months ended March 31, 2010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Subject to</w:t>
            </w: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70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802,730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and exercisable — March 31, 2010</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802,730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w w:val="96"/>
              </w:rPr>
              <w:t>Weighted average remaining contractual life of the outstanding warrants — March 31, 2010</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2"/>
              </w:rPr>
              <w:t>2.56 years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Indemnities and Guarantees</w:t>
      </w:r>
    </w:p>
    <w:p>
      <w:pPr>
        <w:spacing w:after="0" w:line="185"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Cato Research Ltd. Agreement</w:t>
      </w:r>
    </w:p>
    <w:p>
      <w:pPr>
        <w:spacing w:after="0" w:line="185"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In accordance with the Master Services Agreement, dated April 10, 2007, between the Company and Cato Research Ltd. (“Cato”), a contract research and development organization, the Company entered into a clinical trial services agreement (“Agreement”) with Cato on June 10, 2008. Under the Agreement, Cato served as the Company’s strategic partner and contract research organization in conducting the Company’s Phase 3 clinical trial for Ketotransdel</w:t>
      </w:r>
      <w:r>
        <w:rPr>
          <w:rFonts w:ascii="Arial" w:cs="Arial" w:eastAsia="Arial" w:hAnsi="Arial"/>
          <w:sz w:val="14"/>
          <w:szCs w:val="14"/>
          <w:color w:val="auto"/>
        </w:rPr>
        <w:t>®</w:t>
      </w:r>
      <w:r>
        <w:rPr>
          <w:rFonts w:ascii="Arial" w:cs="Arial" w:eastAsia="Arial" w:hAnsi="Arial"/>
          <w:sz w:val="17"/>
          <w:szCs w:val="17"/>
          <w:color w:val="auto"/>
        </w:rPr>
        <w:t>. As of March 31, 2010, the Company incurred approximately $3.2 million (original estimate of costs was $3.3 million) related to Cato’s fees as well as pass-through costs incurred by Cato or payable to the clinical sites for patients enrolled in the study. The Company does not anticipate incurring any additional costs related to this Agreement.</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TRANSDEL PHARMACEUTICALS,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Commitments and Contingencies (Continued)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Cosmetic Products Consulting Agreement</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On August 25, 2008, the Company entered into a consulting agreement with a firm to provide product and business development services for specific cosmetic/cosmeceutical products that would be developed by the Company. To the extent a specific cosmetic/cosmeceutical product, applicable to the consulting agreement, is successfully developed and a separate agreement is entered into between the Company and a third party for (including but not limited to) the out-license or distribution of a product, the firm will receive a percentage of the operating profits from the third party agreement as agreed upon in the consulting agreement.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Cosmeceutical License Agreement</w:t>
      </w:r>
    </w:p>
    <w:p>
      <w:pPr>
        <w:spacing w:after="0" w:line="185" w:lineRule="exact"/>
        <w:rPr>
          <w:sz w:val="20"/>
          <w:szCs w:val="20"/>
          <w:color w:val="auto"/>
        </w:rPr>
      </w:pPr>
    </w:p>
    <w:p>
      <w:pPr>
        <w:jc w:val="both"/>
        <w:ind w:left="340" w:right="559"/>
        <w:spacing w:after="0" w:line="254" w:lineRule="auto"/>
        <w:rPr>
          <w:sz w:val="20"/>
          <w:szCs w:val="20"/>
          <w:color w:val="auto"/>
        </w:rPr>
      </w:pPr>
      <w:r>
        <w:rPr>
          <w:rFonts w:ascii="Arial" w:cs="Arial" w:eastAsia="Arial" w:hAnsi="Arial"/>
          <w:sz w:val="18"/>
          <w:szCs w:val="18"/>
          <w:color w:val="auto"/>
        </w:rPr>
        <w:t>On May 20, 2009, the Company and JH Direct, LLC (“JH Direct”) entered into a licensing agreement providing JH Direct with the exclusive worldwide rights to the Company’s anti-cellulite cosmeceutical product which utilizes the Company’s patented transdermal delivery system technology, Transdel™.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In accordance with the cosmetic products consulting agreement, the consulting firm will receive a percentage of the operating profits paid to the Company.</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Separation Agreement</w:t>
      </w:r>
    </w:p>
    <w:p>
      <w:pPr>
        <w:spacing w:after="0" w:line="198"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300,000 stock options previously granted. The separation agreement also includes a mutual release of claims. In accordance with this agreement, the Company recorded a one-time accrual of $242,000 for the one year of continued salary (including the related employer payroll taxes) and medical benefits. Also, as noted in Note 6, the Company recorded a total expense of approximately $174,000 during the first quarter 2010 for the value of the modifications to the stock options.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Subsequent Event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Issuance of Senior Convertible Promissory Note</w:t>
      </w:r>
    </w:p>
    <w:p>
      <w:pPr>
        <w:spacing w:after="0" w:line="198"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On April 5, 2010, the Company issued a two (2)-year Senior Convertible Promissory Note (the “Note”) to an existing investor through a private placement. The Note includes an annual interest rate of 7.5 percent and (unless converted or prepaid, as noted below) all principal and interest are due and payable on April 5, 2012 (“Maturity Date”). At any time prior to the Maturity Date, the investor may convert all or a portion of the outstanding principal and accrued interest at a conversion ratio of one share of Transdel’s common stock for each $1 owed. Also, at any time prior to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559" w:firstLine="747"/>
        <w:spacing w:after="0" w:line="273" w:lineRule="auto"/>
        <w:rPr>
          <w:sz w:val="20"/>
          <w:szCs w:val="20"/>
          <w:color w:val="auto"/>
        </w:rPr>
      </w:pPr>
      <w:r>
        <w:rPr>
          <w:rFonts w:ascii="Arial" w:cs="Arial" w:eastAsia="Arial" w:hAnsi="Arial"/>
          <w:sz w:val="17"/>
          <w:szCs w:val="17"/>
          <w:color w:val="auto"/>
        </w:rPr>
        <w:t>We are a specialty pharmaceutical company developing non-invasive, topically delivered products. Our innovative patented Transdel™ cream formulation technology is designed to facilitate the effective penetration of a variety of products through the tough skin barrier. Ketotransdel</w:t>
      </w:r>
      <w:r>
        <w:rPr>
          <w:rFonts w:ascii="Arial" w:cs="Arial" w:eastAsia="Arial" w:hAnsi="Arial"/>
          <w:sz w:val="14"/>
          <w:szCs w:val="14"/>
          <w:color w:val="auto"/>
        </w:rPr>
        <w:t>®</w:t>
      </w:r>
      <w:r>
        <w:rPr>
          <w:rFonts w:ascii="Arial" w:cs="Arial" w:eastAsia="Arial" w:hAnsi="Arial"/>
          <w:sz w:val="17"/>
          <w:szCs w:val="17"/>
          <w:color w:val="auto"/>
        </w:rPr>
        <w:t>, our lead pain product, utilizes the Transdel™ platform technology to deliver the active drug, ketoprofen, a non-steroidal anti-inflammatory drug (“NSAID”), through the skin directly into the underlying tissues where the drug exerts its well-known anti-inflammatory and analgesic effects. We intend to leverage the Transdel™ platform technology to expand and create a portfolio of topical products for a variety of indications.</w:t>
      </w:r>
    </w:p>
    <w:p>
      <w:pPr>
        <w:spacing w:after="0" w:line="138" w:lineRule="exact"/>
        <w:rPr>
          <w:sz w:val="20"/>
          <w:szCs w:val="20"/>
          <w:color w:val="auto"/>
        </w:rPr>
      </w:pPr>
    </w:p>
    <w:p>
      <w:pPr>
        <w:jc w:val="both"/>
        <w:ind w:left="340" w:right="559" w:firstLine="747"/>
        <w:spacing w:after="0" w:line="276" w:lineRule="auto"/>
        <w:rPr>
          <w:sz w:val="20"/>
          <w:szCs w:val="20"/>
          <w:color w:val="auto"/>
        </w:rPr>
      </w:pPr>
      <w:r>
        <w:rPr>
          <w:rFonts w:ascii="Arial" w:cs="Arial" w:eastAsia="Arial" w:hAnsi="Arial"/>
          <w:sz w:val="17"/>
          <w:szCs w:val="17"/>
          <w:color w:val="auto"/>
        </w:rPr>
        <w:t>On September 17, 2007, we entered into an Agreement of Merger and Plan of Reorganization (the “Merger Agreement”) with Transdel Pharmaceuticals Holdings, Inc., a privately held Nevada corporation (“Transdel Holdings”), and Trans-Pharma Acquisition Corp., our newly formed, wholly-owned Delaware subsidiary (“Acquisition Sub”). Upon closing of the merger transaction contemplated under the Merger Agreement (the “Merger”), Acquisition Sub merged with and into Transdel Holdings, and Transdel Holdings, as the surviving corporation, became our wholly-owned subsidiary.</w:t>
      </w:r>
    </w:p>
    <w:p>
      <w:pPr>
        <w:spacing w:after="0" w:line="146"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As is discussed further in the Liquidity and Capital Resources section below, we have limited funds to support our operations. Our continuation as a going concern subsequent to the fourth quarter of 2010 is dependent on our ability to obtain additional financing to fund the continued operation of our business model for a long enough period to achieve profitable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Plan of Operations</w:t>
      </w:r>
    </w:p>
    <w:p>
      <w:pPr>
        <w:spacing w:after="0" w:line="189"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For the next twelve months, our current operating plan is focused on the development of our lead drug, Ketotransdel</w:t>
      </w:r>
      <w:r>
        <w:rPr>
          <w:rFonts w:ascii="Arial" w:cs="Arial" w:eastAsia="Arial" w:hAnsi="Arial"/>
          <w:sz w:val="15"/>
          <w:szCs w:val="15"/>
          <w:color w:val="auto"/>
        </w:rPr>
        <w:t>®</w:t>
      </w:r>
      <w:r>
        <w:rPr>
          <w:rFonts w:ascii="Arial" w:cs="Arial" w:eastAsia="Arial" w:hAnsi="Arial"/>
          <w:sz w:val="18"/>
          <w:szCs w:val="18"/>
          <w:color w:val="auto"/>
        </w:rPr>
        <w:t xml:space="preserve"> for the indication of acute pain, inflammation and swelling associated with soft tissue injuries, development of cosmetic/cosmeceutical products and co-development opportunities in other therapeutic areas utilizing our Transdel™ platform technology.</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Clinical Program for Ketotransdel</w:t>
      </w:r>
      <w:r>
        <w:rPr>
          <w:rFonts w:ascii="Arial" w:cs="Arial" w:eastAsia="Arial" w:hAnsi="Arial"/>
          <w:sz w:val="15"/>
          <w:szCs w:val="15"/>
          <w:b w:val="1"/>
          <w:bCs w:val="1"/>
          <w:color w:val="auto"/>
        </w:rPr>
        <w:t>®</w:t>
      </w:r>
    </w:p>
    <w:p>
      <w:pPr>
        <w:spacing w:after="0" w:line="189"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In June 2008, we initiated a Phase 3 clinical study designed as a randomized, double-blind, placebo-controlled, multi-center Phase 3 study that enrolled a total of 364 patients with acute soft tissue injuries of the upper or lower extremities in 26 centers in the United States. The primary efficacy endpoint was the difference between Ketotransdel</w:t>
      </w:r>
      <w:r>
        <w:rPr>
          <w:rFonts w:ascii="Arial" w:cs="Arial" w:eastAsia="Arial" w:hAnsi="Arial"/>
          <w:sz w:val="15"/>
          <w:szCs w:val="15"/>
          <w:color w:val="auto"/>
        </w:rPr>
        <w:t>®</w:t>
      </w:r>
      <w:r>
        <w:rPr>
          <w:rFonts w:ascii="Arial" w:cs="Arial" w:eastAsia="Arial" w:hAnsi="Arial"/>
          <w:sz w:val="18"/>
          <w:szCs w:val="18"/>
          <w:color w:val="auto"/>
        </w:rPr>
        <w:t xml:space="preserve"> and placebo in the change from baseline in pain intensity as measured by the 100 mm Visual Analogue Scale (VAS) during daily activities over the past 24 hours on the Day 3 visit.</w:t>
      </w:r>
    </w:p>
    <w:p>
      <w:pPr>
        <w:spacing w:after="0" w:line="148" w:lineRule="exact"/>
        <w:rPr>
          <w:sz w:val="20"/>
          <w:szCs w:val="20"/>
          <w:color w:val="auto"/>
        </w:rPr>
      </w:pPr>
    </w:p>
    <w:p>
      <w:pPr>
        <w:jc w:val="both"/>
        <w:ind w:left="340" w:right="559" w:firstLine="747"/>
        <w:spacing w:after="0" w:line="290" w:lineRule="auto"/>
        <w:rPr>
          <w:sz w:val="20"/>
          <w:szCs w:val="20"/>
          <w:color w:val="auto"/>
        </w:rPr>
      </w:pPr>
      <w:r>
        <w:rPr>
          <w:rFonts w:ascii="Arial" w:cs="Arial" w:eastAsia="Arial" w:hAnsi="Arial"/>
          <w:sz w:val="16"/>
          <w:szCs w:val="16"/>
          <w:color w:val="auto"/>
        </w:rPr>
        <w:t>As we reported in October 2009, the top-line results showed that the study demonstrated statistical significance in its primary endpoint in the per protocol analysis and was favorable for Ketotransdel</w:t>
      </w:r>
      <w:r>
        <w:rPr>
          <w:rFonts w:ascii="Arial" w:cs="Arial" w:eastAsia="Arial" w:hAnsi="Arial"/>
          <w:sz w:val="13"/>
          <w:szCs w:val="13"/>
          <w:color w:val="auto"/>
        </w:rPr>
        <w:t>®</w:t>
      </w:r>
      <w:r>
        <w:rPr>
          <w:rFonts w:ascii="Arial" w:cs="Arial" w:eastAsia="Arial" w:hAnsi="Arial"/>
          <w:sz w:val="16"/>
          <w:szCs w:val="16"/>
          <w:color w:val="auto"/>
        </w:rPr>
        <w:t xml:space="preserve"> in the Intent-To Treat (ITT) analysis. Ketotransdel</w:t>
      </w:r>
      <w:r>
        <w:rPr>
          <w:rFonts w:ascii="Arial" w:cs="Arial" w:eastAsia="Arial" w:hAnsi="Arial"/>
          <w:sz w:val="13"/>
          <w:szCs w:val="13"/>
          <w:color w:val="auto"/>
        </w:rPr>
        <w:t>®</w:t>
      </w:r>
      <w:r>
        <w:rPr>
          <w:rFonts w:ascii="Arial" w:cs="Arial" w:eastAsia="Arial" w:hAnsi="Arial"/>
          <w:sz w:val="16"/>
          <w:szCs w:val="16"/>
          <w:color w:val="auto"/>
        </w:rPr>
        <w:t xml:space="preserve"> also demonstrated an excellent safety and tolerability profile. There were no Ketotransdel</w:t>
      </w:r>
      <w:r>
        <w:rPr>
          <w:rFonts w:ascii="Arial" w:cs="Arial" w:eastAsia="Arial" w:hAnsi="Arial"/>
          <w:sz w:val="13"/>
          <w:szCs w:val="13"/>
          <w:color w:val="auto"/>
        </w:rPr>
        <w:t>®</w:t>
      </w:r>
      <w:r>
        <w:rPr>
          <w:rFonts w:ascii="Arial" w:cs="Arial" w:eastAsia="Arial" w:hAnsi="Arial"/>
          <w:sz w:val="16"/>
          <w:szCs w:val="16"/>
          <w:color w:val="auto"/>
        </w:rPr>
        <w:t xml:space="preserve"> treatment related gastrointestinal, cardiovascular, hepatic or other clinically relevant adverse events (AEs) reported. In particular, there was a low incidence of skin associated AEs, 1.1% with Ketotransdel</w:t>
      </w:r>
      <w:r>
        <w:rPr>
          <w:rFonts w:ascii="Arial" w:cs="Arial" w:eastAsia="Arial" w:hAnsi="Arial"/>
          <w:sz w:val="13"/>
          <w:szCs w:val="13"/>
          <w:color w:val="auto"/>
        </w:rPr>
        <w:t>®</w:t>
      </w:r>
      <w:r>
        <w:rPr>
          <w:rFonts w:ascii="Arial" w:cs="Arial" w:eastAsia="Arial" w:hAnsi="Arial"/>
          <w:sz w:val="16"/>
          <w:szCs w:val="16"/>
          <w:color w:val="auto"/>
        </w:rPr>
        <w:t xml:space="preserve"> and 2.2% with placebo. Furthermore, Ketotransdel</w:t>
      </w:r>
      <w:r>
        <w:rPr>
          <w:rFonts w:ascii="Arial" w:cs="Arial" w:eastAsia="Arial" w:hAnsi="Arial"/>
          <w:sz w:val="13"/>
          <w:szCs w:val="13"/>
          <w:color w:val="auto"/>
        </w:rPr>
        <w:t>®</w:t>
      </w:r>
      <w:r>
        <w:rPr>
          <w:rFonts w:ascii="Arial" w:cs="Arial" w:eastAsia="Arial" w:hAnsi="Arial"/>
          <w:sz w:val="16"/>
          <w:szCs w:val="16"/>
          <w:color w:val="auto"/>
        </w:rPr>
        <w:t xml:space="preserve"> was well absorbed through the skin and in support of the safety and tolerability only minimal blood concentrations of ketoprofen were detected in a subset of patients who underwent blood sampling for pharmacokinetic (PK) analyses following repeated topical applications. These PK results are consistent with our previous clinical study findings and support the excellent safety profile.</w:t>
      </w:r>
    </w:p>
    <w:p>
      <w:pPr>
        <w:spacing w:after="0" w:line="139" w:lineRule="exact"/>
        <w:rPr>
          <w:sz w:val="20"/>
          <w:szCs w:val="20"/>
          <w:color w:val="auto"/>
        </w:rPr>
      </w:pPr>
    </w:p>
    <w:p>
      <w:pPr>
        <w:jc w:val="both"/>
        <w:ind w:left="340" w:right="559" w:firstLine="747"/>
        <w:spacing w:after="0" w:line="233" w:lineRule="auto"/>
        <w:rPr>
          <w:sz w:val="20"/>
          <w:szCs w:val="20"/>
          <w:color w:val="auto"/>
        </w:rPr>
      </w:pPr>
      <w:r>
        <w:rPr>
          <w:rFonts w:ascii="Arial" w:cs="Arial" w:eastAsia="Arial" w:hAnsi="Arial"/>
          <w:sz w:val="18"/>
          <w:szCs w:val="18"/>
          <w:color w:val="auto"/>
        </w:rPr>
        <w:t>In January 2010, we reported on further in-depth analyses of the ITT data from the Ketotransdel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analysis was confirmed by a third-party statistical expert.</w:t>
      </w:r>
    </w:p>
    <w:p>
      <w:pPr>
        <w:spacing w:after="0" w:line="162"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The weight of evidence of a treatment effect in this study is further strengthened by a key secondary endpoint (pain intensity recorded 3 times daily on patient diary cards) that supports the primary endpoint. The pain curves over time show consistent separation between treatment groups reaching statistical significance in favor of Ketotransdel</w:t>
      </w:r>
      <w:r>
        <w:rPr>
          <w:rFonts w:ascii="Arial" w:cs="Arial" w:eastAsia="Arial" w:hAnsi="Arial"/>
          <w:sz w:val="15"/>
          <w:szCs w:val="15"/>
          <w:color w:val="auto"/>
        </w:rPr>
        <w:t>®</w:t>
      </w:r>
      <w:r>
        <w:rPr>
          <w:rFonts w:ascii="Arial" w:cs="Arial" w:eastAsia="Arial" w:hAnsi="Arial"/>
          <w:sz w:val="18"/>
          <w:szCs w:val="18"/>
          <w:color w:val="auto"/>
        </w:rPr>
        <w:t>; using both the original and modified ITT population.</w:t>
      </w:r>
    </w:p>
    <w:p>
      <w:pPr>
        <w:spacing w:after="0" w:line="146" w:lineRule="exact"/>
        <w:rPr>
          <w:sz w:val="20"/>
          <w:szCs w:val="20"/>
          <w:color w:val="auto"/>
        </w:rPr>
      </w:pPr>
    </w:p>
    <w:p>
      <w:pPr>
        <w:jc w:val="both"/>
        <w:ind w:left="340" w:right="559" w:firstLine="747"/>
        <w:spacing w:after="0" w:line="273" w:lineRule="auto"/>
        <w:rPr>
          <w:sz w:val="20"/>
          <w:szCs w:val="20"/>
          <w:color w:val="auto"/>
        </w:rPr>
      </w:pPr>
      <w:r>
        <w:rPr>
          <w:rFonts w:ascii="Arial" w:cs="Arial" w:eastAsia="Arial" w:hAnsi="Arial"/>
          <w:sz w:val="17"/>
          <w:szCs w:val="17"/>
          <w:color w:val="auto"/>
        </w:rPr>
        <w:t>Based on discussions with the FDA at least two adequate and well-controlled Phase 3 studies are required in order to obtain regulatory approval to market Ketotransdel</w:t>
      </w:r>
      <w:r>
        <w:rPr>
          <w:rFonts w:ascii="Arial" w:cs="Arial" w:eastAsia="Arial" w:hAnsi="Arial"/>
          <w:sz w:val="14"/>
          <w:szCs w:val="14"/>
          <w:color w:val="auto"/>
        </w:rPr>
        <w:t>®</w:t>
      </w:r>
      <w:r>
        <w:rPr>
          <w:rFonts w:ascii="Arial" w:cs="Arial" w:eastAsia="Arial" w:hAnsi="Arial"/>
          <w:sz w:val="17"/>
          <w:szCs w:val="17"/>
          <w:color w:val="auto"/>
        </w:rPr>
        <w:t>. We believe that the first Phase 3 trial will qualify as one adequate and well-controlled trial because there is statistical significance on the primary endpoint in an objectively defined modified ITT population, and statistical significance on secondary endpoints. We are in the process of determining the design of the second Phase 3 trial. There is no assurance that the FDA will accept our conclusion of the modified ITT data from the first Phase 3 study as sufficient as part of the requirements for regulatory approval</w:t>
      </w:r>
    </w:p>
    <w:p>
      <w:pPr>
        <w:spacing w:after="0" w:line="151"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As part of a routine requirement to provide safety information in the NDA submission we have to perform studies such as to assess the allergenicity potential and absorption of ketoprofen during concurrent exercise and heat exposure with Ketotransdel</w:t>
      </w:r>
      <w:r>
        <w:rPr>
          <w:rFonts w:ascii="Arial" w:cs="Arial" w:eastAsia="Arial" w:hAnsi="Arial"/>
          <w:sz w:val="15"/>
          <w:szCs w:val="15"/>
          <w:color w:val="auto"/>
        </w:rPr>
        <w:t>®</w:t>
      </w:r>
      <w:r>
        <w:rPr>
          <w:rFonts w:ascii="Arial" w:cs="Arial" w:eastAsia="Arial" w:hAnsi="Arial"/>
          <w:sz w:val="18"/>
          <w:szCs w:val="18"/>
          <w:color w:val="auto"/>
        </w:rPr>
        <w:t>. These additional supportive trials will be conducted in healthy subjects. The timing of the second Phase 3 trial and the other supportive studies will be dependent on obtaining adequate financing to support the execution of these activities and for other working capital expenditures.</w:t>
      </w:r>
    </w:p>
    <w:p>
      <w:pPr>
        <w:sectPr>
          <w:pgSz w:w="11900" w:h="16838" w:orient="portrait"/>
          <w:cols w:equalWidth="0" w:num="1">
            <w:col w:w="10219"/>
          </w:cols>
          <w:pgMar w:left="240" w:top="419" w:right="1440" w:bottom="136"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36"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747"/>
        <w:spacing w:after="0" w:line="259" w:lineRule="auto"/>
        <w:rPr>
          <w:sz w:val="20"/>
          <w:szCs w:val="20"/>
          <w:color w:val="auto"/>
        </w:rPr>
      </w:pPr>
      <w:r>
        <w:rPr>
          <w:rFonts w:ascii="Arial" w:cs="Arial" w:eastAsia="Arial" w:hAnsi="Arial"/>
          <w:sz w:val="18"/>
          <w:szCs w:val="18"/>
          <w:color w:val="auto"/>
        </w:rPr>
        <w:t>We expect that Ketotransdel</w:t>
      </w:r>
      <w:r>
        <w:rPr>
          <w:rFonts w:ascii="Arial" w:cs="Arial" w:eastAsia="Arial" w:hAnsi="Arial"/>
          <w:sz w:val="15"/>
          <w:szCs w:val="15"/>
          <w:color w:val="auto"/>
        </w:rPr>
        <w:t>®</w:t>
      </w:r>
      <w:r>
        <w:rPr>
          <w:rFonts w:ascii="Arial" w:cs="Arial" w:eastAsia="Arial" w:hAnsi="Arial"/>
          <w:sz w:val="18"/>
          <w:szCs w:val="18"/>
          <w:color w:val="auto"/>
        </w:rPr>
        <w:t>, if and when approved by the FDA, could become the first topical NSAID cream product available by prescription in the United States for acute pain management. We are seeking a commercial partner for Ketotransdel</w:t>
      </w:r>
      <w:r>
        <w:rPr>
          <w:rFonts w:ascii="Arial" w:cs="Arial" w:eastAsia="Arial" w:hAnsi="Arial"/>
          <w:sz w:val="15"/>
          <w:szCs w:val="15"/>
          <w:color w:val="auto"/>
        </w:rPr>
        <w:t>®</w:t>
      </w:r>
      <w:r>
        <w:rPr>
          <w:rFonts w:ascii="Arial" w:cs="Arial" w:eastAsia="Arial" w:hAnsi="Arial"/>
          <w:sz w:val="18"/>
          <w:szCs w:val="18"/>
          <w:color w:val="auto"/>
        </w:rPr>
        <w:t>, and are actively pursuing discussions with U.S. and foreign based potential partners with sales and marketing infrastructures.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Cosmeceutical/Cosmetic Product Development Program</w:t>
      </w:r>
    </w:p>
    <w:p>
      <w:pPr>
        <w:spacing w:after="0" w:line="189" w:lineRule="exact"/>
        <w:rPr>
          <w:sz w:val="20"/>
          <w:szCs w:val="20"/>
          <w:color w:val="auto"/>
        </w:rPr>
      </w:pPr>
    </w:p>
    <w:p>
      <w:pPr>
        <w:jc w:val="both"/>
        <w:ind w:left="340" w:right="1760" w:firstLine="747"/>
        <w:spacing w:after="0" w:line="297" w:lineRule="auto"/>
        <w:rPr>
          <w:sz w:val="20"/>
          <w:szCs w:val="20"/>
          <w:color w:val="auto"/>
        </w:rPr>
      </w:pPr>
      <w:r>
        <w:rPr>
          <w:rFonts w:ascii="Arial" w:cs="Arial" w:eastAsia="Arial" w:hAnsi="Arial"/>
          <w:sz w:val="16"/>
          <w:szCs w:val="16"/>
          <w:color w:val="auto"/>
        </w:rPr>
        <w:t>We have expanded our product development programs to include cosmetic/cosmeceutical products, which utilize our patented transdermal delivery system technology, Transdel</w:t>
      </w:r>
      <w:r>
        <w:rPr>
          <w:rFonts w:ascii="Arial" w:cs="Arial" w:eastAsia="Arial" w:hAnsi="Arial"/>
          <w:sz w:val="13"/>
          <w:szCs w:val="13"/>
          <w:color w:val="auto"/>
        </w:rPr>
        <w:t>TM</w:t>
      </w:r>
      <w:r>
        <w:rPr>
          <w:rFonts w:ascii="Arial" w:cs="Arial" w:eastAsia="Arial" w:hAnsi="Arial"/>
          <w:sz w:val="16"/>
          <w:szCs w:val="16"/>
          <w:color w:val="auto"/>
        </w:rPr>
        <w:t>. Our lead product is an anti-cellulite formulation, for which we have initial clinical information supporting the beneficial effects of this key cosmetic/cosmeceutical product on skin appearance. Our potential pipeline of cosmetic/cosmeceutical products includes hyperpigmentation and anti-aging formulations. We are pursuing discussions with potential sales and marketing partners for these cosmetic/cosmeceutical products.</w:t>
      </w:r>
    </w:p>
    <w:p>
      <w:pPr>
        <w:spacing w:after="0" w:line="118" w:lineRule="exact"/>
        <w:rPr>
          <w:sz w:val="20"/>
          <w:szCs w:val="20"/>
          <w:color w:val="auto"/>
        </w:rPr>
      </w:pPr>
    </w:p>
    <w:p>
      <w:pPr>
        <w:jc w:val="both"/>
        <w:ind w:left="340" w:right="1760" w:firstLine="747"/>
        <w:spacing w:after="0" w:line="255" w:lineRule="auto"/>
        <w:rPr>
          <w:sz w:val="20"/>
          <w:szCs w:val="20"/>
          <w:color w:val="auto"/>
        </w:rPr>
      </w:pPr>
      <w:r>
        <w:rPr>
          <w:rFonts w:ascii="Arial" w:cs="Arial" w:eastAsia="Arial" w:hAnsi="Arial"/>
          <w:sz w:val="18"/>
          <w:szCs w:val="18"/>
          <w:color w:val="auto"/>
        </w:rPr>
        <w:t>On May 20, 2009, we entered into a license agreement with JH Direct, LLC (“JH Direct”) providing JH Direct with the exclusive worldwide rights to our anti-cellulite cosmeceutical product. Under the terms of the agreement, JH Direct will pay us initial royalty advances if the product is marketed and a continuing licensing royalty on the worldwide sales of the anti-cellulite product. We retained the exclusive rights to seek pharmaceutical/dermatological partners for the anti-cellulite product for an initial period of one year following the launch of the product, thereafter JH Direct will be allowed to expand in this channel. We anticipate that JH Direct will launch the anti-cellulite product through a direct response television campaign during the second half of 2010.</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Product Development Programs</w:t>
      </w:r>
    </w:p>
    <w:p>
      <w:pPr>
        <w:spacing w:after="0" w:line="189" w:lineRule="exact"/>
        <w:rPr>
          <w:sz w:val="20"/>
          <w:szCs w:val="20"/>
          <w:color w:val="auto"/>
        </w:rPr>
      </w:pPr>
    </w:p>
    <w:p>
      <w:pPr>
        <w:jc w:val="both"/>
        <w:ind w:left="340" w:right="1760" w:firstLine="747"/>
        <w:spacing w:after="0" w:line="291" w:lineRule="auto"/>
        <w:rPr>
          <w:sz w:val="20"/>
          <w:szCs w:val="20"/>
          <w:color w:val="auto"/>
        </w:rPr>
      </w:pPr>
      <w:r>
        <w:rPr>
          <w:rFonts w:ascii="Arial" w:cs="Arial" w:eastAsia="Arial" w:hAnsi="Arial"/>
          <w:sz w:val="16"/>
          <w:szCs w:val="16"/>
          <w:color w:val="auto"/>
        </w:rPr>
        <w:t>We believe that the clinical success of Ketotransdel</w:t>
      </w:r>
      <w:r>
        <w:rPr>
          <w:rFonts w:ascii="Arial" w:cs="Arial" w:eastAsia="Arial" w:hAnsi="Arial"/>
          <w:sz w:val="13"/>
          <w:szCs w:val="13"/>
          <w:color w:val="auto"/>
        </w:rPr>
        <w:t>®</w:t>
      </w:r>
      <w:r>
        <w:rPr>
          <w:rFonts w:ascii="Arial" w:cs="Arial" w:eastAsia="Arial" w:hAnsi="Arial"/>
          <w:sz w:val="16"/>
          <w:szCs w:val="16"/>
          <w:color w:val="auto"/>
        </w:rPr>
        <w:t xml:space="preserve"> will facilitate the use of the Transdel™ delivery technology in other products. We have identified co-development opportunities for potential products in pain management and other therapeutic areas utilizing the Transdel™ platform technology and we are exploring potential partnerships for these identified products. In addition to others, some of these identified co-development areas include hormone based products, antiemetic and dermatological products using our Transdel delivery system. We are also looking to out-license our Transdel™ drug delivery technology for the development and commercialization of additional innovative drug products. There can be no assurance that any of the activities associated with our product development programs will lead to definitive agreements.</w:t>
      </w:r>
    </w:p>
    <w:p>
      <w:pPr>
        <w:spacing w:after="0" w:line="127" w:lineRule="exact"/>
        <w:rPr>
          <w:sz w:val="20"/>
          <w:szCs w:val="20"/>
          <w:color w:val="auto"/>
        </w:rPr>
      </w:pPr>
    </w:p>
    <w:p>
      <w:pPr>
        <w:jc w:val="both"/>
        <w:ind w:left="340" w:right="1760" w:firstLine="747"/>
        <w:spacing w:after="0" w:line="302" w:lineRule="auto"/>
        <w:rPr>
          <w:sz w:val="20"/>
          <w:szCs w:val="20"/>
          <w:color w:val="auto"/>
        </w:rPr>
      </w:pPr>
      <w:r>
        <w:rPr>
          <w:rFonts w:ascii="Arial" w:cs="Arial" w:eastAsia="Arial" w:hAnsi="Arial"/>
          <w:sz w:val="16"/>
          <w:szCs w:val="16"/>
          <w:color w:val="auto"/>
        </w:rPr>
        <w:t>We believe that our current staff is sufficient to carry out our business plan in the coming twelve months, however, if our operations in the future require it, we will consider the employment of additional staff or the use of consultants. Upon the resignation of our Chief Executive Officer, effective February 17, 2010, our Board of Directors initiated a search for a new Chief Executive Officer. Until then, our Chief Financial Officer, John Lomoro, will serve as the acting Chief Executive Officer.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left="340" w:right="1760" w:firstLine="747"/>
        <w:spacing w:after="0" w:line="277"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investor relations, consulting, insurance, legal and accounting expenses.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table below provides information regarding selling,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7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2009</w:t>
            </w:r>
          </w:p>
        </w:tc>
        <w:tc>
          <w:tcPr>
            <w:tcW w:w="3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Variance</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3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755,587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481,474</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   274,113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80" w:type="dxa"/>
            <w:vAlign w:val="bottom"/>
            <w:vMerge w:val="restart"/>
          </w:tcPr>
          <w:p>
            <w:pPr>
              <w:jc w:val="right"/>
              <w:ind w:right="870"/>
              <w:spacing w:after="0"/>
              <w:rPr>
                <w:sz w:val="20"/>
                <w:szCs w:val="20"/>
                <w:color w:val="auto"/>
              </w:rPr>
            </w:pPr>
            <w:r>
              <w:rPr>
                <w:rFonts w:ascii="Arial" w:cs="Arial" w:eastAsia="Arial" w:hAnsi="Arial"/>
                <w:sz w:val="18"/>
                <w:szCs w:val="18"/>
                <w:color w:val="auto"/>
              </w:rPr>
              <w:t>14</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For the three months ended March 31, 2010, the increase of $274,113 in selling, general and administrative expense, as compared to the same period in the prior year, was primarily related to an increase in personnel expenses related to the separation agreement for our former chief executive officer, partially offset by a decrease in expenses for investor relations and consulting expenses. Further explanations for these variances are as follows:</w:t>
      </w:r>
    </w:p>
    <w:p>
      <w:pPr>
        <w:spacing w:after="0" w:line="160" w:lineRule="exact"/>
        <w:rPr>
          <w:sz w:val="20"/>
          <w:szCs w:val="20"/>
          <w:color w:val="auto"/>
        </w:rPr>
      </w:pPr>
    </w:p>
    <w:p>
      <w:pPr>
        <w:jc w:val="both"/>
        <w:ind w:left="1040" w:right="559" w:hanging="343"/>
        <w:spacing w:after="0" w:line="276" w:lineRule="auto"/>
        <w:tabs>
          <w:tab w:leader="none" w:pos="10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As a result of the separation agreement entered into by us and our former chief executive officer, we recognized aggregate one-time expenses of approximately $416,000. This amount was comprised of approximately $242,000 related to the accrual of continued salary and medical benefits to be provided for a period of one year after the separation date of February 17, 2010 and approximately $174,000 of stock based compensation expense related to the modification of terms for the former chief executive officer’s stock options.</w:t>
      </w:r>
    </w:p>
    <w:p>
      <w:pPr>
        <w:spacing w:after="0" w:line="105" w:lineRule="exact"/>
        <w:rPr>
          <w:rFonts w:ascii="Arial" w:cs="Arial" w:eastAsia="Arial" w:hAnsi="Arial"/>
          <w:sz w:val="17"/>
          <w:szCs w:val="17"/>
          <w:b w:val="1"/>
          <w:bCs w:val="1"/>
          <w:color w:val="auto"/>
        </w:rPr>
      </w:pPr>
    </w:p>
    <w:p>
      <w:pPr>
        <w:jc w:val="both"/>
        <w:ind w:left="1040" w:right="559" w:hanging="343"/>
        <w:spacing w:after="0" w:line="264"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primary reason for the decrease, approximately $73,000, of investor relations expense was due to significant amount of stock based compensation incurred during the same period last year, but not in the current period, for investor relations services provided to us.</w:t>
      </w:r>
    </w:p>
    <w:p>
      <w:pPr>
        <w:spacing w:after="0" w:line="113" w:lineRule="exact"/>
        <w:rPr>
          <w:rFonts w:ascii="Arial" w:cs="Arial" w:eastAsia="Arial" w:hAnsi="Arial"/>
          <w:sz w:val="18"/>
          <w:szCs w:val="18"/>
          <w:b w:val="1"/>
          <w:bCs w:val="1"/>
          <w:color w:val="auto"/>
        </w:rPr>
      </w:pPr>
    </w:p>
    <w:p>
      <w:pPr>
        <w:jc w:val="both"/>
        <w:ind w:left="1040" w:right="559" w:hanging="343"/>
        <w:spacing w:after="0" w:line="259"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the first quarter of 2009, we incurred monthly fees and stock-based compensation charges related to consulting services primarily for business development services. However, during the first quarter of 2010, we only incurred a minor amount of consulting fees, therefore, this accounted for a net decrease in consulting expenses of approximately $57,000.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 Expenses</w:t>
      </w:r>
    </w:p>
    <w:p>
      <w:pPr>
        <w:spacing w:after="0" w:line="189" w:lineRule="exact"/>
        <w:rPr>
          <w:sz w:val="20"/>
          <w:szCs w:val="20"/>
          <w:color w:val="auto"/>
        </w:rPr>
      </w:pPr>
    </w:p>
    <w:p>
      <w:pPr>
        <w:jc w:val="both"/>
        <w:ind w:left="340" w:right="559" w:firstLine="747"/>
        <w:spacing w:after="0" w:line="302" w:lineRule="auto"/>
        <w:rPr>
          <w:sz w:val="20"/>
          <w:szCs w:val="20"/>
          <w:color w:val="auto"/>
        </w:rPr>
      </w:pPr>
      <w:r>
        <w:rPr>
          <w:rFonts w:ascii="Arial" w:cs="Arial" w:eastAsia="Arial" w:hAnsi="Arial"/>
          <w:sz w:val="16"/>
          <w:szCs w:val="16"/>
          <w:color w:val="auto"/>
        </w:rPr>
        <w:t>Our research and development expenses primarily include costs for the Ketotransdel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spacing w:after="0" w:line="12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table below provides information regarding research and development expenses: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Three months ended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93"/>
              </w:rPr>
              <w:t>March 31,</w:t>
            </w:r>
          </w:p>
        </w:tc>
        <w:tc>
          <w:tcPr>
            <w:tcW w:w="7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Variance</w:t>
            </w:r>
          </w:p>
        </w:tc>
        <w:tc>
          <w:tcPr>
            <w:tcW w:w="8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115,158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1,146,551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(1,031,393)</w:t>
            </w: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For the three months ended March 31, 2010, the decrease of $1.0 million in research and development expense, as compared to the same period in the prior year, was primarily related to a significant decrease of activities for the Phase 3 study, partially offset by increased expenses related to personnel and consulting services. Further explanations for these variances are as follows:</w:t>
      </w:r>
    </w:p>
    <w:p>
      <w:pPr>
        <w:spacing w:after="0" w:line="146" w:lineRule="exact"/>
        <w:rPr>
          <w:sz w:val="20"/>
          <w:szCs w:val="20"/>
          <w:color w:val="auto"/>
        </w:rPr>
      </w:pPr>
    </w:p>
    <w:p>
      <w:pPr>
        <w:jc w:val="both"/>
        <w:ind w:left="1040" w:right="559" w:hanging="343"/>
        <w:spacing w:after="0" w:line="255"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During the same period in the prior year, the Phase 3 study for Ketotransdel was on-going and therefore, we recognized approximately $1.1 million of expenses related to the study during that period. The expenses were primarily for the investigator payments owed to the clinical sites for the patients they enrolled in the study and the fees incurred by our contract research organization for their services provided in conducting the study. In the current period, we only recognized a minimal amount of expense, which was incurred by our contract research organization for final administrative activities related to the study.</w:t>
      </w:r>
    </w:p>
    <w:p>
      <w:pPr>
        <w:spacing w:after="0" w:line="125" w:lineRule="exact"/>
        <w:rPr>
          <w:rFonts w:ascii="Arial" w:cs="Arial" w:eastAsia="Arial" w:hAnsi="Arial"/>
          <w:sz w:val="18"/>
          <w:szCs w:val="18"/>
          <w:b w:val="1"/>
          <w:bCs w:val="1"/>
          <w:color w:val="auto"/>
        </w:rPr>
      </w:pPr>
    </w:p>
    <w:p>
      <w:pPr>
        <w:jc w:val="both"/>
        <w:ind w:left="1040" w:right="559" w:hanging="343"/>
        <w:spacing w:after="0" w:line="264"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increase in personnel expenses of approximately $76,000 was primarily related to stock-based compensation and wages of our chief medical officer who was hired in October 2009. This position was not filled in the same period of the prior year.</w:t>
      </w:r>
    </w:p>
    <w:p>
      <w:pPr>
        <w:spacing w:after="0" w:line="113" w:lineRule="exact"/>
        <w:rPr>
          <w:rFonts w:ascii="Arial" w:cs="Arial" w:eastAsia="Arial" w:hAnsi="Arial"/>
          <w:sz w:val="18"/>
          <w:szCs w:val="18"/>
          <w:b w:val="1"/>
          <w:bCs w:val="1"/>
          <w:color w:val="auto"/>
        </w:rPr>
      </w:pPr>
    </w:p>
    <w:p>
      <w:pPr>
        <w:jc w:val="both"/>
        <w:ind w:left="1040" w:right="559" w:hanging="343"/>
        <w:spacing w:after="0" w:line="264"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increase in consulting expenses of approximately $13,000 during the current period, in comparison to the same period in the prior year, is due to fees incurred by consultants in order to provide additional analysis on the Phase 3 study data.</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189"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Interest income was $133 and $6,789 for the three months ended March 31, 2010 and 2009, respectively. The decrease is due to a lower average cash balance and lower interest rates during the three month period ended March 31, 2010, as compared to the same period in the prior year.</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Since inception through March 31, 2010, we have incurred losses of approximately $15.8 million. These losses are primarily due to selling, general and administrative and research and development expenses incurred in connection with developing and seeking regulatory approval for our lead drug, Ketotransdel. Historically, our operations have been financed through capital contributions and debt and equity financings.</w:t>
      </w:r>
    </w:p>
    <w:p>
      <w:pPr>
        <w:spacing w:after="0" w:line="146"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As of March 31, 2010, we had approximately $952,000 in cash and cash equivalents. However, on April 5, 2010, we issued a two (2)-year Senior Convertible Promissory Note (the “Note”) to an existing investor through a private placement. The Note includes an annual interest rate of 7.5 percent and (unless converted or prepaid, as noted below) all principal and interest are due and payable on April 5, 2012 (“Maturity Date”). At any time prior to the Maturity Date, the investor may convert all or a portion of the outstanding principal and accrued interest at a conversion ratio of one share of Transdel’s common stock for each $1 owed. Also, at any time prior to Maturity Date, we have the option to prepay the outstanding principal and accrued interest. We received gross proceeds from the issuance of the Note in the aggregate amount of $1,000,000.</w:t>
      </w:r>
    </w:p>
    <w:p>
      <w:pPr>
        <w:sectPr>
          <w:pgSz w:w="11900" w:h="16838" w:orient="portrait"/>
          <w:cols w:equalWidth="0" w:num="1">
            <w:col w:w="10219"/>
          </w:cols>
          <w:pgMar w:left="240" w:top="419" w:right="1440" w:bottom="0" w:gutter="0" w:footer="0" w:header="0"/>
        </w:sectPr>
      </w:pPr>
    </w:p>
    <w:bookmarkStart w:id="16" w:name="page17"/>
    <w:bookmarkEnd w:id="16"/>
    <w:p>
      <w:pPr>
        <w:ind w:left="370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69" w:lineRule="auto"/>
        <w:rPr>
          <w:sz w:val="20"/>
          <w:szCs w:val="20"/>
          <w:color w:val="auto"/>
        </w:rPr>
      </w:pPr>
      <w:r>
        <w:rPr>
          <w:rFonts w:ascii="Arial" w:cs="Arial" w:eastAsia="Arial" w:hAnsi="Arial"/>
          <w:sz w:val="17"/>
          <w:szCs w:val="17"/>
          <w:color w:val="auto"/>
        </w:rPr>
        <w:t>We have limited funds to support our operations. We have prepared our condensed consolidated financial statements in this Form 10-Q on a going-concern basis, which contemplates the realization of assets and the satisfaction of liabilities in the normal course of business. Our continuation as a going concern subsequent to the fourth quarter of 2010 is dependent on our ability to obtain additional financing to fund the continued operation of our business model for a long enough period to achieve profitable operations. As of March 31, 2010, with our current cash and cash equivalents position and the $1 million received from the issuance of the Note, we have forecasted and anticipate having adequate resources in order to execute a portion of our operating plan into the fourth quarter of 2010, which would include the final payments for the Phase 3 clinical trial completed in 2009 and general and administrative expenses. However, in order to execute the second Phase 3 clinical trial of Ketotransdel</w:t>
      </w:r>
      <w:r>
        <w:rPr>
          <w:rFonts w:ascii="Arial" w:cs="Arial" w:eastAsia="Arial" w:hAnsi="Arial"/>
          <w:sz w:val="14"/>
          <w:szCs w:val="14"/>
          <w:color w:val="auto"/>
        </w:rPr>
        <w:t>®</w:t>
      </w:r>
      <w:r>
        <w:rPr>
          <w:rFonts w:ascii="Arial" w:cs="Arial" w:eastAsia="Arial" w:hAnsi="Arial"/>
          <w:sz w:val="17"/>
          <w:szCs w:val="17"/>
          <w:color w:val="auto"/>
        </w:rPr>
        <w:t xml:space="preserve"> which is currently required by the FDA to obtain final regulatory approval for Ketotransdel we would need to raise additional funds. We intend to seek additional financing to fund the second Phase 3 clinical trial as well as to continue our cosmetic/cosmeceutical program and to explore co-development opportunities. If adequate financing is not available, we will not be able to conduct the second Phase 3 trial.</w:t>
      </w:r>
    </w:p>
    <w:p>
      <w:pPr>
        <w:spacing w:after="0" w:line="153" w:lineRule="exact"/>
        <w:rPr>
          <w:sz w:val="20"/>
          <w:szCs w:val="20"/>
          <w:color w:val="auto"/>
        </w:rPr>
      </w:pPr>
    </w:p>
    <w:p>
      <w:pPr>
        <w:jc w:val="both"/>
        <w:ind w:left="340" w:right="559" w:firstLine="747"/>
        <w:spacing w:after="0" w:line="269" w:lineRule="auto"/>
        <w:rPr>
          <w:sz w:val="20"/>
          <w:szCs w:val="20"/>
          <w:color w:val="auto"/>
        </w:rPr>
      </w:pPr>
      <w:r>
        <w:rPr>
          <w:rFonts w:ascii="Arial" w:cs="Arial" w:eastAsia="Arial" w:hAnsi="Arial"/>
          <w:sz w:val="17"/>
          <w:szCs w:val="17"/>
          <w:color w:val="auto"/>
        </w:rPr>
        <w:t>We may be required to pursue sources of additional capital to fund our operations through various means, including equity or debt financing, funding from a corporate partnership or licensing arrangement or any similar financing.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spacing w:after="0" w:line="142" w:lineRule="exact"/>
        <w:rPr>
          <w:sz w:val="20"/>
          <w:szCs w:val="20"/>
          <w:color w:val="auto"/>
        </w:rPr>
      </w:pPr>
    </w:p>
    <w:p>
      <w:pPr>
        <w:jc w:val="both"/>
        <w:ind w:left="340" w:right="559" w:firstLine="747"/>
        <w:spacing w:after="0" w:line="273" w:lineRule="auto"/>
        <w:rPr>
          <w:sz w:val="20"/>
          <w:szCs w:val="20"/>
          <w:color w:val="auto"/>
        </w:rPr>
      </w:pPr>
      <w:r>
        <w:rPr>
          <w:rFonts w:ascii="Arial" w:cs="Arial" w:eastAsia="Arial" w:hAnsi="Arial"/>
          <w:sz w:val="17"/>
          <w:szCs w:val="17"/>
          <w:color w:val="auto"/>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and need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left="340" w:right="559" w:firstLine="747"/>
        <w:spacing w:after="0" w:line="312" w:lineRule="auto"/>
        <w:rPr>
          <w:sz w:val="20"/>
          <w:szCs w:val="20"/>
          <w:color w:val="auto"/>
        </w:rPr>
      </w:pPr>
      <w:r>
        <w:rPr>
          <w:rFonts w:ascii="Arial" w:cs="Arial" w:eastAsia="Arial" w:hAnsi="Arial"/>
          <w:sz w:val="16"/>
          <w:szCs w:val="16"/>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106" w:lineRule="exact"/>
        <w:rPr>
          <w:sz w:val="20"/>
          <w:szCs w:val="20"/>
          <w:color w:val="auto"/>
        </w:rPr>
      </w:pPr>
    </w:p>
    <w:p>
      <w:pPr>
        <w:jc w:val="both"/>
        <w:ind w:left="340" w:right="559" w:firstLine="747"/>
        <w:spacing w:after="0" w:line="273" w:lineRule="auto"/>
        <w:rPr>
          <w:sz w:val="20"/>
          <w:szCs w:val="20"/>
          <w:color w:val="auto"/>
        </w:rPr>
      </w:pPr>
      <w:r>
        <w:rPr>
          <w:rFonts w:ascii="Arial" w:cs="Arial" w:eastAsia="Arial" w:hAnsi="Arial"/>
          <w:sz w:val="17"/>
          <w:szCs w:val="17"/>
          <w:color w:val="auto"/>
        </w:rPr>
        <w:t>We believe that the accounting policies described below are critical to understanding our business, results of operations and financial condition because they involve more significant judgments and estimates used in the preparation of our condensed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condensed consolidated financial statements.</w:t>
      </w:r>
    </w:p>
    <w:p>
      <w:pPr>
        <w:spacing w:after="0" w:line="13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most critical accounting policies and estimates that may materially impact our results of operations include:</w:t>
      </w:r>
    </w:p>
    <w:p>
      <w:pPr>
        <w:spacing w:after="0" w:line="210"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All share-based payments to employees, including grants of employee stock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grants, to be recognized in the financial statements based upon their fair values. We use the Black-Scholes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spacing w:after="0" w:line="148" w:lineRule="exact"/>
        <w:rPr>
          <w:sz w:val="20"/>
          <w:szCs w:val="20"/>
          <w:color w:val="auto"/>
        </w:rPr>
      </w:pPr>
    </w:p>
    <w:p>
      <w:pPr>
        <w:jc w:val="both"/>
        <w:ind w:left="340" w:right="559" w:firstLine="747"/>
        <w:spacing w:after="0" w:line="253" w:lineRule="auto"/>
        <w:rPr>
          <w:sz w:val="20"/>
          <w:szCs w:val="20"/>
          <w:color w:val="auto"/>
        </w:rPr>
      </w:pPr>
      <w:r>
        <w:rPr>
          <w:rFonts w:ascii="Arial" w:cs="Arial" w:eastAsia="Arial" w:hAnsi="Arial"/>
          <w:sz w:val="18"/>
          <w:szCs w:val="18"/>
          <w:color w:val="auto"/>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Recent accounting pronouncements issued by the FASB did not or are not believed by management to have a material impact on our present or future condensed consolidated financial statements.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4T. Controls and Procedures.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85" w:lineRule="exact"/>
        <w:rPr>
          <w:sz w:val="20"/>
          <w:szCs w:val="20"/>
          <w:color w:val="auto"/>
        </w:rPr>
      </w:pPr>
    </w:p>
    <w:p>
      <w:pPr>
        <w:jc w:val="both"/>
        <w:ind w:left="340" w:right="559" w:firstLine="747"/>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under the Exchange Act is recorded, processed, summarized and reported within the time periods specified in the Commission’s rules and forms and that such information is accumulated and communicated to our management, including our acting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jc w:val="both"/>
        <w:ind w:left="340" w:right="559" w:firstLine="747"/>
        <w:spacing w:after="0" w:line="276" w:lineRule="auto"/>
        <w:rPr>
          <w:sz w:val="20"/>
          <w:szCs w:val="20"/>
          <w:color w:val="auto"/>
        </w:rPr>
      </w:pPr>
      <w:r>
        <w:rPr>
          <w:rFonts w:ascii="Arial" w:cs="Arial" w:eastAsia="Arial" w:hAnsi="Arial"/>
          <w:sz w:val="17"/>
          <w:szCs w:val="17"/>
          <w:color w:val="auto"/>
        </w:rPr>
        <w:t>As required by Commission Rule 13a-15(b), we carried out an evaluation, under the supervision and with the participation of our management, including our acting Chief Executive Officer and the Chief Financial Officer, of the effectiveness of the design and operation of our disclosure controls and procedures as of the end of the quarter covered by this quarterly report on Form 10-Q. Based on the foregoing, our acting Chief Executive Officer and Chief Financial Officer concluded that our disclosure controls and procedures were effective at the reasonable assurance level.</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left="340" w:right="559" w:firstLine="747"/>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INFORMATION</w:t>
      </w:r>
    </w:p>
    <w:p>
      <w:pPr>
        <w:spacing w:after="0" w:line="180"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559" w:firstLine="747"/>
        <w:spacing w:after="0" w:line="289" w:lineRule="auto"/>
        <w:rPr>
          <w:sz w:val="20"/>
          <w:szCs w:val="20"/>
          <w:color w:val="auto"/>
        </w:rPr>
      </w:pPr>
      <w:r>
        <w:rPr>
          <w:rFonts w:ascii="Arial" w:cs="Arial" w:eastAsia="Arial" w:hAnsi="Arial"/>
          <w:sz w:val="16"/>
          <w:szCs w:val="16"/>
          <w:i w:val="1"/>
          <w:iCs w:val="1"/>
          <w:color w:val="auto"/>
        </w:rPr>
        <w:t>You should consider carefully the following information about the risks described below, together with the other information contained in this quarterly report on Form 10-Q and in our other filings with the Securities and Exchange Commission, before you decide to buy or maintain an investment in our common stock. We believe the risks described below are the risks that are material to us as of the date of this quarterly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 The risk factors set forth below with an asterisk (*) next to the title are new risk factors or risk factors containing changes, including any material changes from the risk factors set forth in our annual report on Form 10-K for the fiscal year ended December 31, 2009, as filed with the Securities and Exchange Commission on March 31, 2010.</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Relating to Our Business</w:t>
      </w:r>
    </w:p>
    <w:p>
      <w:pPr>
        <w:spacing w:after="0" w:line="189" w:lineRule="exact"/>
        <w:rPr>
          <w:sz w:val="20"/>
          <w:szCs w:val="20"/>
          <w:color w:val="auto"/>
        </w:rPr>
      </w:pPr>
    </w:p>
    <w:p>
      <w:pPr>
        <w:jc w:val="both"/>
        <w:ind w:left="340" w:right="559" w:firstLine="747"/>
        <w:spacing w:after="0" w:line="308" w:lineRule="auto"/>
        <w:rPr>
          <w:sz w:val="20"/>
          <w:szCs w:val="20"/>
          <w:color w:val="auto"/>
        </w:rPr>
      </w:pPr>
      <w:r>
        <w:rPr>
          <w:rFonts w:ascii="Arial" w:cs="Arial" w:eastAsia="Arial" w:hAnsi="Arial"/>
          <w:sz w:val="17"/>
          <w:szCs w:val="17"/>
          <w:b w:val="1"/>
          <w:bCs w:val="1"/>
          <w:i w:val="1"/>
          <w:iCs w:val="1"/>
          <w:color w:val="auto"/>
        </w:rPr>
        <w:t>*We have incurred losses in the research and development of Ketotransdel</w:t>
      </w:r>
      <w:r>
        <w:rPr>
          <w:rFonts w:ascii="Arial" w:cs="Arial" w:eastAsia="Arial" w:hAnsi="Arial"/>
          <w:sz w:val="14"/>
          <w:szCs w:val="14"/>
          <w:b w:val="1"/>
          <w:bCs w:val="1"/>
          <w:i w:val="1"/>
          <w:iCs w:val="1"/>
          <w:color w:val="auto"/>
        </w:rPr>
        <w:t>®</w:t>
      </w:r>
      <w:r>
        <w:rPr>
          <w:rFonts w:ascii="Arial" w:cs="Arial" w:eastAsia="Arial" w:hAnsi="Arial"/>
          <w:sz w:val="17"/>
          <w:szCs w:val="17"/>
          <w:b w:val="1"/>
          <w:bCs w:val="1"/>
          <w:i w:val="1"/>
          <w:iCs w:val="1"/>
          <w:color w:val="auto"/>
        </w:rPr>
        <w:t xml:space="preserve"> and our Transdel™ technology since inception. No assurance can be given that we will ever generate revenue or become profitable.</w:t>
      </w:r>
    </w:p>
    <w:p>
      <w:pPr>
        <w:spacing w:after="0" w:line="120" w:lineRule="exact"/>
        <w:rPr>
          <w:sz w:val="20"/>
          <w:szCs w:val="20"/>
          <w:color w:val="auto"/>
        </w:rPr>
      </w:pPr>
    </w:p>
    <w:p>
      <w:pPr>
        <w:jc w:val="both"/>
        <w:ind w:left="340" w:right="559" w:firstLine="747"/>
        <w:spacing w:after="0" w:line="253" w:lineRule="auto"/>
        <w:rPr>
          <w:sz w:val="20"/>
          <w:szCs w:val="20"/>
          <w:color w:val="auto"/>
        </w:rPr>
      </w:pPr>
      <w:r>
        <w:rPr>
          <w:rFonts w:ascii="Arial" w:cs="Arial" w:eastAsia="Arial" w:hAnsi="Arial"/>
          <w:sz w:val="18"/>
          <w:szCs w:val="18"/>
          <w:color w:val="auto"/>
        </w:rPr>
        <w:t>Since inception we have recorded operating losses. From Inception through March 31, 2010, we have a deficit accumulated during the development stage of approximately $15.8 million, and for the three months ended March 31, 2010, we experienced a net loss of approximately $871,000.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cosmetic/cosmeceutical products. The license fees for such drugs or active ingredients may increase our costs.</w:t>
      </w:r>
    </w:p>
    <w:p>
      <w:pPr>
        <w:spacing w:after="0" w:line="157"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As we continue to engage in the development of Ketotransdel</w:t>
      </w:r>
      <w:r>
        <w:rPr>
          <w:rFonts w:ascii="Arial" w:cs="Arial" w:eastAsia="Arial" w:hAnsi="Arial"/>
          <w:sz w:val="14"/>
          <w:szCs w:val="14"/>
          <w:color w:val="auto"/>
        </w:rPr>
        <w:t>®</w:t>
      </w:r>
      <w:r>
        <w:rPr>
          <w:rFonts w:ascii="Arial" w:cs="Arial" w:eastAsia="Arial" w:hAnsi="Arial"/>
          <w:sz w:val="17"/>
          <w:szCs w:val="17"/>
          <w:color w:val="auto"/>
        </w:rPr>
        <w:t xml:space="preserve"> and develop other products, including cosmetic/cosmeceutical products, there can be no assurance that we will ever be able to achieve or sustain market acceptance, profitability or positive cash flow. Our ultimate success will depend on many factors, including whether Ketotransdel</w:t>
      </w:r>
      <w:r>
        <w:rPr>
          <w:rFonts w:ascii="Arial" w:cs="Arial" w:eastAsia="Arial" w:hAnsi="Arial"/>
          <w:sz w:val="14"/>
          <w:szCs w:val="14"/>
          <w:color w:val="auto"/>
        </w:rPr>
        <w:t>®</w:t>
      </w:r>
      <w:r>
        <w:rPr>
          <w:rFonts w:ascii="Arial" w:cs="Arial" w:eastAsia="Arial" w:hAnsi="Arial"/>
          <w:sz w:val="17"/>
          <w:szCs w:val="17"/>
          <w:color w:val="auto"/>
        </w:rPr>
        <w:t xml:space="preserve"> receives FDA approval. We cannot be certain that we will receive FDA approval for Ketotransdel</w:t>
      </w:r>
      <w:r>
        <w:rPr>
          <w:rFonts w:ascii="Arial" w:cs="Arial" w:eastAsia="Arial" w:hAnsi="Arial"/>
          <w:sz w:val="14"/>
          <w:szCs w:val="14"/>
          <w:color w:val="auto"/>
        </w:rPr>
        <w:t>®</w:t>
      </w:r>
      <w:r>
        <w:rPr>
          <w:rFonts w:ascii="Arial" w:cs="Arial" w:eastAsia="Arial" w:hAnsi="Arial"/>
          <w:sz w:val="17"/>
          <w:szCs w:val="17"/>
          <w:color w:val="auto"/>
        </w:rPr>
        <w:t>,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spacing w:after="0" w:line="137" w:lineRule="exact"/>
        <w:rPr>
          <w:sz w:val="20"/>
          <w:szCs w:val="20"/>
          <w:color w:val="auto"/>
        </w:rPr>
      </w:pPr>
    </w:p>
    <w:p>
      <w:pPr>
        <w:jc w:val="both"/>
        <w:ind w:left="340" w:right="559" w:firstLine="747"/>
        <w:spacing w:after="0" w:line="312" w:lineRule="auto"/>
        <w:rPr>
          <w:sz w:val="20"/>
          <w:szCs w:val="20"/>
          <w:color w:val="auto"/>
        </w:rPr>
      </w:pPr>
      <w:r>
        <w:rPr>
          <w:rFonts w:ascii="Arial" w:cs="Arial" w:eastAsia="Arial" w:hAnsi="Arial"/>
          <w:sz w:val="16"/>
          <w:szCs w:val="16"/>
          <w:b w:val="1"/>
          <w:bCs w:val="1"/>
          <w:i w:val="1"/>
          <w:iCs w:val="1"/>
          <w:color w:val="auto"/>
        </w:rPr>
        <w:t>*The report of our independent registered public accounting firm on our 2009 consolidated financial statements contains a going concern modification, and we will need additional financing to execute our business plan, fund our operations and to continue as a going concern, which additional financing may not be available on a timely basis, or at all.</w:t>
      </w:r>
    </w:p>
    <w:p>
      <w:pPr>
        <w:spacing w:after="0" w:line="120" w:lineRule="exact"/>
        <w:rPr>
          <w:sz w:val="20"/>
          <w:szCs w:val="20"/>
          <w:color w:val="auto"/>
        </w:rPr>
      </w:pPr>
    </w:p>
    <w:p>
      <w:pPr>
        <w:jc w:val="both"/>
        <w:ind w:left="340" w:right="559" w:firstLine="747"/>
        <w:spacing w:after="0" w:line="286" w:lineRule="auto"/>
        <w:rPr>
          <w:sz w:val="20"/>
          <w:szCs w:val="20"/>
          <w:color w:val="auto"/>
        </w:rPr>
      </w:pPr>
      <w:r>
        <w:rPr>
          <w:rFonts w:ascii="Arial" w:cs="Arial" w:eastAsia="Arial" w:hAnsi="Arial"/>
          <w:sz w:val="16"/>
          <w:szCs w:val="16"/>
          <w:color w:val="auto"/>
        </w:rPr>
        <w:t>We have limited remaining funds to support our operations. We have prepared our condensed consolidated financial statements in this Form 10-Q on a going-concern basis, which contemplates the realization of assets and the satisfaction of liabilities in the normal course of business. We will not be able to execute our current business plan, fund our business operations or continue as a going concern long enough to achieve profitability unless we are able to secure additional funds. As of March 31, 2010, with our current cash and cash equivalents position and the $1 million of proceeds from the issuance of the senior convertible promissory note in April 2010, we have forecasted and anticipate having adequate resources in order to execute a portion of our operating plan into the fourth quarter of 2010, which would include the final payments for the Phase 3 clinical trial completed in 2009 and general and administrative expenses. The Report of Independent Registered Public Accounting Firm on our December 31, 2009 consolidated financial statements includes an explanatory paragraph stating that the recurring losses incurred from operations and a working capital deficiency raise substantial doubt about our ability to continue as a going concern. However, in order to meet the FDA’s requirement for two adequate and well controlled Phase 3 clinical trials in order to obtain regulatory approval to market Ketotransdel</w:t>
      </w:r>
      <w:r>
        <w:rPr>
          <w:rFonts w:ascii="Arial" w:cs="Arial" w:eastAsia="Arial" w:hAnsi="Arial"/>
          <w:sz w:val="13"/>
          <w:szCs w:val="13"/>
          <w:color w:val="auto"/>
        </w:rPr>
        <w:t>®</w:t>
      </w:r>
      <w:r>
        <w:rPr>
          <w:rFonts w:ascii="Arial" w:cs="Arial" w:eastAsia="Arial" w:hAnsi="Arial"/>
          <w:sz w:val="16"/>
          <w:szCs w:val="16"/>
          <w:color w:val="auto"/>
        </w:rPr>
        <w:t>, we will need to secure additional funds. If adequate financing is not available, we will not be able to meet the FDA’s requirements to obtain regulatory approval to market Ketotransdel</w:t>
      </w:r>
      <w:r>
        <w:rPr>
          <w:rFonts w:ascii="Arial" w:cs="Arial" w:eastAsia="Arial" w:hAnsi="Arial"/>
          <w:sz w:val="13"/>
          <w:szCs w:val="13"/>
          <w:color w:val="auto"/>
        </w:rPr>
        <w:t>®</w:t>
      </w:r>
      <w:r>
        <w:rPr>
          <w:rFonts w:ascii="Arial" w:cs="Arial" w:eastAsia="Arial" w:hAnsi="Arial"/>
          <w:sz w:val="16"/>
          <w:szCs w:val="16"/>
          <w:color w:val="auto"/>
        </w:rPr>
        <w:t>. In addition, if one or more of the risks discussed in these risk factors occur or our expenses exceed our expectations, we may be required to raise further additional funds sooner than anticipated.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69" w:lineRule="auto"/>
        <w:rPr>
          <w:sz w:val="20"/>
          <w:szCs w:val="20"/>
          <w:color w:val="auto"/>
        </w:rPr>
      </w:pPr>
      <w:r>
        <w:rPr>
          <w:rFonts w:ascii="Arial" w:cs="Arial" w:eastAsia="Arial" w:hAnsi="Arial"/>
          <w:sz w:val="17"/>
          <w:szCs w:val="17"/>
          <w:color w:val="auto"/>
        </w:rPr>
        <w:t>We will be required to pursue sources of additional capital to fund our operations through various means, including equity or debt financing, funding from a corporate partnership or licensing arrangement or any similar financing.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spacing w:after="0" w:line="156" w:lineRule="exact"/>
        <w:rPr>
          <w:sz w:val="20"/>
          <w:szCs w:val="20"/>
          <w:color w:val="auto"/>
        </w:rPr>
      </w:pPr>
    </w:p>
    <w:p>
      <w:pPr>
        <w:jc w:val="both"/>
        <w:ind w:left="340" w:right="559" w:firstLine="747"/>
        <w:spacing w:after="0" w:line="254" w:lineRule="auto"/>
        <w:rPr>
          <w:sz w:val="20"/>
          <w:szCs w:val="20"/>
          <w:color w:val="auto"/>
        </w:rPr>
      </w:pPr>
      <w:r>
        <w:rPr>
          <w:rFonts w:ascii="Arial" w:cs="Arial" w:eastAsia="Arial" w:hAnsi="Arial"/>
          <w:sz w:val="18"/>
          <w:szCs w:val="18"/>
          <w:color w:val="auto"/>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and will need significant additional funds to meet the FDA’s requirement for two adequate and well controlled Phase 3 clinical trials in order to obtain regulatory approval to market Ketotransdel</w:t>
      </w:r>
      <w:r>
        <w:rPr>
          <w:rFonts w:ascii="Arial" w:cs="Arial" w:eastAsia="Arial" w:hAnsi="Arial"/>
          <w:sz w:val="15"/>
          <w:szCs w:val="15"/>
          <w:color w:val="auto"/>
        </w:rPr>
        <w:t>®</w:t>
      </w:r>
      <w:r>
        <w:rPr>
          <w:rFonts w:ascii="Arial" w:cs="Arial" w:eastAsia="Arial" w:hAnsi="Arial"/>
          <w:sz w:val="18"/>
          <w:szCs w:val="18"/>
          <w:color w:val="auto"/>
        </w:rPr>
        <w:t xml:space="preserve"> and any other clinical trials we would want to commence for other products,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6"/>
          <w:szCs w:val="16"/>
          <w:b w:val="1"/>
          <w:bCs w:val="1"/>
          <w:i w:val="1"/>
          <w:iCs w:val="1"/>
          <w:color w:val="auto"/>
        </w:rPr>
        <w:t>We may not be able to correctly estimate our future operating expenses, which could lead to cash shortfalls.</w:t>
      </w:r>
    </w:p>
    <w:p>
      <w:pPr>
        <w:spacing w:after="0" w:line="208"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Our operating expenses may fluctuate significantly in the future as a result of a variety of factors, many of which are outside of our control. These factors include:</w:t>
      </w:r>
    </w:p>
    <w:p>
      <w:pPr>
        <w:spacing w:after="0" w:line="143" w:lineRule="exact"/>
        <w:rPr>
          <w:sz w:val="20"/>
          <w:szCs w:val="20"/>
          <w:color w:val="auto"/>
        </w:rPr>
      </w:pPr>
    </w:p>
    <w:p>
      <w:pPr>
        <w:ind w:left="1800" w:right="559" w:hanging="360"/>
        <w:spacing w:after="0" w:line="277" w:lineRule="auto"/>
        <w:tabs>
          <w:tab w:leader="none" w:pos="18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time and resources required to develop, conduct clinical trials and obtain regulatory approvals for our drug candidates;</w:t>
      </w:r>
    </w:p>
    <w:p>
      <w:pPr>
        <w:spacing w:after="0" w:line="102" w:lineRule="exact"/>
        <w:rPr>
          <w:rFonts w:ascii="Arial" w:cs="Arial" w:eastAsia="Arial" w:hAnsi="Arial"/>
          <w:sz w:val="18"/>
          <w:szCs w:val="18"/>
          <w:b w:val="1"/>
          <w:bCs w:val="1"/>
          <w:color w:val="auto"/>
        </w:rPr>
      </w:pPr>
    </w:p>
    <w:p>
      <w:pPr>
        <w:ind w:left="1800" w:hanging="360"/>
        <w:spacing w:after="0"/>
        <w:tabs>
          <w:tab w:leader="none" w:pos="18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to attract and retain personnel with the skills required for effective operations; and</w:t>
      </w:r>
    </w:p>
    <w:p>
      <w:pPr>
        <w:spacing w:after="0" w:line="157" w:lineRule="exact"/>
        <w:rPr>
          <w:rFonts w:ascii="Arial" w:cs="Arial" w:eastAsia="Arial" w:hAnsi="Arial"/>
          <w:sz w:val="18"/>
          <w:szCs w:val="18"/>
          <w:b w:val="1"/>
          <w:bCs w:val="1"/>
          <w:color w:val="auto"/>
        </w:rPr>
      </w:pPr>
    </w:p>
    <w:p>
      <w:pPr>
        <w:ind w:left="1800" w:right="559" w:hanging="360"/>
        <w:spacing w:after="0" w:line="277" w:lineRule="auto"/>
        <w:tabs>
          <w:tab w:leader="none" w:pos="18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30"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b w:val="1"/>
          <w:bCs w:val="1"/>
          <w:i w:val="1"/>
          <w:iCs w:val="1"/>
          <w:color w:val="auto"/>
        </w:rPr>
        <w:t>Timing and results of clinical trials to demonstrate the safety and efficacy of products as well as FDA approval of products are uncertain.</w:t>
      </w:r>
    </w:p>
    <w:p>
      <w:pPr>
        <w:spacing w:after="0" w:line="130"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We are subject to extensive government regulations. The process of obtaining FDA approval is costly, time consuming, uncertain and subject to unanticipated delays. Before obtaining regulatory approvals for the sale of any of our products, we must demonstrate through preclinical studies and clinical trials that the product is safe and effective for each intended use. Preclinical and clinical studies may fail to demonstrate the safety and effectiveness of a product.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the approval may be limited to specific indications or limited with respect to its distribution, which could limit revenues.</w:t>
      </w:r>
    </w:p>
    <w:p>
      <w:pPr>
        <w:spacing w:after="0" w:line="140"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We cannot assure you that the FDA or other regulatory agencies will approve any products developed by us, on a timely basis, if at all, or, if granted, that such approval will not subject the marketing of our products to certain limits on indicated use. In particular, the outcome of the final analyses of the data from the Phase 3 clinical trial for Ketotransdel</w:t>
      </w:r>
      <w:r>
        <w:rPr>
          <w:rFonts w:ascii="Arial" w:cs="Arial" w:eastAsia="Arial" w:hAnsi="Arial"/>
          <w:sz w:val="14"/>
          <w:szCs w:val="14"/>
          <w:color w:val="auto"/>
        </w:rPr>
        <w:t>®</w:t>
      </w:r>
      <w:r>
        <w:rPr>
          <w:rFonts w:ascii="Arial" w:cs="Arial" w:eastAsia="Arial" w:hAnsi="Arial"/>
          <w:sz w:val="17"/>
          <w:szCs w:val="17"/>
          <w:color w:val="auto"/>
        </w:rPr>
        <w:t xml:space="preserve"> may vary from our initial conclusions or the FDA may not agree with our interpretation of such results or may challenge the adequacy of our clinical trial design or the execution of the clinical trial, including our modified ITT analysis for our Phase 3 clinical trial of Ketotransdel</w:t>
      </w:r>
      <w:r>
        <w:rPr>
          <w:rFonts w:ascii="Arial" w:cs="Arial" w:eastAsia="Arial" w:hAnsi="Arial"/>
          <w:sz w:val="14"/>
          <w:szCs w:val="14"/>
          <w:color w:val="auto"/>
        </w:rPr>
        <w:t>®</w:t>
      </w:r>
      <w:r>
        <w:rPr>
          <w:rFonts w:ascii="Arial" w:cs="Arial" w:eastAsia="Arial" w:hAnsi="Arial"/>
          <w:sz w:val="17"/>
          <w:szCs w:val="17"/>
          <w:color w:val="auto"/>
        </w:rPr>
        <w:t>. The FDA is requiring two adequate and well controlled Phase 3 clinical trials for Ketotransdel</w:t>
      </w:r>
      <w:r>
        <w:rPr>
          <w:rFonts w:ascii="Arial" w:cs="Arial" w:eastAsia="Arial" w:hAnsi="Arial"/>
          <w:sz w:val="14"/>
          <w:szCs w:val="14"/>
          <w:color w:val="auto"/>
        </w:rPr>
        <w:t>®</w:t>
      </w:r>
      <w:r>
        <w:rPr>
          <w:rFonts w:ascii="Arial" w:cs="Arial" w:eastAsia="Arial" w:hAnsi="Arial"/>
          <w:sz w:val="17"/>
          <w:szCs w:val="17"/>
          <w:color w:val="auto"/>
        </w:rPr>
        <w:t xml:space="preserve"> before we can submit a 505(b) (2) New Drug Application. In addition, the results of any future clinical trials may not be favorable and we may never receive regulatory approval for Ketotransdel</w:t>
      </w:r>
      <w:r>
        <w:rPr>
          <w:rFonts w:ascii="Arial" w:cs="Arial" w:eastAsia="Arial" w:hAnsi="Arial"/>
          <w:sz w:val="14"/>
          <w:szCs w:val="14"/>
          <w:color w:val="auto"/>
        </w:rPr>
        <w:t>®</w:t>
      </w:r>
      <w:r>
        <w:rPr>
          <w:rFonts w:ascii="Arial" w:cs="Arial" w:eastAsia="Arial" w:hAnsi="Arial"/>
          <w:sz w:val="17"/>
          <w:szCs w:val="17"/>
          <w:color w:val="auto"/>
        </w:rPr>
        <w:t>. Any limitation on use imposed by the FDA or delay in or failure to obtain FDA approvals of products developed by us would adversely affect the marketing of these products and our ability to generate product revenue, as well as adversely affect the price of our common stock.</w:t>
      </w: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b w:val="1"/>
          <w:bCs w:val="1"/>
          <w:i w:val="1"/>
          <w:iCs w:val="1"/>
          <w:color w:val="auto"/>
        </w:rPr>
        <w:t>If we fail to comply with continuing federal, state and foreign regulations, we could lose our approvals to market drugs and our business would be seriously harmed.</w:t>
      </w:r>
    </w:p>
    <w:p>
      <w:pPr>
        <w:spacing w:after="0" w:line="143" w:lineRule="exact"/>
        <w:rPr>
          <w:sz w:val="20"/>
          <w:szCs w:val="20"/>
          <w:color w:val="auto"/>
        </w:rPr>
      </w:pPr>
    </w:p>
    <w:p>
      <w:pPr>
        <w:jc w:val="both"/>
        <w:ind w:left="340" w:right="559" w:firstLine="747"/>
        <w:spacing w:after="0" w:line="269" w:lineRule="auto"/>
        <w:rPr>
          <w:sz w:val="20"/>
          <w:szCs w:val="20"/>
          <w:color w:val="auto"/>
        </w:rPr>
      </w:pPr>
      <w:r>
        <w:rPr>
          <w:rFonts w:ascii="Arial" w:cs="Arial" w:eastAsia="Arial" w:hAnsi="Arial"/>
          <w:sz w:val="17"/>
          <w:szCs w:val="17"/>
          <w:color w:val="auto"/>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or foreign regulatory agency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spacing w:after="0" w:line="142" w:lineRule="exact"/>
        <w:rPr>
          <w:sz w:val="20"/>
          <w:szCs w:val="20"/>
          <w:color w:val="auto"/>
        </w:rPr>
      </w:pPr>
    </w:p>
    <w:p>
      <w:pPr>
        <w:ind w:left="1800" w:hanging="360"/>
        <w:spacing w:after="0"/>
        <w:tabs>
          <w:tab w:leader="none" w:pos="1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issue warning letters;</w:t>
      </w:r>
    </w:p>
    <w:p>
      <w:pPr>
        <w:spacing w:after="0" w:line="157" w:lineRule="exact"/>
        <w:rPr>
          <w:rFonts w:ascii="Arial" w:cs="Arial" w:eastAsia="Arial" w:hAnsi="Arial"/>
          <w:sz w:val="18"/>
          <w:szCs w:val="18"/>
          <w:b w:val="1"/>
          <w:bCs w:val="1"/>
          <w:color w:val="auto"/>
        </w:rPr>
      </w:pPr>
    </w:p>
    <w:p>
      <w:pPr>
        <w:ind w:left="1800" w:hanging="360"/>
        <w:spacing w:after="0"/>
        <w:tabs>
          <w:tab w:leader="none" w:pos="1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impose civil or criminal penalties;</w:t>
      </w:r>
    </w:p>
    <w:p>
      <w:pPr>
        <w:spacing w:after="0" w:line="157" w:lineRule="exact"/>
        <w:rPr>
          <w:rFonts w:ascii="Arial" w:cs="Arial" w:eastAsia="Arial" w:hAnsi="Arial"/>
          <w:sz w:val="18"/>
          <w:szCs w:val="18"/>
          <w:b w:val="1"/>
          <w:bCs w:val="1"/>
          <w:color w:val="auto"/>
        </w:rPr>
      </w:pPr>
    </w:p>
    <w:p>
      <w:pPr>
        <w:ind w:left="1800" w:hanging="360"/>
        <w:spacing w:after="0"/>
        <w:tabs>
          <w:tab w:leader="none" w:pos="1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suspend or withdraw our regulatory approval;</w:t>
      </w:r>
    </w:p>
    <w:p>
      <w:pPr>
        <w:spacing w:after="0" w:line="157" w:lineRule="exact"/>
        <w:rPr>
          <w:rFonts w:ascii="Arial" w:cs="Arial" w:eastAsia="Arial" w:hAnsi="Arial"/>
          <w:sz w:val="18"/>
          <w:szCs w:val="18"/>
          <w:b w:val="1"/>
          <w:bCs w:val="1"/>
          <w:color w:val="auto"/>
        </w:rPr>
      </w:pPr>
    </w:p>
    <w:p>
      <w:pPr>
        <w:ind w:left="1800" w:hanging="360"/>
        <w:spacing w:after="0"/>
        <w:tabs>
          <w:tab w:leader="none" w:pos="1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suspend or terminate any of our ongoing clinical trials;</w:t>
      </w:r>
    </w:p>
    <w:p>
      <w:pPr>
        <w:spacing w:after="0" w:line="157" w:lineRule="exact"/>
        <w:rPr>
          <w:rFonts w:ascii="Arial" w:cs="Arial" w:eastAsia="Arial" w:hAnsi="Arial"/>
          <w:sz w:val="18"/>
          <w:szCs w:val="18"/>
          <w:b w:val="1"/>
          <w:bCs w:val="1"/>
          <w:color w:val="auto"/>
        </w:rPr>
      </w:pPr>
    </w:p>
    <w:p>
      <w:pPr>
        <w:ind w:left="1800" w:hanging="360"/>
        <w:spacing w:after="0"/>
        <w:tabs>
          <w:tab w:leader="none" w:pos="1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refuse to approve pending applications or supplements to approved applications filed by us;</w:t>
      </w:r>
    </w:p>
    <w:p>
      <w:pPr>
        <w:spacing w:after="0" w:line="157" w:lineRule="exact"/>
        <w:rPr>
          <w:rFonts w:ascii="Arial" w:cs="Arial" w:eastAsia="Arial" w:hAnsi="Arial"/>
          <w:sz w:val="18"/>
          <w:szCs w:val="18"/>
          <w:b w:val="1"/>
          <w:bCs w:val="1"/>
          <w:color w:val="auto"/>
        </w:rPr>
      </w:pPr>
    </w:p>
    <w:p>
      <w:pPr>
        <w:ind w:left="1800" w:hanging="360"/>
        <w:spacing w:after="0"/>
        <w:tabs>
          <w:tab w:leader="none" w:pos="1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impose restrictions on our operations;</w:t>
      </w:r>
    </w:p>
    <w:p>
      <w:pPr>
        <w:spacing w:after="0" w:line="157" w:lineRule="exact"/>
        <w:rPr>
          <w:rFonts w:ascii="Arial" w:cs="Arial" w:eastAsia="Arial" w:hAnsi="Arial"/>
          <w:sz w:val="18"/>
          <w:szCs w:val="18"/>
          <w:b w:val="1"/>
          <w:bCs w:val="1"/>
          <w:color w:val="auto"/>
        </w:rPr>
      </w:pPr>
    </w:p>
    <w:p>
      <w:pPr>
        <w:ind w:left="1800" w:hanging="360"/>
        <w:spacing w:after="0"/>
        <w:tabs>
          <w:tab w:leader="none" w:pos="1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close the facilities of our contract manufacturers; or</w:t>
      </w:r>
    </w:p>
    <w:p>
      <w:pPr>
        <w:spacing w:after="0" w:line="157" w:lineRule="exact"/>
        <w:rPr>
          <w:rFonts w:ascii="Arial" w:cs="Arial" w:eastAsia="Arial" w:hAnsi="Arial"/>
          <w:sz w:val="18"/>
          <w:szCs w:val="18"/>
          <w:b w:val="1"/>
          <w:bCs w:val="1"/>
          <w:color w:val="auto"/>
        </w:rPr>
      </w:pPr>
    </w:p>
    <w:p>
      <w:pPr>
        <w:ind w:left="1800" w:hanging="360"/>
        <w:spacing w:after="0"/>
        <w:tabs>
          <w:tab w:leader="none" w:pos="1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seize or detain products or require a product recall.</w:t>
      </w:r>
    </w:p>
    <w:p>
      <w:pPr>
        <w:spacing w:after="0" w:line="185" w:lineRule="exact"/>
        <w:rPr>
          <w:sz w:val="20"/>
          <w:szCs w:val="20"/>
          <w:color w:val="auto"/>
        </w:rPr>
      </w:pPr>
    </w:p>
    <w:p>
      <w:pPr>
        <w:jc w:val="both"/>
        <w:ind w:left="340" w:right="559" w:firstLine="747"/>
        <w:spacing w:after="0" w:line="276" w:lineRule="auto"/>
        <w:rPr>
          <w:sz w:val="20"/>
          <w:szCs w:val="20"/>
          <w:color w:val="auto"/>
        </w:rPr>
      </w:pPr>
      <w:r>
        <w:rPr>
          <w:rFonts w:ascii="Arial" w:cs="Arial" w:eastAsia="Arial" w:hAnsi="Arial"/>
          <w:sz w:val="17"/>
          <w:szCs w:val="17"/>
          <w:color w:val="auto"/>
        </w:rPr>
        <w:t>Additionally, regulatory review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46"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Additionally, we may not be able to obtain the labeling claims necessary or desirable for product promotion.</w:t>
      </w:r>
    </w:p>
    <w:p>
      <w:pPr>
        <w:spacing w:after="0" w:line="146"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b w:val="1"/>
          <w:bCs w:val="1"/>
          <w:i w:val="1"/>
          <w:iCs w:val="1"/>
          <w:color w:val="auto"/>
        </w:rPr>
        <w:t>Delays in the conduct or completion of our clinical and non-clinical trials or the analysis of the data from our clinical or non-clinical trials may result in delays in our planned filings for regulatory approvals, and may adversely affect our business.</w:t>
      </w:r>
    </w:p>
    <w:p>
      <w:pPr>
        <w:spacing w:after="0" w:line="141"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spacing w:after="0" w:line="154" w:lineRule="exact"/>
        <w:rPr>
          <w:sz w:val="20"/>
          <w:szCs w:val="20"/>
          <w:color w:val="auto"/>
        </w:rPr>
      </w:pPr>
    </w:p>
    <w:p>
      <w:pPr>
        <w:ind w:left="1800" w:right="559" w:hanging="360"/>
        <w:spacing w:after="0" w:line="277" w:lineRule="auto"/>
        <w:tabs>
          <w:tab w:leader="none" w:pos="1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failure of the FDA to approve the scope or design of our clinical or non-clinical trials or manufacturing plans;</w:t>
      </w:r>
    </w:p>
    <w:p>
      <w:pPr>
        <w:spacing w:after="0" w:line="102" w:lineRule="exact"/>
        <w:rPr>
          <w:rFonts w:ascii="Arial" w:cs="Arial" w:eastAsia="Arial" w:hAnsi="Arial"/>
          <w:sz w:val="18"/>
          <w:szCs w:val="18"/>
          <w:b w:val="1"/>
          <w:bCs w:val="1"/>
          <w:color w:val="auto"/>
        </w:rPr>
      </w:pPr>
    </w:p>
    <w:p>
      <w:pPr>
        <w:ind w:left="1800" w:hanging="360"/>
        <w:spacing w:after="0"/>
        <w:tabs>
          <w:tab w:leader="none" w:pos="1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delays in enrolling volunteers in clinical trials;</w:t>
      </w:r>
    </w:p>
    <w:p>
      <w:pPr>
        <w:spacing w:after="0" w:line="157" w:lineRule="exact"/>
        <w:rPr>
          <w:rFonts w:ascii="Arial" w:cs="Arial" w:eastAsia="Arial" w:hAnsi="Arial"/>
          <w:sz w:val="18"/>
          <w:szCs w:val="18"/>
          <w:b w:val="1"/>
          <w:bCs w:val="1"/>
          <w:color w:val="auto"/>
        </w:rPr>
      </w:pPr>
    </w:p>
    <w:p>
      <w:pPr>
        <w:ind w:left="1800" w:right="559" w:hanging="360"/>
        <w:spacing w:after="0" w:line="277" w:lineRule="auto"/>
        <w:tabs>
          <w:tab w:leader="none" w:pos="1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insufficient supply or deficient quality of materials necessary for the performance of clinical or non-clinical trials;</w:t>
      </w:r>
    </w:p>
    <w:p>
      <w:pPr>
        <w:spacing w:after="0" w:line="102" w:lineRule="exact"/>
        <w:rPr>
          <w:rFonts w:ascii="Arial" w:cs="Arial" w:eastAsia="Arial" w:hAnsi="Arial"/>
          <w:sz w:val="18"/>
          <w:szCs w:val="18"/>
          <w:b w:val="1"/>
          <w:bCs w:val="1"/>
          <w:color w:val="auto"/>
        </w:rPr>
      </w:pPr>
    </w:p>
    <w:p>
      <w:pPr>
        <w:ind w:left="1800" w:hanging="360"/>
        <w:spacing w:after="0"/>
        <w:tabs>
          <w:tab w:leader="none" w:pos="1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negative results of clinical or non-clinical studies; and</w:t>
      </w:r>
    </w:p>
    <w:p>
      <w:pPr>
        <w:spacing w:after="0" w:line="157" w:lineRule="exact"/>
        <w:rPr>
          <w:rFonts w:ascii="Arial" w:cs="Arial" w:eastAsia="Arial" w:hAnsi="Arial"/>
          <w:sz w:val="18"/>
          <w:szCs w:val="18"/>
          <w:b w:val="1"/>
          <w:bCs w:val="1"/>
          <w:color w:val="auto"/>
        </w:rPr>
      </w:pPr>
    </w:p>
    <w:p>
      <w:pPr>
        <w:ind w:left="1800" w:hanging="360"/>
        <w:spacing w:after="0"/>
        <w:tabs>
          <w:tab w:leader="none" w:pos="180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adverse side effects experienced by study participants in clinical trials relating to a specific product.</w:t>
      </w:r>
    </w:p>
    <w:p>
      <w:pPr>
        <w:spacing w:after="0" w:line="196" w:lineRule="exact"/>
        <w:rPr>
          <w:sz w:val="20"/>
          <w:szCs w:val="20"/>
          <w:color w:val="auto"/>
        </w:rPr>
      </w:pPr>
    </w:p>
    <w:p>
      <w:pPr>
        <w:ind w:left="340" w:right="559" w:firstLine="747"/>
        <w:spacing w:after="0" w:line="277" w:lineRule="auto"/>
        <w:rPr>
          <w:sz w:val="20"/>
          <w:szCs w:val="20"/>
          <w:color w:val="auto"/>
        </w:rPr>
      </w:pPr>
      <w:r>
        <w:rPr>
          <w:rFonts w:ascii="Arial" w:cs="Arial" w:eastAsia="Arial" w:hAnsi="Arial"/>
          <w:sz w:val="18"/>
          <w:szCs w:val="18"/>
          <w:color w:val="auto"/>
        </w:rPr>
        <w:t>There may be other circumstances other than the ones described above, over which we may have no control that could materially delay the successful completion of our clinical and non-clinical studies.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6"/>
          <w:szCs w:val="16"/>
          <w:b w:val="1"/>
          <w:bCs w:val="1"/>
          <w:i w:val="1"/>
          <w:iCs w:val="1"/>
          <w:color w:val="auto"/>
        </w:rPr>
        <w:t>None of our pharmaceutical product candidates, other than Ketotransdel</w:t>
      </w:r>
      <w:r>
        <w:rPr>
          <w:rFonts w:ascii="Arial" w:cs="Arial" w:eastAsia="Arial" w:hAnsi="Arial"/>
          <w:sz w:val="13"/>
          <w:szCs w:val="13"/>
          <w:b w:val="1"/>
          <w:bCs w:val="1"/>
          <w:i w:val="1"/>
          <w:iCs w:val="1"/>
          <w:color w:val="auto"/>
        </w:rPr>
        <w:t>®</w:t>
      </w:r>
      <w:r>
        <w:rPr>
          <w:rFonts w:ascii="Arial" w:cs="Arial" w:eastAsia="Arial" w:hAnsi="Arial"/>
          <w:sz w:val="16"/>
          <w:szCs w:val="16"/>
          <w:b w:val="1"/>
          <w:bCs w:val="1"/>
          <w:i w:val="1"/>
          <w:iCs w:val="1"/>
          <w:color w:val="auto"/>
        </w:rPr>
        <w:t>, have commenced clinical trials.</w:t>
      </w:r>
    </w:p>
    <w:p>
      <w:pPr>
        <w:spacing w:after="0" w:line="221"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None of our pharmaceutical product candidates, other than Ketotransdel</w:t>
      </w:r>
      <w:r>
        <w:rPr>
          <w:rFonts w:ascii="Arial" w:cs="Arial" w:eastAsia="Arial" w:hAnsi="Arial"/>
          <w:sz w:val="13"/>
          <w:szCs w:val="13"/>
          <w:color w:val="auto"/>
        </w:rPr>
        <w:t>®</w:t>
      </w:r>
      <w:r>
        <w:rPr>
          <w:rFonts w:ascii="Arial" w:cs="Arial" w:eastAsia="Arial" w:hAnsi="Arial"/>
          <w:sz w:val="16"/>
          <w:szCs w:val="16"/>
          <w:color w:val="auto"/>
        </w:rPr>
        <w:t>,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w:t>
      </w:r>
    </w:p>
    <w:p>
      <w:pPr>
        <w:spacing w:after="0" w:line="127"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b w:val="1"/>
          <w:bCs w:val="1"/>
          <w:i w:val="1"/>
          <w:iCs w:val="1"/>
          <w:color w:val="auto"/>
        </w:rPr>
        <w:t>Once approved, there is no guarantee that the market will accept our products, and regulatory requirements could limit the commercial usage of our products.</w:t>
      </w:r>
    </w:p>
    <w:p>
      <w:pPr>
        <w:spacing w:after="0" w:line="130" w:lineRule="exact"/>
        <w:rPr>
          <w:sz w:val="20"/>
          <w:szCs w:val="20"/>
          <w:color w:val="auto"/>
        </w:rPr>
      </w:pPr>
    </w:p>
    <w:p>
      <w:pPr>
        <w:jc w:val="both"/>
        <w:ind w:left="340" w:right="559" w:firstLine="747"/>
        <w:spacing w:after="0" w:line="270" w:lineRule="auto"/>
        <w:rPr>
          <w:sz w:val="20"/>
          <w:szCs w:val="20"/>
          <w:color w:val="auto"/>
        </w:rPr>
      </w:pPr>
      <w:r>
        <w:rPr>
          <w:rFonts w:ascii="Arial" w:cs="Arial" w:eastAsia="Arial" w:hAnsi="Arial"/>
          <w:sz w:val="17"/>
          <w:szCs w:val="17"/>
          <w:color w:val="auto"/>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151"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185"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The development, manufacture, and sale of pharmaceutical and cosmetic/cosmeceutical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spacing w:after="0" w:line="146"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spacing w:after="0" w:line="166" w:lineRule="exact"/>
        <w:rPr>
          <w:sz w:val="20"/>
          <w:szCs w:val="20"/>
          <w:color w:val="auto"/>
        </w:rPr>
      </w:pPr>
    </w:p>
    <w:p>
      <w:pPr>
        <w:jc w:val="both"/>
        <w:ind w:left="340" w:right="559" w:firstLine="747"/>
        <w:spacing w:after="0" w:line="342" w:lineRule="auto"/>
        <w:rPr>
          <w:sz w:val="20"/>
          <w:szCs w:val="20"/>
          <w:color w:val="auto"/>
        </w:rPr>
      </w:pPr>
      <w:r>
        <w:rPr>
          <w:rFonts w:ascii="Arial" w:cs="Arial" w:eastAsia="Arial" w:hAnsi="Arial"/>
          <w:sz w:val="16"/>
          <w:szCs w:val="16"/>
          <w:b w:val="1"/>
          <w:bCs w:val="1"/>
          <w:i w:val="1"/>
          <w:iCs w:val="1"/>
          <w:color w:val="auto"/>
        </w:rPr>
        <w:t>If our patents are determined to be unenforceable, or if we are unable to obtain new patents based on current patent applications or for future inventions, we may not be able to prevent others from using our intellectual property.</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success will depend in part on our ability to:</w:t>
      </w:r>
    </w:p>
    <w:p>
      <w:pPr>
        <w:spacing w:after="0" w:line="185" w:lineRule="exact"/>
        <w:rPr>
          <w:sz w:val="20"/>
          <w:szCs w:val="20"/>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obtain and maintain patent protection with respect to our products;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prevent third parties from infringing upon our proprietary rights;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maintain trade secrets;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operate without infringing upon the patents and proprietary rights of others; and</w:t>
      </w:r>
    </w:p>
    <w:p>
      <w:pPr>
        <w:spacing w:after="0" w:line="157"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obtain appropriate licenses to patents or proprietary rights held by third parties if infringement would otherwise occur, both in the U.S. and in foreign countries.</w:t>
      </w:r>
    </w:p>
    <w:p>
      <w:pPr>
        <w:spacing w:after="0" w:line="143"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We obtained a patent from the United States Patent and Trademark Office on our Transdel™ technology in 1998, which affords protection of Transdel™ through 2016 in the United States. We may not be successful in our efforts to extend the date of our patent protection beyond 2016.</w:t>
      </w:r>
    </w:p>
    <w:p>
      <w:pPr>
        <w:spacing w:after="0" w:line="141" w:lineRule="exact"/>
        <w:rPr>
          <w:sz w:val="20"/>
          <w:szCs w:val="20"/>
          <w:color w:val="auto"/>
        </w:rPr>
      </w:pPr>
    </w:p>
    <w:p>
      <w:pPr>
        <w:jc w:val="both"/>
        <w:ind w:left="340" w:right="559" w:firstLine="747"/>
        <w:spacing w:after="0" w:line="293" w:lineRule="auto"/>
        <w:rPr>
          <w:sz w:val="20"/>
          <w:szCs w:val="20"/>
          <w:color w:val="auto"/>
        </w:rPr>
      </w:pPr>
      <w:r>
        <w:rPr>
          <w:rFonts w:ascii="Arial" w:cs="Arial" w:eastAsia="Arial" w:hAnsi="Arial"/>
          <w:sz w:val="16"/>
          <w:szCs w:val="16"/>
          <w:color w:val="auto"/>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57" w:lineRule="auto"/>
        <w:rPr>
          <w:sz w:val="20"/>
          <w:szCs w:val="20"/>
          <w:color w:val="auto"/>
        </w:rPr>
      </w:pPr>
      <w:r>
        <w:rPr>
          <w:rFonts w:ascii="Arial" w:cs="Arial" w:eastAsia="Arial" w:hAnsi="Arial"/>
          <w:sz w:val="18"/>
          <w:szCs w:val="18"/>
          <w:color w:val="auto"/>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spacing w:after="0" w:line="161"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We also may rely on unpatented trade secrets and know-how and continuing technological innovation to develop and maintain our competitive position, which we seek to protect, in part, by confidentiality agreements with employees, consultants, collaborators and others. We also have invention or patent assignment agreements with our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spacing w:after="0" w:line="149"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85" w:lineRule="exact"/>
        <w:rPr>
          <w:sz w:val="20"/>
          <w:szCs w:val="20"/>
          <w:color w:val="auto"/>
        </w:rPr>
      </w:pPr>
    </w:p>
    <w:p>
      <w:pPr>
        <w:jc w:val="both"/>
        <w:ind w:left="340" w:right="559" w:firstLine="747"/>
        <w:spacing w:after="0" w:line="289" w:lineRule="auto"/>
        <w:rPr>
          <w:sz w:val="20"/>
          <w:szCs w:val="20"/>
          <w:color w:val="auto"/>
        </w:rPr>
      </w:pPr>
      <w:r>
        <w:rPr>
          <w:rFonts w:ascii="Arial" w:cs="Arial" w:eastAsia="Arial" w:hAnsi="Arial"/>
          <w:sz w:val="16"/>
          <w:szCs w:val="16"/>
          <w:color w:val="auto"/>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140"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b w:val="1"/>
          <w:bCs w:val="1"/>
          <w:i w:val="1"/>
          <w:iCs w:val="1"/>
          <w:color w:val="auto"/>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spacing w:after="0" w:line="146"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spacing w:after="0" w:line="149" w:lineRule="exact"/>
        <w:rPr>
          <w:sz w:val="20"/>
          <w:szCs w:val="20"/>
          <w:color w:val="auto"/>
        </w:rPr>
      </w:pPr>
    </w:p>
    <w:p>
      <w:pPr>
        <w:jc w:val="both"/>
        <w:ind w:left="340" w:right="559" w:firstLine="747"/>
        <w:spacing w:after="0" w:line="287" w:lineRule="auto"/>
        <w:rPr>
          <w:sz w:val="20"/>
          <w:szCs w:val="20"/>
          <w:color w:val="auto"/>
        </w:rPr>
      </w:pPr>
      <w:r>
        <w:rPr>
          <w:rFonts w:ascii="Arial" w:cs="Arial" w:eastAsia="Arial" w:hAnsi="Arial"/>
          <w:sz w:val="16"/>
          <w:szCs w:val="16"/>
          <w:color w:val="auto"/>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and failure to meet FDA standards. Increases in the prices we pay our manufacturers, interruptions in our supply of products or lapses in quality could adversely impact our margins, profitability and cash flows.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spacing w:after="0" w:line="146"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color w:val="auto"/>
        </w:rPr>
        <w:t>We also rely on our outside manufacturers to assist us in the acquisition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spacing w:after="0" w:line="146" w:lineRule="exact"/>
        <w:rPr>
          <w:sz w:val="20"/>
          <w:szCs w:val="20"/>
          <w:color w:val="auto"/>
        </w:rPr>
      </w:pPr>
    </w:p>
    <w:p>
      <w:pPr>
        <w:jc w:val="both"/>
        <w:ind w:left="340" w:right="559" w:firstLine="747"/>
        <w:spacing w:after="0" w:line="259" w:lineRule="auto"/>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spacing w:after="0" w:line="146" w:lineRule="exact"/>
        <w:rPr>
          <w:sz w:val="20"/>
          <w:szCs w:val="20"/>
          <w:color w:val="auto"/>
        </w:rPr>
      </w:pPr>
    </w:p>
    <w:p>
      <w:pPr>
        <w:jc w:val="both"/>
        <w:ind w:left="340" w:right="559" w:firstLine="747"/>
        <w:spacing w:after="0" w:line="297" w:lineRule="auto"/>
        <w:rPr>
          <w:sz w:val="20"/>
          <w:szCs w:val="20"/>
          <w:color w:val="auto"/>
        </w:rPr>
      </w:pPr>
      <w:r>
        <w:rPr>
          <w:rFonts w:ascii="Arial" w:cs="Arial" w:eastAsia="Arial" w:hAnsi="Arial"/>
          <w:sz w:val="16"/>
          <w:szCs w:val="16"/>
          <w:color w:val="auto"/>
        </w:rPr>
        <w:t>We do not employ personnel or possess the facilities necessary to conduct many of the activities associated with our programs. We engage consultants, advisors, contract research organizations (CROs) and others to design, conduct, analyze and interpret the results of studies in connection with the research and development of our product candidates. As a result, many important aspects of our product candidates’ development are outside our direct control. There can be no assurance that such third parties will perform all of their obligations under arrangements with us or will perform those obligations satisfactorily.</w:t>
      </w:r>
    </w:p>
    <w:p>
      <w:pPr>
        <w:sectPr>
          <w:pgSz w:w="11900" w:h="16838" w:orient="portrait"/>
          <w:cols w:equalWidth="0" w:num="1">
            <w:col w:w="10219"/>
          </w:cols>
          <w:pgMar w:left="240" w:top="419" w:right="1440" w:bottom="636"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36"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69" w:lineRule="auto"/>
        <w:rPr>
          <w:sz w:val="20"/>
          <w:szCs w:val="20"/>
          <w:color w:val="auto"/>
        </w:rPr>
      </w:pPr>
      <w:r>
        <w:rPr>
          <w:rFonts w:ascii="Arial" w:cs="Arial" w:eastAsia="Arial" w:hAnsi="Arial"/>
          <w:sz w:val="17"/>
          <w:szCs w:val="17"/>
          <w:color w:val="auto"/>
        </w:rPr>
        <w:t>The CROs with which we contract for execution of our clinical studies play a significant role in the conduct of the studies and subsequent collection and analysis of data, and we will likely depend on these and other CROs and clinical investigators to conduct any future clinical studies or assist with our analysis of completed studies and to develop corresponding regulatory strategies. Individuals working at the CROs with which we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will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spacing w:after="0" w:line="156"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Our cosmetic/cosmeceutical product development program may not be successful.</w:t>
      </w:r>
    </w:p>
    <w:p>
      <w:pPr>
        <w:spacing w:after="0" w:line="185" w:lineRule="exact"/>
        <w:rPr>
          <w:sz w:val="20"/>
          <w:szCs w:val="20"/>
          <w:color w:val="auto"/>
        </w:rPr>
      </w:pPr>
    </w:p>
    <w:p>
      <w:pPr>
        <w:jc w:val="both"/>
        <w:ind w:left="340" w:right="559" w:firstLine="747"/>
        <w:spacing w:after="0" w:line="285" w:lineRule="auto"/>
        <w:rPr>
          <w:sz w:val="20"/>
          <w:szCs w:val="20"/>
          <w:color w:val="auto"/>
        </w:rPr>
      </w:pPr>
      <w:r>
        <w:rPr>
          <w:rFonts w:ascii="Arial" w:cs="Arial" w:eastAsia="Arial" w:hAnsi="Arial"/>
          <w:sz w:val="16"/>
          <w:szCs w:val="16"/>
          <w:color w:val="auto"/>
        </w:rPr>
        <w:t>We recently expanded our product development program to include cosmetic/cosmeceutical products, which utilize our patented transdermal delivery system technology, Transdel</w:t>
      </w:r>
      <w:r>
        <w:rPr>
          <w:rFonts w:ascii="Arial" w:cs="Arial" w:eastAsia="Arial" w:hAnsi="Arial"/>
          <w:sz w:val="13"/>
          <w:szCs w:val="13"/>
          <w:color w:val="auto"/>
        </w:rPr>
        <w:t>TM</w:t>
      </w:r>
      <w:r>
        <w:rPr>
          <w:rFonts w:ascii="Arial" w:cs="Arial" w:eastAsia="Arial" w:hAnsi="Arial"/>
          <w:sz w:val="16"/>
          <w:szCs w:val="16"/>
          <w:color w:val="auto"/>
        </w:rPr>
        <w:t>. Since our primary focus will remain on seeking FDA approval for Ketotransdel, we plan to use limited resources on our cosmetic/cosmeceutical development program and, as a result, we will need to partner with third parties to perform formulation, clinical research, manufacturing, sales and marketing activities. We have initial clinical information supporting the beneficial effects of our anti-cellulite product on skin appearance, and to supplement the license agreement entered into for this product, we are pursuing discussions with potential sales and marketing partners for this product. We cannot assure you that the results of any further studies that may be required before these products can be commercialized will be successful, that we will enter into commercial agreements (in addition to the license agreement entered into in the second quarter 2009 with JH Direct, LLC) with third parties for these products on acceptable terms, or at all, or that these products will be successfully commercialized. Even if we are not required to obtain FDA pre-market approval for these products, we will still be subject to a number of federal and state regulations, including regulation by the FDA and the Federal Trade Commission on any marketing claims we make about our products. There is no assurance that we will be successful in developing any other cosmetic/cosmeceutical products, including products for hyperpigmentation and anti-aging. Any products we develop may cause undesirable side effects that could limit their use, require their removal from the market and subject us to adverse regulatory action and product liability claims. Further, the market for cosmetic/cosmeceutical products is highly competitive, and there is no assurance that our products will be able to compete against the many products and treatments currently being offered or under development by other established, well-known and well-financed cosmetic, health care and pharmaceutical companies.</w:t>
      </w:r>
    </w:p>
    <w:p>
      <w:pPr>
        <w:spacing w:after="0" w:line="351"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b w:val="1"/>
          <w:bCs w:val="1"/>
          <w:i w:val="1"/>
          <w:iCs w:val="1"/>
          <w:color w:val="auto"/>
        </w:rPr>
        <w:t>We currently have no internal sales and marketing resources and may have to rely on third parties in the event that we successfully commercialize our product.</w:t>
      </w:r>
    </w:p>
    <w:p>
      <w:pPr>
        <w:spacing w:after="0" w:line="143" w:lineRule="exact"/>
        <w:rPr>
          <w:sz w:val="20"/>
          <w:szCs w:val="20"/>
          <w:color w:val="auto"/>
        </w:rPr>
      </w:pPr>
    </w:p>
    <w:p>
      <w:pPr>
        <w:jc w:val="both"/>
        <w:ind w:left="340" w:right="559" w:firstLine="747"/>
        <w:spacing w:after="0" w:line="271" w:lineRule="auto"/>
        <w:rPr>
          <w:sz w:val="20"/>
          <w:szCs w:val="20"/>
          <w:color w:val="auto"/>
        </w:rPr>
      </w:pPr>
      <w:r>
        <w:rPr>
          <w:rFonts w:ascii="Arial" w:cs="Arial" w:eastAsia="Arial" w:hAnsi="Arial"/>
          <w:sz w:val="17"/>
          <w:szCs w:val="17"/>
          <w:color w:val="auto"/>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spacing w:after="0" w:line="138"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b w:val="1"/>
          <w:bCs w:val="1"/>
          <w:i w:val="1"/>
          <w:iCs w:val="1"/>
          <w:color w:val="auto"/>
        </w:rPr>
        <w:t>If we are unable to retain our key personnel or attract additional professional staff, we may be unable to maintain or expand our business.</w:t>
      </w:r>
    </w:p>
    <w:p>
      <w:pPr>
        <w:spacing w:after="0" w:line="130"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Due to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additional key scientific, technical and commercial personnel could have a material adverse effect on our business. While we have consulting agreements with certain key institutions, we cannot assure you that we will succeed in retaining personnel or their services under existing agreements. There is intense competition for qualified personnel in the pharmaceutical industry, and we cannot assure you that we will be able to continue to attract and retain the qualified personnel necessary for the development of our business.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Relating to Our Industry</w:t>
      </w:r>
    </w:p>
    <w:p>
      <w:pPr>
        <w:spacing w:after="0" w:line="202"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b w:val="1"/>
          <w:bCs w:val="1"/>
          <w:i w:val="1"/>
          <w:iCs w:val="1"/>
          <w:color w:val="auto"/>
        </w:rPr>
        <w:t>If we are unable to compete with other companies that develop rival products to our products, then we may never gain market share or achieve profitability.</w:t>
      </w:r>
    </w:p>
    <w:p>
      <w:pPr>
        <w:spacing w:after="0" w:line="130" w:lineRule="exact"/>
        <w:rPr>
          <w:sz w:val="20"/>
          <w:szCs w:val="20"/>
          <w:color w:val="auto"/>
        </w:rPr>
      </w:pPr>
    </w:p>
    <w:p>
      <w:pPr>
        <w:jc w:val="both"/>
        <w:ind w:left="340" w:right="559" w:firstLine="747"/>
        <w:spacing w:after="0" w:line="287" w:lineRule="auto"/>
        <w:rPr>
          <w:sz w:val="20"/>
          <w:szCs w:val="20"/>
          <w:color w:val="auto"/>
        </w:rPr>
      </w:pPr>
      <w:r>
        <w:rPr>
          <w:rFonts w:ascii="Arial" w:cs="Arial" w:eastAsia="Arial" w:hAnsi="Arial"/>
          <w:sz w:val="16"/>
          <w:szCs w:val="16"/>
          <w:color w:val="auto"/>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pacing w:after="0" w:line="132"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b w:val="1"/>
          <w:bCs w:val="1"/>
          <w:i w:val="1"/>
          <w:iCs w:val="1"/>
          <w:color w:val="auto"/>
        </w:rPr>
        <w:t>We may not be able to keep up with the rapid technological change in the biotechnology and pharmaceutical industries, which could make our products obsolete and reduce our potential revenues.</w:t>
      </w:r>
    </w:p>
    <w:p>
      <w:pPr>
        <w:spacing w:after="0" w:line="143" w:lineRule="exact"/>
        <w:rPr>
          <w:sz w:val="20"/>
          <w:szCs w:val="20"/>
          <w:color w:val="auto"/>
        </w:rPr>
      </w:pPr>
    </w:p>
    <w:p>
      <w:pPr>
        <w:jc w:val="both"/>
        <w:ind w:left="340" w:right="559" w:firstLine="747"/>
        <w:spacing w:after="0" w:line="276"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spacing w:after="0" w:line="132"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b w:val="1"/>
          <w:bCs w:val="1"/>
          <w:i w:val="1"/>
          <w:iCs w:val="1"/>
          <w:color w:val="auto"/>
        </w:rPr>
        <w:t>Our ability to generate revenues will be diminished if we fail to obtain acceptable prices or an adequate level of reimbursement from third-party payors.</w:t>
      </w:r>
    </w:p>
    <w:p>
      <w:pPr>
        <w:spacing w:after="0" w:line="130"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154" w:lineRule="exact"/>
        <w:rPr>
          <w:sz w:val="20"/>
          <w:szCs w:val="20"/>
          <w:color w:val="auto"/>
        </w:rPr>
      </w:pPr>
    </w:p>
    <w:p>
      <w:pPr>
        <w:jc w:val="both"/>
        <w:ind w:left="340" w:right="559" w:firstLine="747"/>
        <w:spacing w:after="0" w:line="291" w:lineRule="auto"/>
        <w:rPr>
          <w:sz w:val="20"/>
          <w:szCs w:val="20"/>
          <w:color w:val="auto"/>
        </w:rPr>
      </w:pPr>
      <w:r>
        <w:rPr>
          <w:rFonts w:ascii="Arial" w:cs="Arial" w:eastAsia="Arial" w:hAnsi="Arial"/>
          <w:sz w:val="16"/>
          <w:szCs w:val="16"/>
          <w:color w:val="auto"/>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spacing w:after="0" w:line="12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be detrimental to our business.</w:t>
      </w:r>
    </w:p>
    <w:p>
      <w:pPr>
        <w:spacing w:after="0" w:line="185" w:lineRule="exact"/>
        <w:rPr>
          <w:sz w:val="20"/>
          <w:szCs w:val="20"/>
          <w:color w:val="auto"/>
        </w:rPr>
      </w:pPr>
    </w:p>
    <w:p>
      <w:pPr>
        <w:jc w:val="both"/>
        <w:ind w:left="340" w:right="559" w:firstLine="747"/>
        <w:spacing w:after="0" w:line="273" w:lineRule="auto"/>
        <w:rPr>
          <w:sz w:val="20"/>
          <w:szCs w:val="20"/>
          <w:color w:val="auto"/>
        </w:rPr>
      </w:pPr>
      <w:r>
        <w:rPr>
          <w:rFonts w:ascii="Arial" w:cs="Arial" w:eastAsia="Arial" w:hAnsi="Arial"/>
          <w:sz w:val="17"/>
          <w:szCs w:val="17"/>
          <w:color w:val="auto"/>
        </w:rPr>
        <w:t>The healthcare industry is changing rapidly as the public, governments, medical professionals and the pharmaceutical industry examine ways to broaden medical coverage while controlling the increase in healthcare costs. Potential changes could put pressure on the prices of prescription pharmaceutical products and reduce our business or prospects. In the United States, the Federal government recently passed comprehensive healthcare reform legislation. Many of the details regarding the implementation of this legislation are yet to be determined and we currently cannot predict whether or to what extent such implementation or adoption of reforms may affect our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Risks Relating to the Common Stock</w:t>
      </w:r>
    </w:p>
    <w:p>
      <w:pPr>
        <w:spacing w:after="0" w:line="189"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b w:val="1"/>
          <w:bCs w:val="1"/>
          <w:i w:val="1"/>
          <w:iCs w:val="1"/>
          <w:color w:val="auto"/>
        </w:rPr>
        <w:t>We are subject to financial reporting and other requirements for which our accounting and other management systems and resources may not be adequately prepared.</w:t>
      </w:r>
    </w:p>
    <w:p>
      <w:pPr>
        <w:spacing w:after="0" w:line="130" w:lineRule="exact"/>
        <w:rPr>
          <w:sz w:val="20"/>
          <w:szCs w:val="20"/>
          <w:color w:val="auto"/>
        </w:rPr>
      </w:pPr>
    </w:p>
    <w:p>
      <w:pPr>
        <w:jc w:val="both"/>
        <w:ind w:left="340" w:right="559" w:firstLine="747"/>
        <w:spacing w:after="0" w:line="287" w:lineRule="auto"/>
        <w:rPr>
          <w:sz w:val="20"/>
          <w:szCs w:val="20"/>
          <w:color w:val="auto"/>
        </w:rPr>
      </w:pPr>
      <w:r>
        <w:rPr>
          <w:rFonts w:ascii="Arial" w:cs="Arial" w:eastAsia="Arial" w:hAnsi="Arial"/>
          <w:sz w:val="16"/>
          <w:szCs w:val="16"/>
          <w:color w:val="auto"/>
        </w:rPr>
        <w:t>We are subject to reporting and other obligations under the Securities Exchange Act of 1934, as amended, (the “Exchange Act”) including the requirements of Section 404 of the Sarbanes-Oxley Act. Section 404 requires us to conduct an annual management assessment of the effectiveness of our internal controls over financial reporting for the annual report on Form 10-K. Also, we will be required to obtain a report by our independent registered public accounting firm addressing these assessments commencing with our annual report on Form 10-K for the fiscal year ending December 31, 2010. These reporting and other obligations will place significant demands on our management, administrative, operational, and accounting resources. We anticipate that we may need to upgrade our systems; implement additional financial and management controls, reporting systems and procedures; implement or outsource an internal audit function; and hire additional accounting and finance staff. If we are unable to accomplish these objectives in a timely and effective fashion, our ability to comply with our financial reporting requirements and other rules that apply to reporting companies could be impaired and we may not be able to obtain the independent registered public accounting firm opinion required by Section 404. Any failure to maintain effective internal controls could have a negative impact on our ability to manage our business and on our stock price.</w:t>
      </w:r>
    </w:p>
    <w:p>
      <w:pPr>
        <w:sectPr>
          <w:pgSz w:w="11900" w:h="16838" w:orient="portrait"/>
          <w:cols w:equalWidth="0" w:num="1">
            <w:col w:w="10219"/>
          </w:cols>
          <w:pgMar w:left="240" w:top="419" w:right="1440" w:bottom="528"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28"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we may not be able to report our financial results accurately or to prevent fraud. Any inability to report and file our financial results accurately and timely could harm our business and adversely impact the trading price of our common stock.</w:t>
      </w:r>
    </w:p>
    <w:p>
      <w:pPr>
        <w:spacing w:after="0" w:line="154" w:lineRule="exact"/>
        <w:rPr>
          <w:sz w:val="20"/>
          <w:szCs w:val="20"/>
          <w:color w:val="auto"/>
        </w:rPr>
      </w:pPr>
    </w:p>
    <w:p>
      <w:pPr>
        <w:jc w:val="both"/>
        <w:ind w:left="340" w:right="559" w:firstLine="747"/>
        <w:spacing w:after="0" w:line="255" w:lineRule="auto"/>
        <w:rPr>
          <w:sz w:val="20"/>
          <w:szCs w:val="20"/>
          <w:color w:val="auto"/>
        </w:rPr>
      </w:pPr>
      <w:r>
        <w:rPr>
          <w:rFonts w:ascii="Arial" w:cs="Arial" w:eastAsia="Arial" w:hAnsi="Arial"/>
          <w:sz w:val="18"/>
          <w:szCs w:val="18"/>
          <w:color w:val="auto"/>
        </w:rPr>
        <w:t>Effective internal control is necessary for us to provide reliable financial reports and prevent fraud. If we cannot provide reliable financial reports or prevent fraud, we will not be able to manage our business as effectively, and our business and reputation with investors would be harmed. Any such inabilities to establish effective controls or loss of confidence would have an adverse affect on our financial condition, results of operation and access to capital. We have not performed an in-depth analysis to determine if past failures of internal controls exist, and may in the future discover areas of our internal control that need improvement.</w:t>
      </w:r>
    </w:p>
    <w:p>
      <w:pPr>
        <w:spacing w:after="0" w:line="15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Public company compliance may make it more difficult to attract and retain officers and directors.</w:t>
      </w:r>
    </w:p>
    <w:p>
      <w:pPr>
        <w:spacing w:after="0" w:line="185" w:lineRule="exact"/>
        <w:rPr>
          <w:sz w:val="20"/>
          <w:szCs w:val="20"/>
          <w:color w:val="auto"/>
        </w:rPr>
      </w:pPr>
    </w:p>
    <w:p>
      <w:pPr>
        <w:jc w:val="both"/>
        <w:ind w:left="340" w:right="559" w:firstLine="747"/>
        <w:spacing w:after="0" w:line="272" w:lineRule="auto"/>
        <w:rPr>
          <w:sz w:val="20"/>
          <w:szCs w:val="20"/>
          <w:color w:val="auto"/>
        </w:rPr>
      </w:pPr>
      <w:r>
        <w:rPr>
          <w:rFonts w:ascii="Arial" w:cs="Arial" w:eastAsia="Arial" w:hAnsi="Arial"/>
          <w:sz w:val="17"/>
          <w:szCs w:val="17"/>
          <w:color w:val="auto"/>
        </w:rPr>
        <w:t>The Sarbanes-Oxley Act and new rules subsequently implemented by the Securities and Exchange Commission (“SEC”) have required changes in corporate governance practices of public companies. As a public company, we expect these new rules and regulations to increase our compliance costs and to make certain activities more time consuming and costly. We also expect that these new rules and regulations may make it more difficult and expensive for us to obtain director and officer liability insurance in the future and we may be required to accept reduced policy limits and coverage or incur substantially higher costs to obtain the same or similar coverage. As a result, it may be more difficult for us to attract and retain qualified persons to serve on our board of directors or as executive officers.</w:t>
      </w:r>
    </w:p>
    <w:p>
      <w:pPr>
        <w:spacing w:after="0" w:line="151"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185"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price in response to various factors, many of which are beyond our control, including the following:</w:t>
      </w:r>
    </w:p>
    <w:p>
      <w:pPr>
        <w:spacing w:after="0" w:line="130"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changes in the pharmaceutical industry and markets;</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obtain working capital financing;</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new competitors in our market;</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additions or departures of key personnel;</w:t>
      </w:r>
    </w:p>
    <w:p>
      <w:pPr>
        <w:spacing w:after="0" w:line="157"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02" w:lineRule="exact"/>
        <w:rPr>
          <w:rFonts w:ascii="Arial" w:cs="Arial" w:eastAsia="Arial" w:hAnsi="Arial"/>
          <w:sz w:val="18"/>
          <w:szCs w:val="18"/>
          <w:b w:val="1"/>
          <w:bCs w:val="1"/>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sales of our common stock;</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execute our business plan;</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operating results that fall below expectations;</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loss of any strategic relationship with our contract manufacturers and clinical and non-clinical research organizations;</w:t>
      </w:r>
    </w:p>
    <w:p>
      <w:pPr>
        <w:spacing w:after="0" w:line="169" w:lineRule="exact"/>
        <w:rPr>
          <w:rFonts w:ascii="Arial" w:cs="Arial" w:eastAsia="Arial" w:hAnsi="Arial"/>
          <w:sz w:val="17"/>
          <w:szCs w:val="17"/>
          <w:b w:val="1"/>
          <w:bCs w:val="1"/>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industry or regulatory developments;</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economic and other external factors; and</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period-to-period fluctuations in our financial results.</w:t>
      </w:r>
    </w:p>
    <w:p>
      <w:pPr>
        <w:spacing w:after="0" w:line="198"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41"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130" w:lineRule="exact"/>
        <w:rPr>
          <w:sz w:val="20"/>
          <w:szCs w:val="20"/>
          <w:color w:val="auto"/>
        </w:rPr>
      </w:pPr>
    </w:p>
    <w:p>
      <w:pPr>
        <w:jc w:val="both"/>
        <w:ind w:left="340" w:right="559" w:firstLine="747"/>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6"/>
          <w:szCs w:val="16"/>
          <w:b w:val="1"/>
          <w:bCs w:val="1"/>
          <w:i w:val="1"/>
          <w:iCs w:val="1"/>
          <w:color w:val="auto"/>
        </w:rPr>
        <w:t>Our common stock is classified as a “penny stock”, which makes it more difficult for our investors to sell their</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w:t>
      </w:r>
    </w:p>
    <w:p>
      <w:pPr>
        <w:spacing w:after="0" w:line="184" w:lineRule="exact"/>
        <w:rPr>
          <w:sz w:val="20"/>
          <w:szCs w:val="20"/>
          <w:color w:val="auto"/>
        </w:rPr>
      </w:pPr>
    </w:p>
    <w:p>
      <w:pPr>
        <w:jc w:val="both"/>
        <w:ind w:left="340" w:right="559" w:firstLine="747"/>
        <w:spacing w:after="0" w:line="288" w:lineRule="auto"/>
        <w:rPr>
          <w:sz w:val="20"/>
          <w:szCs w:val="20"/>
          <w:color w:val="auto"/>
        </w:rPr>
      </w:pPr>
      <w:r>
        <w:rPr>
          <w:rFonts w:ascii="Arial" w:cs="Arial" w:eastAsia="Arial" w:hAnsi="Arial"/>
          <w:sz w:val="16"/>
          <w:szCs w:val="16"/>
          <w:color w:val="auto"/>
        </w:rPr>
        <w:t>Our common stock is currently subject to the “penny stock” rules adopted under Section 15(g) of the Exchange Act. The penny stock rules apply to companies whose common stock is not listed on The Nasdaq Stock Market or other national securities exchange and trades at less than $4.00 per share or that have tangible net worth of less than $5,000,000 ($2,000,000 if the company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spacing w:after="0" w:line="129" w:lineRule="exact"/>
        <w:rPr>
          <w:sz w:val="20"/>
          <w:szCs w:val="20"/>
          <w:color w:val="auto"/>
        </w:rPr>
      </w:pPr>
    </w:p>
    <w:p>
      <w:pPr>
        <w:jc w:val="both"/>
        <w:ind w:left="340" w:right="559" w:firstLine="747"/>
        <w:spacing w:after="0" w:line="264" w:lineRule="auto"/>
        <w:rPr>
          <w:sz w:val="20"/>
          <w:szCs w:val="20"/>
          <w:color w:val="auto"/>
        </w:rPr>
      </w:pPr>
      <w:r>
        <w:rPr>
          <w:rFonts w:ascii="Arial" w:cs="Arial" w:eastAsia="Arial" w:hAnsi="Arial"/>
          <w:sz w:val="18"/>
          <w:szCs w:val="18"/>
          <w:color w:val="auto"/>
        </w:rPr>
        <w:t>Furthermore, for companies whose securities are traded in the OTC Bulletin Board, it is more difficult (1) to obtain accurate quotations, (2) to obtain coverage for significant news events because major wire services generally do not publish press releases about such companies and (3) to obtain needed capital.</w:t>
      </w:r>
    </w:p>
    <w:p>
      <w:pPr>
        <w:spacing w:after="0" w:line="141" w:lineRule="exact"/>
        <w:rPr>
          <w:sz w:val="20"/>
          <w:szCs w:val="20"/>
          <w:color w:val="auto"/>
        </w:rPr>
      </w:pPr>
    </w:p>
    <w:p>
      <w:pPr>
        <w:jc w:val="both"/>
        <w:ind w:left="340" w:right="559" w:firstLine="747"/>
        <w:spacing w:after="0" w:line="277" w:lineRule="auto"/>
        <w:rPr>
          <w:sz w:val="20"/>
          <w:szCs w:val="20"/>
          <w:color w:val="auto"/>
        </w:rPr>
      </w:pPr>
      <w:r>
        <w:rPr>
          <w:rFonts w:ascii="Arial" w:cs="Arial" w:eastAsia="Arial" w:hAnsi="Arial"/>
          <w:sz w:val="18"/>
          <w:szCs w:val="18"/>
          <w:b w:val="1"/>
          <w:bCs w:val="1"/>
          <w:i w:val="1"/>
          <w:iCs w:val="1"/>
          <w:color w:val="auto"/>
        </w:rPr>
        <w:t>Offers or availability for sale of a substantial number of shares of our common stock may cause the price of our common stock to decline.</w:t>
      </w:r>
    </w:p>
    <w:p>
      <w:pPr>
        <w:spacing w:after="0" w:line="143" w:lineRule="exact"/>
        <w:rPr>
          <w:sz w:val="20"/>
          <w:szCs w:val="20"/>
          <w:color w:val="auto"/>
        </w:rPr>
      </w:pPr>
    </w:p>
    <w:p>
      <w:pPr>
        <w:jc w:val="both"/>
        <w:ind w:left="340" w:right="559" w:firstLine="747"/>
        <w:spacing w:after="0" w:line="293" w:lineRule="auto"/>
        <w:rPr>
          <w:sz w:val="20"/>
          <w:szCs w:val="20"/>
          <w:color w:val="auto"/>
        </w:rPr>
      </w:pPr>
      <w:r>
        <w:rPr>
          <w:rFonts w:ascii="Arial" w:cs="Arial" w:eastAsia="Arial" w:hAnsi="Arial"/>
          <w:sz w:val="16"/>
          <w:szCs w:val="16"/>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33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tabs>
          <w:tab w:leader="none" w:pos="15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5925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4" w:lineRule="exact"/>
        <w:rPr>
          <w:sz w:val="20"/>
          <w:szCs w:val="20"/>
          <w:color w:val="auto"/>
        </w:rPr>
      </w:pPr>
    </w:p>
    <w:p>
      <w:pPr>
        <w:ind w:left="580"/>
        <w:spacing w:after="0"/>
        <w:tabs>
          <w:tab w:leader="none" w:pos="15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Certification of Principal Executive Officer and Principal Financial Officer</w:t>
      </w:r>
    </w:p>
    <w:p>
      <w:pPr>
        <w:spacing w:after="0" w:line="225" w:lineRule="exact"/>
        <w:rPr>
          <w:sz w:val="20"/>
          <w:szCs w:val="20"/>
          <w:color w:val="auto"/>
        </w:rPr>
      </w:pPr>
    </w:p>
    <w:p>
      <w:pPr>
        <w:ind w:left="580"/>
        <w:spacing w:after="0"/>
        <w:tabs>
          <w:tab w:leader="none" w:pos="15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 of 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194945</wp:posOffset>
            </wp:positionV>
            <wp:extent cx="10636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8420" w:type="dxa"/>
            <w:vAlign w:val="bottom"/>
            <w:gridSpan w:val="3"/>
          </w:tcPr>
          <w:p>
            <w:pPr>
              <w:ind w:left="1160"/>
              <w:spacing w:after="0"/>
              <w:rPr>
                <w:sz w:val="20"/>
                <w:szCs w:val="20"/>
                <w:color w:val="auto"/>
              </w:rPr>
            </w:pPr>
            <w:r>
              <w:rPr>
                <w:rFonts w:ascii="Arial" w:cs="Arial" w:eastAsia="Arial" w:hAnsi="Arial"/>
                <w:sz w:val="18"/>
                <w:szCs w:val="18"/>
                <w:color w:val="auto"/>
              </w:rPr>
              <w:t>Transdel Pharmaceuticals, Inc.</w:t>
            </w:r>
          </w:p>
        </w:tc>
      </w:tr>
      <w:tr>
        <w:trPr>
          <w:trHeight w:val="432"/>
        </w:trPr>
        <w:tc>
          <w:tcPr>
            <w:tcW w:w="3000" w:type="dxa"/>
            <w:vAlign w:val="bottom"/>
          </w:tcPr>
          <w:p>
            <w:pPr>
              <w:ind w:left="340"/>
              <w:spacing w:after="0"/>
              <w:rPr>
                <w:sz w:val="20"/>
                <w:szCs w:val="20"/>
                <w:color w:val="auto"/>
              </w:rPr>
            </w:pPr>
            <w:r>
              <w:rPr>
                <w:rFonts w:ascii="Arial" w:cs="Arial" w:eastAsia="Arial" w:hAnsi="Arial"/>
                <w:sz w:val="18"/>
                <w:szCs w:val="18"/>
                <w:color w:val="auto"/>
              </w:rPr>
              <w:t>Dated: May 13, 2010</w:t>
            </w:r>
          </w:p>
        </w:tc>
        <w:tc>
          <w:tcPr>
            <w:tcW w:w="8420" w:type="dxa"/>
            <w:vAlign w:val="bottom"/>
            <w:gridSpan w:val="3"/>
          </w:tcPr>
          <w:p>
            <w:pPr>
              <w:ind w:left="1160"/>
              <w:spacing w:after="0"/>
              <w:rPr>
                <w:sz w:val="20"/>
                <w:szCs w:val="20"/>
                <w:color w:val="auto"/>
              </w:rPr>
            </w:pPr>
            <w:r>
              <w:rPr>
                <w:rFonts w:ascii="Arial" w:cs="Arial" w:eastAsia="Arial" w:hAnsi="Arial"/>
                <w:sz w:val="18"/>
                <w:szCs w:val="18"/>
                <w:color w:val="auto"/>
              </w:rPr>
              <w:t>By: /s/ John Lomoro</w:t>
            </w:r>
          </w:p>
        </w:tc>
      </w:tr>
      <w:tr>
        <w:trPr>
          <w:trHeight w:val="195"/>
        </w:trPr>
        <w:tc>
          <w:tcPr>
            <w:tcW w:w="3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Lomoro</w:t>
            </w:r>
          </w:p>
        </w:tc>
        <w:tc>
          <w:tcPr>
            <w:tcW w:w="2560" w:type="dxa"/>
            <w:vAlign w:val="bottom"/>
          </w:tcPr>
          <w:p>
            <w:pPr>
              <w:spacing w:after="0"/>
              <w:rPr>
                <w:sz w:val="16"/>
                <w:szCs w:val="16"/>
                <w:color w:val="auto"/>
              </w:rPr>
            </w:pPr>
          </w:p>
        </w:tc>
      </w:tr>
      <w:tr>
        <w:trPr>
          <w:trHeight w:val="216"/>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Acting Chief Executive Officer and Chief Financial Officer</w:t>
            </w:r>
          </w:p>
        </w:tc>
      </w:tr>
      <w:tr>
        <w:trPr>
          <w:trHeight w:val="230"/>
        </w:trPr>
        <w:tc>
          <w:tcPr>
            <w:tcW w:w="3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(Principal Executive Officer and Principal Financial Officer)</w:t>
            </w:r>
          </w:p>
        </w:tc>
      </w:tr>
      <w:tr>
        <w:trPr>
          <w:trHeight w:val="783"/>
        </w:trPr>
        <w:tc>
          <w:tcPr>
            <w:tcW w:w="3000" w:type="dxa"/>
            <w:vAlign w:val="bottom"/>
          </w:tcPr>
          <w:p>
            <w:pPr>
              <w:spacing w:after="0"/>
              <w:rPr>
                <w:sz w:val="24"/>
                <w:szCs w:val="24"/>
                <w:color w:val="auto"/>
              </w:rPr>
            </w:pPr>
          </w:p>
        </w:tc>
        <w:tc>
          <w:tcPr>
            <w:tcW w:w="5860" w:type="dxa"/>
            <w:vAlign w:val="bottom"/>
            <w:gridSpan w:val="2"/>
          </w:tcPr>
          <w:p>
            <w:pPr>
              <w:jc w:val="right"/>
              <w:ind w:right="3690"/>
              <w:spacing w:after="0"/>
              <w:rPr>
                <w:sz w:val="20"/>
                <w:szCs w:val="20"/>
                <w:color w:val="auto"/>
              </w:rPr>
            </w:pPr>
            <w:r>
              <w:rPr>
                <w:rFonts w:ascii="Arial" w:cs="Arial" w:eastAsia="Arial" w:hAnsi="Arial"/>
                <w:sz w:val="18"/>
                <w:szCs w:val="18"/>
                <w:color w:val="auto"/>
              </w:rPr>
              <w:t>27</w:t>
            </w:r>
          </w:p>
        </w:tc>
        <w:tc>
          <w:tcPr>
            <w:tcW w:w="2560" w:type="dxa"/>
            <w:vAlign w:val="bottom"/>
          </w:tcPr>
          <w:p>
            <w:pPr>
              <w:spacing w:after="0"/>
              <w:rPr>
                <w:sz w:val="24"/>
                <w:szCs w:val="24"/>
                <w:color w:val="auto"/>
              </w:rPr>
            </w:pPr>
          </w:p>
        </w:tc>
      </w:tr>
      <w:tr>
        <w:trPr>
          <w:trHeight w:val="226"/>
        </w:trPr>
        <w:tc>
          <w:tcPr>
            <w:tcW w:w="30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tabs>
          <w:tab w:leader="none" w:pos="15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5925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4" w:lineRule="exact"/>
        <w:rPr>
          <w:sz w:val="20"/>
          <w:szCs w:val="20"/>
          <w:color w:val="auto"/>
        </w:rPr>
      </w:pPr>
    </w:p>
    <w:p>
      <w:pPr>
        <w:ind w:left="580"/>
        <w:spacing w:after="0"/>
        <w:tabs>
          <w:tab w:leader="none" w:pos="15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Certification of Principal Executive Officer and Principal Financial Officer</w:t>
      </w:r>
    </w:p>
    <w:p>
      <w:pPr>
        <w:spacing w:after="0" w:line="225" w:lineRule="exact"/>
        <w:rPr>
          <w:sz w:val="20"/>
          <w:szCs w:val="20"/>
          <w:color w:val="auto"/>
        </w:rPr>
      </w:pPr>
    </w:p>
    <w:p>
      <w:pPr>
        <w:ind w:left="580"/>
        <w:spacing w:after="0"/>
        <w:tabs>
          <w:tab w:leader="none" w:pos="15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Certification of 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203835</wp:posOffset>
            </wp:positionV>
            <wp:extent cx="10636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80" w:hanging="348"/>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419" w:right="1440" w:bottom="1440" w:gutter="0" w:footer="0" w:header="0"/>
        </w:sectPr>
      </w:pPr>
    </w:p>
    <w:bookmarkStart w:id="30" w:name="page31"/>
    <w:bookmarkEnd w:id="30"/>
    <w:p>
      <w:pPr>
        <w:jc w:val="right"/>
        <w:ind w:right="559"/>
        <w:spacing w:after="0"/>
        <w:rPr>
          <w:sz w:val="20"/>
          <w:szCs w:val="20"/>
          <w:color w:val="auto"/>
        </w:rPr>
      </w:pPr>
      <w:r>
        <w:rPr>
          <w:rFonts w:ascii="Arial" w:cs="Arial" w:eastAsia="Arial" w:hAnsi="Arial"/>
          <w:sz w:val="18"/>
          <w:szCs w:val="18"/>
          <w:color w:val="auto"/>
        </w:rPr>
        <w:t>EXHIBIT 31.1</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CERTIFICATION OF THE PRINCIPAL EXECUTIVE OFFICER AND PRINCIPAL FINANCIAL OFFICER UNDER</w:t>
      </w:r>
    </w:p>
    <w:p>
      <w:pPr>
        <w:spacing w:after="0" w:line="2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SECTION 302 OF THE SARBANES-OXLEY ACT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John Lomoro, Acting Chief Executive Officer and Chief Financial Officer of Transdel Pharmaceuticals, Inc., certify that:</w:t>
      </w:r>
    </w:p>
    <w:p>
      <w:pPr>
        <w:spacing w:after="0" w:line="196" w:lineRule="exact"/>
        <w:rPr>
          <w:sz w:val="20"/>
          <w:szCs w:val="20"/>
          <w:color w:val="auto"/>
        </w:rPr>
      </w:pPr>
    </w:p>
    <w:p>
      <w:pPr>
        <w:ind w:left="700" w:hanging="343"/>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Transdel Pharmaceuticals, Inc.;</w:t>
      </w:r>
    </w:p>
    <w:p>
      <w:pPr>
        <w:spacing w:after="0" w:line="157"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00" w:right="559" w:hanging="343"/>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1080" w:right="559" w:hanging="345"/>
        <w:spacing w:after="0" w:line="259"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p>
      <w:pPr>
        <w:spacing w:after="0" w:line="159" w:lineRule="exact"/>
        <w:rPr>
          <w:rFonts w:ascii="Arial" w:cs="Arial" w:eastAsia="Arial" w:hAnsi="Arial"/>
          <w:sz w:val="18"/>
          <w:szCs w:val="18"/>
          <w:color w:val="auto"/>
        </w:rPr>
      </w:pPr>
    </w:p>
    <w:p>
      <w:pPr>
        <w:ind w:left="700" w:right="559" w:hanging="343"/>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or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1080" w:right="559" w:hanging="345"/>
        <w:spacing w:after="0" w:line="277" w:lineRule="auto"/>
        <w:tabs>
          <w:tab w:leader="none" w:pos="1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May 13, 2010</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Lomoro</w:t>
            </w:r>
          </w:p>
        </w:tc>
      </w:tr>
      <w:tr>
        <w:trPr>
          <w:trHeight w:val="195"/>
        </w:trPr>
        <w:tc>
          <w:tcPr>
            <w:tcW w:w="4080" w:type="dxa"/>
            <w:vAlign w:val="bottom"/>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John Lomoro</w:t>
            </w:r>
          </w:p>
        </w:tc>
      </w:tr>
      <w:tr>
        <w:trPr>
          <w:trHeight w:val="216"/>
        </w:trPr>
        <w:tc>
          <w:tcPr>
            <w:tcW w:w="40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6"/>
              </w:rPr>
              <w:t>Acting Chief Executive Officer and Chief Financial Officer</w:t>
            </w:r>
          </w:p>
        </w:tc>
      </w:tr>
      <w:tr>
        <w:trPr>
          <w:trHeight w:val="230"/>
        </w:trPr>
        <w:tc>
          <w:tcPr>
            <w:tcW w:w="40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3"/>
              </w:rPr>
              <w:t>(Principal Executive Officer and Principal Financial Officer)</w:t>
            </w:r>
          </w:p>
        </w:tc>
      </w:tr>
    </w:tbl>
    <w:p>
      <w:pPr>
        <w:sectPr>
          <w:pgSz w:w="11900" w:h="16838" w:orient="portrait"/>
          <w:cols w:equalWidth="0" w:num="1">
            <w:col w:w="9879"/>
          </w:cols>
          <w:pgMar w:left="580" w:top="125" w:right="1440" w:bottom="1440" w:gutter="0" w:footer="0" w:header="0"/>
        </w:sectPr>
      </w:pPr>
    </w:p>
    <w:bookmarkStart w:id="31" w:name="page32"/>
    <w:bookmarkEnd w:id="31"/>
    <w:p>
      <w:pPr>
        <w:jc w:val="right"/>
        <w:ind w:right="559"/>
        <w:spacing w:after="0"/>
        <w:rPr>
          <w:sz w:val="20"/>
          <w:szCs w:val="20"/>
          <w:color w:val="auto"/>
        </w:rPr>
      </w:pPr>
      <w:r>
        <w:rPr>
          <w:rFonts w:ascii="Arial" w:cs="Arial" w:eastAsia="Arial" w:hAnsi="Arial"/>
          <w:sz w:val="18"/>
          <w:szCs w:val="18"/>
          <w:color w:val="auto"/>
        </w:rPr>
        <w:t>EXHIBIT 32.1</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185" w:lineRule="exact"/>
        <w:rPr>
          <w:sz w:val="20"/>
          <w:szCs w:val="20"/>
          <w:color w:val="auto"/>
        </w:rPr>
      </w:pPr>
    </w:p>
    <w:p>
      <w:pPr>
        <w:jc w:val="both"/>
        <w:ind w:left="8" w:right="559"/>
        <w:spacing w:after="0" w:line="279" w:lineRule="auto"/>
        <w:rPr>
          <w:sz w:val="20"/>
          <w:szCs w:val="20"/>
          <w:color w:val="auto"/>
        </w:rPr>
      </w:pPr>
      <w:r>
        <w:rPr>
          <w:rFonts w:ascii="Arial" w:cs="Arial" w:eastAsia="Arial" w:hAnsi="Arial"/>
          <w:sz w:val="17"/>
          <w:szCs w:val="17"/>
          <w:color w:val="auto"/>
        </w:rPr>
        <w:t>In connection with the Quarterly Report of Transdel Pharmaceuticals, Inc. (the “Company”) on Form 10-Q for the period ended March 31, 2010 as filed with the Securities and Exchange Commission on the date hereof (the “Report”) pursuant to 18 U.S.C. Section 1350, as adopted pursuant to Section 906 of the Sarbanes-Oxley Act of 2002, I, John Lomoro, Acting Chief Executive Officer and Chief Financial Officer of Transdel Pharmaceuticals, Inc., certify that:</w:t>
      </w:r>
    </w:p>
    <w:p>
      <w:pPr>
        <w:spacing w:after="0" w:line="131" w:lineRule="exact"/>
        <w:rPr>
          <w:sz w:val="20"/>
          <w:szCs w:val="20"/>
          <w:color w:val="auto"/>
        </w:rPr>
      </w:pPr>
    </w:p>
    <w:p>
      <w:pPr>
        <w:ind w:left="348" w:hanging="348"/>
        <w:spacing w:after="0"/>
        <w:tabs>
          <w:tab w:leader="none" w:pos="34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9" w:lineRule="exact"/>
        <w:rPr>
          <w:rFonts w:ascii="Arial" w:cs="Arial" w:eastAsia="Arial" w:hAnsi="Arial"/>
          <w:sz w:val="17"/>
          <w:szCs w:val="17"/>
          <w:color w:val="auto"/>
        </w:rPr>
      </w:pPr>
    </w:p>
    <w:p>
      <w:pPr>
        <w:ind w:left="348" w:right="559" w:hanging="348"/>
        <w:spacing w:after="0" w:line="277"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Dated: May 13, 2010</w:t>
      </w:r>
    </w:p>
    <w:p>
      <w:pPr>
        <w:spacing w:after="0" w:line="225" w:lineRule="exact"/>
        <w:rPr>
          <w:sz w:val="20"/>
          <w:szCs w:val="20"/>
          <w:color w:val="auto"/>
        </w:rPr>
      </w:pPr>
    </w:p>
    <w:p>
      <w:pPr>
        <w:ind w:left="4068"/>
        <w:spacing w:after="0"/>
        <w:rPr>
          <w:sz w:val="20"/>
          <w:szCs w:val="20"/>
          <w:color w:val="auto"/>
        </w:rPr>
      </w:pPr>
      <w:r>
        <w:rPr>
          <w:rFonts w:ascii="Arial" w:cs="Arial" w:eastAsia="Arial" w:hAnsi="Arial"/>
          <w:sz w:val="18"/>
          <w:szCs w:val="18"/>
          <w:color w:val="auto"/>
        </w:rPr>
        <w:t>/s/ John T. Lomoro</w:t>
      </w:r>
    </w:p>
    <w:p>
      <w:pPr>
        <w:spacing w:after="0" w:line="23" w:lineRule="exact"/>
        <w:rPr>
          <w:sz w:val="20"/>
          <w:szCs w:val="20"/>
          <w:color w:val="auto"/>
        </w:rPr>
      </w:pPr>
    </w:p>
    <w:p>
      <w:pPr>
        <w:ind w:left="4068"/>
        <w:spacing w:after="0"/>
        <w:rPr>
          <w:sz w:val="20"/>
          <w:szCs w:val="20"/>
          <w:color w:val="auto"/>
        </w:rPr>
      </w:pPr>
      <w:r>
        <w:rPr>
          <w:rFonts w:ascii="Arial" w:cs="Arial" w:eastAsia="Arial" w:hAnsi="Arial"/>
          <w:sz w:val="18"/>
          <w:szCs w:val="18"/>
          <w:color w:val="auto"/>
        </w:rPr>
        <w:t>John T. Lomoro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2581275</wp:posOffset>
            </wp:positionH>
            <wp:positionV relativeFrom="paragraph">
              <wp:posOffset>-130810</wp:posOffset>
            </wp:positionV>
            <wp:extent cx="27959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4068"/>
        <w:spacing w:after="0"/>
        <w:rPr>
          <w:sz w:val="20"/>
          <w:szCs w:val="20"/>
          <w:color w:val="auto"/>
        </w:rPr>
      </w:pPr>
      <w:r>
        <w:rPr>
          <w:rFonts w:ascii="Arial" w:cs="Arial" w:eastAsia="Arial" w:hAnsi="Arial"/>
          <w:sz w:val="18"/>
          <w:szCs w:val="18"/>
          <w:color w:val="auto"/>
        </w:rPr>
        <w:t>Acting Chief Executive Officer and Chief Financial Officer</w:t>
      </w:r>
    </w:p>
    <w:p>
      <w:pPr>
        <w:spacing w:after="0" w:line="9" w:lineRule="exact"/>
        <w:rPr>
          <w:sz w:val="20"/>
          <w:szCs w:val="20"/>
          <w:color w:val="auto"/>
        </w:rPr>
      </w:pPr>
    </w:p>
    <w:p>
      <w:pPr>
        <w:ind w:left="4068"/>
        <w:spacing w:after="0"/>
        <w:rPr>
          <w:sz w:val="20"/>
          <w:szCs w:val="20"/>
          <w:color w:val="auto"/>
        </w:rPr>
      </w:pPr>
      <w:r>
        <w:rPr>
          <w:rFonts w:ascii="Arial" w:cs="Arial" w:eastAsia="Arial" w:hAnsi="Arial"/>
          <w:sz w:val="18"/>
          <w:szCs w:val="18"/>
          <w:color w:val="auto"/>
        </w:rPr>
        <w:t>(Principal Executive Officer and Principal Financial Officer)</w:t>
      </w:r>
    </w:p>
    <w:sectPr>
      <w:pgSz w:w="11900" w:h="16838" w:orient="portrait"/>
      <w:cols w:equalWidth="0" w:num="1">
        <w:col w:w="9887"/>
      </w:cols>
      <w:pgMar w:left="572"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2020-01-30T23:10:13Z</dcterms:created>
  <dcterms:modified xsi:type="dcterms:W3CDTF">2020-01-30T23:10:13Z</dcterms:modified>
</cp:coreProperties>
</file>