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80" w:right="1960" w:hanging="3965"/>
        <w:spacing w:after="0" w:line="501" w:lineRule="auto"/>
        <w:rPr>
          <w:sz w:val="20"/>
          <w:szCs w:val="20"/>
          <w:color w:val="auto"/>
        </w:rPr>
      </w:pPr>
      <w:r>
        <w:rPr>
          <w:rFonts w:ascii="Arial" w:cs="Arial" w:eastAsia="Arial" w:hAnsi="Arial"/>
          <w:sz w:val="18"/>
          <w:szCs w:val="18"/>
          <w:b w:val="1"/>
          <w:bCs w:val="1"/>
          <w:color w:val="auto"/>
        </w:rPr>
        <w:t>[X] QUARTERLY REPORT PURSUANT TO SECTION 13 OR 15(d) OF THE SECURITIES EXCHANGE ACT OF 1934 For the quarterly period ended June 30, 2018</w:t>
      </w:r>
    </w:p>
    <w:p>
      <w:pPr>
        <w:ind w:left="3320" w:right="2000" w:hanging="3312"/>
        <w:spacing w:after="0" w:line="501" w:lineRule="auto"/>
        <w:tabs>
          <w:tab w:leader="none" w:pos="15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pacing w:after="0" w:line="237"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w:t>
            </w:r>
          </w:p>
        </w:tc>
        <w:tc>
          <w:tcPr>
            <w:tcW w:w="318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 (Do not check if a smaller reporting company)</w:t>
            </w:r>
          </w:p>
        </w:tc>
        <w:tc>
          <w:tcPr>
            <w:tcW w:w="318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[X]</w:t>
            </w:r>
          </w:p>
        </w:tc>
      </w:tr>
      <w:tr>
        <w:trPr>
          <w:trHeight w:val="230"/>
        </w:trPr>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180" w:type="dxa"/>
            <w:vAlign w:val="bottom"/>
          </w:tcPr>
          <w:p>
            <w:pPr>
              <w:ind w:left="70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3, 2018, 21,049,448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40" w:type="dxa"/>
            <w:vAlign w:val="bottom"/>
            <w:gridSpan w:val="5"/>
          </w:tcPr>
          <w:p>
            <w:pPr>
              <w:jc w:val="center"/>
              <w:ind w:right="290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gridSpan w:val="5"/>
          </w:tcPr>
          <w:p>
            <w:pPr>
              <w:jc w:val="center"/>
              <w:ind w:right="288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Part I</w:t>
            </w:r>
          </w:p>
        </w:tc>
        <w:tc>
          <w:tcPr>
            <w:tcW w:w="9700" w:type="dxa"/>
            <w:vAlign w:val="bottom"/>
            <w:gridSpan w:val="16"/>
            <w:shd w:val="clear" w:color="auto" w:fill="CCEEFF"/>
          </w:tcPr>
          <w:p>
            <w:pPr>
              <w:ind w:left="80"/>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5.</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6.</w:t>
            </w:r>
          </w:p>
        </w:tc>
        <w:tc>
          <w:tcPr>
            <w:tcW w:w="9700" w:type="dxa"/>
            <w:vAlign w:val="bottom"/>
            <w:gridSpan w:val="16"/>
            <w:shd w:val="clear" w:color="auto" w:fill="CCEEFF"/>
          </w:tcPr>
          <w:p>
            <w:pPr>
              <w:ind w:left="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20" w:type="dxa"/>
            <w:vAlign w:val="bottom"/>
            <w:gridSpan w:val="15"/>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440" w:type="dxa"/>
            <w:vAlign w:val="bottom"/>
            <w:tcBorders>
              <w:top w:val="single" w:sz="8" w:color="CCEEFF"/>
              <w:bottom w:val="single" w:sz="8" w:color="auto"/>
            </w:tcBorders>
            <w:gridSpan w:val="11"/>
          </w:tcPr>
          <w:p>
            <w:pPr>
              <w:jc w:val="center"/>
              <w:ind w:left="3070"/>
              <w:spacing w:after="0"/>
              <w:rPr>
                <w:sz w:val="20"/>
                <w:szCs w:val="20"/>
                <w:color w:val="auto"/>
              </w:rPr>
            </w:pPr>
            <w:r>
              <w:rPr>
                <w:rFonts w:ascii="Arial" w:cs="Arial" w:eastAsia="Arial" w:hAnsi="Arial"/>
                <w:sz w:val="18"/>
                <w:szCs w:val="18"/>
                <w:color w:val="auto"/>
                <w:w w:val="79"/>
              </w:rPr>
              <w:t>2</w:t>
            </w:r>
          </w:p>
        </w:tc>
        <w:tc>
          <w:tcPr>
            <w:tcW w:w="1260" w:type="dxa"/>
            <w:vAlign w:val="bottom"/>
            <w:tcBorders>
              <w:top w:val="single" w:sz="8" w:color="CCEEFF"/>
              <w:bottom w:val="single" w:sz="8" w:color="auto"/>
            </w:tcBorders>
          </w:tcPr>
          <w:p>
            <w:pPr>
              <w:spacing w:after="0"/>
              <w:rPr>
                <w:sz w:val="24"/>
                <w:szCs w:val="24"/>
                <w:color w:val="auto"/>
              </w:rPr>
            </w:pPr>
          </w:p>
        </w:tc>
        <w:tc>
          <w:tcPr>
            <w:tcW w:w="31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60" w:type="dxa"/>
            <w:vAlign w:val="bottom"/>
            <w:gridSpan w:val="3"/>
          </w:tcPr>
          <w:p>
            <w:pPr>
              <w:jc w:val="center"/>
              <w:ind w:left="3870"/>
              <w:spacing w:after="0"/>
              <w:rPr>
                <w:sz w:val="20"/>
                <w:szCs w:val="20"/>
                <w:color w:val="auto"/>
              </w:rPr>
            </w:pPr>
            <w:r>
              <w:rPr>
                <w:rFonts w:ascii="Arial" w:cs="Arial" w:eastAsia="Arial" w:hAnsi="Arial"/>
                <w:sz w:val="18"/>
                <w:szCs w:val="18"/>
                <w:b w:val="1"/>
                <w:bCs w:val="1"/>
                <w:color w:val="auto"/>
              </w:rPr>
              <w:t>IMPRIMIS PHARMACEUTICALS, INC.</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80" w:type="dxa"/>
            <w:vAlign w:val="bottom"/>
            <w:gridSpan w:val="5"/>
          </w:tcPr>
          <w:p>
            <w:pPr>
              <w:jc w:val="center"/>
              <w:ind w:left="19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jc w:val="center"/>
              <w:ind w:left="4290"/>
              <w:spacing w:after="0"/>
              <w:rPr>
                <w:sz w:val="20"/>
                <w:szCs w:val="20"/>
                <w:color w:val="auto"/>
              </w:rPr>
            </w:pPr>
            <w:r>
              <w:rPr>
                <w:rFonts w:ascii="Arial" w:cs="Arial" w:eastAsia="Arial" w:hAnsi="Arial"/>
                <w:sz w:val="18"/>
                <w:szCs w:val="18"/>
                <w:b w:val="1"/>
                <w:bCs w:val="1"/>
                <w:color w:val="auto"/>
                <w:w w:val="88"/>
              </w:rPr>
              <w:t>(In thousands, except share data)</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w w:val="96"/>
              </w:rPr>
              <w:t>June 30, 2018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December 31, 2017</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4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4,170</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1,360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1,529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receivable, current portion</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8,728</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8,806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2,894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2,860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Surface Pharmaceuticals</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Investment in Eton Pharmaceuticals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1,295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less current portion</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rPr>
              <w:t>Goodwill</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2,227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1580"/>
              <w:spacing w:after="0"/>
              <w:rPr>
                <w:sz w:val="20"/>
                <w:szCs w:val="20"/>
                <w:color w:val="auto"/>
              </w:rPr>
            </w:pPr>
            <w:r>
              <w:rPr>
                <w:rFonts w:ascii="Arial" w:cs="Arial" w:eastAsia="Arial" w:hAnsi="Arial"/>
                <w:sz w:val="18"/>
                <w:szCs w:val="18"/>
                <w:color w:val="auto"/>
              </w:rPr>
              <w:t>LIABILITIES AND STOCKHOLDERS’ EQUITY</w:t>
            </w: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4,663</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 net of unamortized discount</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8,159</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5,774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 and unamortized discount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13,274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22,596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21,302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4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$0.001 par value, 90,000,000 shares authorized, 21,049,448 and</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w w:val="97"/>
              </w:rPr>
              <w:t>20,623,129 shares issued and outstanding at June 30, 2018 and December 31, 2017,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93,538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(89,827)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(88,836)</w:t>
            </w:r>
          </w:p>
        </w:tc>
        <w:tc>
          <w:tcPr>
            <w:tcW w:w="0" w:type="dxa"/>
            <w:vAlign w:val="bottom"/>
          </w:tcPr>
          <w:p>
            <w:pPr>
              <w:spacing w:after="0"/>
              <w:rPr>
                <w:sz w:val="1"/>
                <w:szCs w:val="1"/>
                <w:color w:val="auto"/>
              </w:rPr>
            </w:pPr>
          </w:p>
        </w:tc>
      </w:tr>
      <w:tr>
        <w:trPr>
          <w:trHeight w:val="236"/>
        </w:trPr>
        <w:tc>
          <w:tcPr>
            <w:tcW w:w="7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0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26,328</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9"/>
                <w:szCs w:val="19"/>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Six Months Ended</w:t>
            </w:r>
          </w:p>
        </w:tc>
        <w:tc>
          <w:tcPr>
            <w:tcW w:w="140" w:type="dxa"/>
            <w:vAlign w:val="bottom"/>
          </w:tcPr>
          <w:p>
            <w:pPr>
              <w:spacing w:after="0"/>
              <w:rPr>
                <w:sz w:val="19"/>
                <w:szCs w:val="19"/>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June 30, 2018</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30, 2017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June 30, 2017</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10,374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6,849</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19,229</w:t>
            </w:r>
          </w:p>
        </w:tc>
        <w:tc>
          <w:tcPr>
            <w:tcW w:w="3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12,938</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10,384</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6,857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19,249</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(4,157)</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6,227</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11,021</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13,267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13,296</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6,851</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6,586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13,426</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13,557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4360" w:type="dxa"/>
            <w:vAlign w:val="bottom"/>
          </w:tcPr>
          <w:p>
            <w:pPr>
              <w:spacing w:after="0" w:line="203"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Investment losses from Surface Pharmaceuticals</w:t>
            </w: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Gain on deconsolidation of Surface Pharmaceuticals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Investment losses from Eton Pharmaceuticals</w:t>
            </w: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(1,146)</w:t>
            </w: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deconsolidation of Eton Pharmaceuticals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Loss on sale of assets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net</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3,146</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4,473</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1,414</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3,670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Income tax benefit, net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Basic net income (loss) per share of common stock</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3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income (loss) per share of common stock</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line="195" w:lineRule="exact"/>
              <w:rPr>
                <w:sz w:val="20"/>
                <w:szCs w:val="20"/>
                <w:color w:val="auto"/>
              </w:rPr>
            </w:pPr>
            <w:r>
              <w:rPr>
                <w:rFonts w:ascii="Arial" w:cs="Arial" w:eastAsia="Arial" w:hAnsi="Arial"/>
                <w:sz w:val="18"/>
                <w:szCs w:val="18"/>
                <w:color w:val="auto"/>
                <w:w w:val="96"/>
              </w:rPr>
              <w:t>Weighted average number of shares of common stock</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360" w:type="dxa"/>
            <w:vAlign w:val="bottom"/>
          </w:tcPr>
          <w:p>
            <w:pPr>
              <w:ind w:left="240"/>
              <w:spacing w:after="0"/>
              <w:rPr>
                <w:sz w:val="20"/>
                <w:szCs w:val="20"/>
                <w:color w:val="auto"/>
              </w:rPr>
            </w:pPr>
            <w:r>
              <w:rPr>
                <w:rFonts w:ascii="Arial" w:cs="Arial" w:eastAsia="Arial" w:hAnsi="Arial"/>
                <w:sz w:val="18"/>
                <w:szCs w:val="18"/>
                <w:color w:val="auto"/>
              </w:rPr>
              <w:t>outstanding, basic</w:t>
            </w:r>
          </w:p>
        </w:tc>
        <w:tc>
          <w:tcPr>
            <w:tcW w:w="16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21,190,794</w:t>
            </w:r>
          </w:p>
        </w:tc>
        <w:tc>
          <w:tcPr>
            <w:tcW w:w="180" w:type="dxa"/>
            <w:vAlign w:val="bottom"/>
          </w:tcPr>
          <w:p>
            <w:pPr>
              <w:spacing w:after="0"/>
              <w:rPr>
                <w:sz w:val="24"/>
                <w:szCs w:val="2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20,209,821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21,070,664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19,572,051</w:t>
            </w:r>
          </w:p>
        </w:tc>
        <w:tc>
          <w:tcPr>
            <w:tcW w:w="0" w:type="dxa"/>
            <w:vAlign w:val="bottom"/>
          </w:tcPr>
          <w:p>
            <w:pPr>
              <w:spacing w:after="0"/>
              <w:rPr>
                <w:sz w:val="1"/>
                <w:szCs w:val="1"/>
                <w:color w:val="auto"/>
              </w:rPr>
            </w:pPr>
          </w:p>
        </w:tc>
      </w:tr>
      <w:tr>
        <w:trPr>
          <w:trHeight w:val="155"/>
        </w:trPr>
        <w:tc>
          <w:tcPr>
            <w:tcW w:w="436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w w:val="96"/>
              </w:rPr>
              <w:t>Weighted average number of shares of common stock</w:t>
            </w:r>
          </w:p>
        </w:tc>
        <w:tc>
          <w:tcPr>
            <w:tcW w:w="1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diluted</w:t>
            </w:r>
          </w:p>
        </w:tc>
        <w:tc>
          <w:tcPr>
            <w:tcW w:w="16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23,175,431</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23,177,881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21,070,664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19,572,051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June 30, 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June 30, 2017</w:t>
            </w:r>
          </w:p>
        </w:tc>
        <w:tc>
          <w:tcPr>
            <w:tcW w:w="0" w:type="dxa"/>
            <w:vAlign w:val="bottom"/>
          </w:tcPr>
          <w:p>
            <w:pPr>
              <w:spacing w:after="0"/>
              <w:rPr>
                <w:sz w:val="1"/>
                <w:szCs w:val="1"/>
                <w:color w:val="auto"/>
              </w:rPr>
            </w:pPr>
          </w:p>
        </w:tc>
      </w:tr>
      <w:tr>
        <w:trPr>
          <w:trHeight w:val="216"/>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loss to net cash provided by (used in) operating activities: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Gain on deconsolidation of Eton Pharmaceuticals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loss from Eton Pharmaceuticals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Gain on deconsolidation of Surface Pharmaceuticals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(5,320)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loss from Surface Pharmaceuticals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Loss on write down of assets and note receivable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and disposal of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(6,285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Repayment of note receivable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Purchase of Klarity license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(700</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Payments on capital lease obligations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public equity offering</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Payments on Park deferred acquisition obligation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LSAF note payable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Net proceeds from ATM sales of common 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Net proceeds from exercise of warrants and stock options, net of taxes remitted for RSU’s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60"/>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4,219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9,053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CASH EQUIVALENTS AND RESTRICTED CASH, end of period</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line="195" w:lineRule="exact"/>
              <w:rPr>
                <w:sz w:val="20"/>
                <w:szCs w:val="20"/>
                <w:color w:val="auto"/>
              </w:rPr>
            </w:pPr>
            <w:r>
              <w:rPr>
                <w:rFonts w:ascii="Arial" w:cs="Arial" w:eastAsia="Arial" w:hAnsi="Arial"/>
                <w:sz w:val="18"/>
                <w:szCs w:val="18"/>
                <w:color w:val="auto"/>
              </w:rPr>
              <w:t>RECONCILIATION OF CASH, CASH EQUIVALENTS AND</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RESTRICTED CASH AT END OF PERIOD: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3,970</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Cash paid for interest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1,006</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96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w w:val="99"/>
              </w:rPr>
              <w:t>SUPPLEMENTAL DISCLOSURES OF NON-CASH INVESTING AND FINANCING</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60" w:type="dxa"/>
            <w:vAlign w:val="bottom"/>
          </w:tcPr>
          <w:p>
            <w:pPr>
              <w:ind w:left="360"/>
              <w:spacing w:after="0" w:line="201" w:lineRule="exact"/>
              <w:rPr>
                <w:sz w:val="20"/>
                <w:szCs w:val="20"/>
                <w:color w:val="auto"/>
              </w:rPr>
            </w:pPr>
            <w:r>
              <w:rPr>
                <w:rFonts w:ascii="Arial" w:cs="Arial" w:eastAsia="Arial" w:hAnsi="Arial"/>
                <w:sz w:val="18"/>
                <w:szCs w:val="18"/>
                <w:color w:val="auto"/>
              </w:rPr>
              <w:t>Issuance of stock options for consulting services included in accounts payable and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9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Pharmaceuticals, Inc. (together with its subsidiaries, unless the context indicates or otherwise requires, the “Company” or “Imprimis”) is a pharmaceutical company specializing in the development, production and sale of innovative medications that offer unique competitive advantages and serve unmet needs in the marketplace. In addition to owning the nation’s leading ophthalmology pharmaceutical compounding business, ImprimisRx, the Company holds large equity positions in Eton Pharmaceuticals, Inc. (“Eton”), Surface Pharmaceuticals, Inc. (“Surface”) and Melt Pharmaceuticals, Inc. (“Melt”), companies originally founded as subsidiaries of Imprimis. The Company also owns royalty rights in certain 505(b)(2) drug candidates being developed by Eton, Surface and Melt.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2018 are not necessarily indicative of the results that may be expected for the year ending December 31, 2018 or for any other period. For further information, refer to the Company’s audited consolidated financial statements and footnotes thereto included in the Company’s Annual Report on Form 10-K for the year ended December 31, 2017.</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three and six months ended June 30, 2018 to the significant accounting policies described in the Company’s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$991 and $3,522 for the six months ended June 30, 2018 and 2017, respectively, and had an accumulated deficit of $89,827 and $88,836 as of June 30, 2018 and December 31, 2017, respectively. In addition, while during the six months ended June 30, 2018 the Company generated cash of $400 from operating activities, there is no guarantee that trend will continue, historically, the Company has used cash in operating activities and during the six months ended June 30, 2017 the Company used $6,285 in operating activities.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there is no assurance, the Company believes its existing cash resources and restricted cash of $4,170 at June 30, 2018, along with proceeds from the Sales Agreement (see and defined in Note 15)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may seek to increase liquidity and capital resources by one or more of the following which may include, but are not limited to: the sale of assets and/or businesses, obtaining financing through the issuance of equity, debt, or convertible securities; and working to increase revenue growth through sales. There is no guarantee that the Company will be able to obtain capital when needed on terms it deems as acceptable, or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Basic and Diluted 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computed by dividing income (loss) attributable to common stockholders for the period by the weighted average number of common shares outstanding during the period. Diluted income (loss) per share is computed by dividing the income (loss) attributable to common stockholders for the period by the weighted average number of common and common equivalent shares, such as stock options and warrants, outstanding during the period.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income (loss) per share is computed using the weighted average number of shares of common stock outstanding during the period. Common stock equivalents (using the treasury stock or “if converted” method) from deferred acquisition obligations, convertible note payable, stock options, unvested restricted stock units (“RSUs”) and warrants were 10,245,280 and 9,404,755 at June 30, 2018 and 2017, respectively, and, except for the three months ended June 30, 2018 and 2017, are excluded from the calculation of diluted net (loss) per share for the periods presented, because the effect is anti-dilutive. Included in the basic and diluted net income (loss) per share calculation were RSUs awarded to directors that had vested, but the issuance and delivery of the shares are deferred until the director resigns. The number of shares underlying vested RSUs at June 30, 2018 and 2017 was 168,513 and 105,621,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net income (loss) per share of common stock for the three and six months ended June 30, 2018 and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20"/>
                <w:szCs w:val="20"/>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Six Months Ended</w:t>
            </w:r>
          </w:p>
        </w:tc>
        <w:tc>
          <w:tcPr>
            <w:tcW w:w="140" w:type="dxa"/>
            <w:vAlign w:val="bottom"/>
          </w:tcPr>
          <w:p>
            <w:pPr>
              <w:spacing w:after="0"/>
              <w:rPr>
                <w:sz w:val="20"/>
                <w:szCs w:val="20"/>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June 30, 2018</w:t>
            </w:r>
          </w:p>
        </w:tc>
        <w:tc>
          <w:tcPr>
            <w:tcW w:w="180" w:type="dxa"/>
            <w:vAlign w:val="bottom"/>
          </w:tcPr>
          <w:p>
            <w:pPr>
              <w:spacing w:after="0"/>
              <w:rPr>
                <w:sz w:val="22"/>
                <w:szCs w:val="22"/>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June 30, 2017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June 30, 2017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Denominator – weighted average number of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360" w:type="dxa"/>
            <w:vAlign w:val="bottom"/>
            <w:gridSpan w:val="2"/>
          </w:tcPr>
          <w:p>
            <w:pPr>
              <w:spacing w:after="0"/>
              <w:rPr>
                <w:sz w:val="20"/>
                <w:szCs w:val="20"/>
                <w:color w:val="auto"/>
              </w:rPr>
            </w:pPr>
            <w:r>
              <w:rPr>
                <w:rFonts w:ascii="Arial" w:cs="Arial" w:eastAsia="Arial" w:hAnsi="Arial"/>
                <w:sz w:val="18"/>
                <w:szCs w:val="18"/>
                <w:color w:val="auto"/>
              </w:rPr>
              <w:t>outstanding, basic</w:t>
            </w:r>
          </w:p>
        </w:tc>
        <w:tc>
          <w:tcPr>
            <w:tcW w:w="16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21,190,794</w:t>
            </w:r>
          </w:p>
        </w:tc>
        <w:tc>
          <w:tcPr>
            <w:tcW w:w="18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20,209,821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21,070,664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19,572,051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basic</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2018 and 2017, the Company had net income. As a result, the Company computed diluted net income per share using the weighted-average number of common shares and dilutive common equivalent shares outstanding during those periods. Diluted common equivalent shares for the three months ended June 30, 2018 and 2017,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2018</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June 30, 2017</w:t>
            </w:r>
          </w:p>
        </w:tc>
      </w:tr>
      <w:tr>
        <w:trPr>
          <w:trHeight w:val="237"/>
        </w:trPr>
        <w:tc>
          <w:tcPr>
            <w:tcW w:w="46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r>
      <w:tr>
        <w:trPr>
          <w:trHeight w:val="243"/>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related to:</w:t>
            </w:r>
          </w:p>
        </w:tc>
        <w:tc>
          <w:tcPr>
            <w:tcW w:w="15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520" w:type="dxa"/>
            <w:vAlign w:val="bottom"/>
          </w:tcPr>
          <w:p>
            <w:pPr>
              <w:jc w:val="right"/>
              <w:spacing w:after="0"/>
              <w:rPr>
                <w:sz w:val="20"/>
                <w:szCs w:val="20"/>
                <w:color w:val="auto"/>
              </w:rPr>
            </w:pPr>
            <w:r>
              <w:rPr>
                <w:rFonts w:ascii="Arial" w:cs="Arial" w:eastAsia="Arial" w:hAnsi="Arial"/>
                <w:sz w:val="18"/>
                <w:szCs w:val="18"/>
                <w:color w:val="auto"/>
              </w:rPr>
              <w:t>1,093,006</w:t>
            </w:r>
          </w:p>
        </w:tc>
        <w:tc>
          <w:tcPr>
            <w:tcW w:w="2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2,912,374</w:t>
            </w: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883,546</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46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520" w:type="dxa"/>
            <w:vAlign w:val="bottom"/>
          </w:tcPr>
          <w:p>
            <w:pPr>
              <w:jc w:val="right"/>
              <w:spacing w:after="0"/>
              <w:rPr>
                <w:sz w:val="20"/>
                <w:szCs w:val="20"/>
                <w:color w:val="auto"/>
              </w:rPr>
            </w:pPr>
            <w:r>
              <w:rPr>
                <w:rFonts w:ascii="Arial" w:cs="Arial" w:eastAsia="Arial" w:hAnsi="Arial"/>
                <w:sz w:val="18"/>
                <w:szCs w:val="18"/>
                <w:color w:val="auto"/>
              </w:rPr>
              <w:t>8,085</w:t>
            </w:r>
          </w:p>
        </w:tc>
        <w:tc>
          <w:tcPr>
            <w:tcW w:w="24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55,686</w:t>
            </w:r>
          </w:p>
        </w:tc>
      </w:tr>
      <w:tr>
        <w:trPr>
          <w:trHeight w:val="230"/>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common equivalent shares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1,984,637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2,968,060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computation of diluted net income (loss) per share of common stock for the three and six months ended June 30,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Six Months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Six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June 30, 2018</w:t>
            </w:r>
          </w:p>
        </w:tc>
        <w:tc>
          <w:tcPr>
            <w:tcW w:w="18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June 30, 2017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June 30,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Denominator – weighted average number of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outstanding, basic</w:t>
            </w:r>
          </w:p>
        </w:tc>
        <w:tc>
          <w:tcPr>
            <w:tcW w:w="16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21,190,794</w:t>
            </w:r>
          </w:p>
        </w:tc>
        <w:tc>
          <w:tcPr>
            <w:tcW w:w="18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20,209,821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21,070,664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19,572,051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equivalents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1,984,637</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2,968,860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Number of shares used for diluted earnings per share</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360" w:type="dxa"/>
            <w:vAlign w:val="bottom"/>
            <w:gridSpan w:val="2"/>
          </w:tcPr>
          <w:p>
            <w:pPr>
              <w:spacing w:after="0"/>
              <w:rPr>
                <w:sz w:val="20"/>
                <w:szCs w:val="20"/>
                <w:color w:val="auto"/>
              </w:rPr>
            </w:pPr>
            <w:r>
              <w:rPr>
                <w:rFonts w:ascii="Arial" w:cs="Arial" w:eastAsia="Arial" w:hAnsi="Arial"/>
                <w:sz w:val="18"/>
                <w:szCs w:val="18"/>
                <w:color w:val="auto"/>
              </w:rPr>
              <w:t>computation</w:t>
            </w:r>
          </w:p>
        </w:tc>
        <w:tc>
          <w:tcPr>
            <w:tcW w:w="16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23,175,431</w:t>
            </w:r>
          </w:p>
        </w:tc>
        <w:tc>
          <w:tcPr>
            <w:tcW w:w="18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23,177,881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21,070,664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19,572,051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 diluted</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Investment in Surface Pharmaceuticals, Inc.</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2017, the Company formed Surface as a wholly owned subsidiary. In May and July 2018, Surface entered into and closed on definitive stock purchase agreements with an institutional investor for the purchase of Surface’s Series A Preferred Stock (the “Surface Series A Stock”) that resulted in total proceeds to Surface of approximately $21,000. At the time of the first closing in May 2018, the Company lost voting and ownership control of Surface and it ceased consolidating Surface’s financial statements, as of June 30, 2018, the Company owned approximately 35% of the issued and outstanding equity interests in Surface. The Surface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(“IPO”) of Surface common stock or similar transaction.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At the time of deconsolidation, the Company recorded a gain of $5,320 and adjusted the carrying value in Surface to reflect the increased valuation of Surface and the Company’s new ownership percent in accordance with Accounting Standard Codification (“ASC”) 810-10-40-4(c), </w:t>
      </w:r>
      <w:r>
        <w:rPr>
          <w:rFonts w:ascii="Arial" w:cs="Arial" w:eastAsia="Arial" w:hAnsi="Arial"/>
          <w:sz w:val="17"/>
          <w:szCs w:val="17"/>
          <w:i w:val="1"/>
          <w:iCs w:val="1"/>
          <w:color w:val="auto"/>
        </w:rPr>
        <w:t>Consolidation</w:t>
      </w:r>
      <w:r>
        <w:rPr>
          <w:rFonts w:ascii="Arial" w:cs="Arial" w:eastAsia="Arial" w:hAnsi="Arial"/>
          <w:sz w:val="17"/>
          <w:szCs w:val="17"/>
          <w:color w:val="auto"/>
        </w:rPr>
        <w:t>.</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owns 3,500,000 common shares (which is approximately 30% of the equity interest as of the date of this Report, and calculated after the second closing of the sale Series A Preferred Stock in July 2018)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of Surface in its consolidated financial statements and adjusts the carrying amount of its investment in Surface accordingly. The Company’s share of earnings and losses are based on the shares of common stock and in-substance common stock of Surface held by the Company. Any intra-entity profits and losses are eliminated. During the three and six months ended June 30, 2018, the Company recorded equity in net loss of Surface of $102. As of June 30, 2018, the carrying value of the Company’s investment in Surface was $5,218.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amounts in the 2017 condensed consolidated financial statements have been reclassified to conform to the classifications used to prepare the 2018 condensed consolidated financial statements. These reclassifications had no material impact on the Company’s financial position, results of operations, or cash flow as previously reported.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has subsequently issued several amendments to ASU 2014-09</w:t>
      </w:r>
      <w:r>
        <w:rPr>
          <w:rFonts w:ascii="Arial" w:cs="Arial" w:eastAsia="Arial" w:hAnsi="Arial"/>
          <w:sz w:val="16"/>
          <w:szCs w:val="16"/>
          <w:i w:val="1"/>
          <w:iCs w:val="1"/>
          <w:color w:val="auto"/>
        </w:rPr>
        <w:t>.</w:t>
      </w:r>
      <w:r>
        <w:rPr>
          <w:rFonts w:ascii="Arial" w:cs="Arial" w:eastAsia="Arial" w:hAnsi="Arial"/>
          <w:sz w:val="16"/>
          <w:szCs w:val="16"/>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standard’s stated core principle is that an entity should recognize revenue to depict the transfer of promised goods or services to customers in an amount that reflects the consideration to which the entity expects to be entitled in exchange for those goods or services. To achieve this core principle, ASU 2014-09 includes provisions within its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In addition, the standard requires disclosure of the nature, amount, timing, and uncertainty of revenue and cash flows arising from contracts with customers.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both"/>
        <w:spacing w:after="0" w:line="297" w:lineRule="auto"/>
        <w:rPr>
          <w:sz w:val="20"/>
          <w:szCs w:val="20"/>
          <w:color w:val="auto"/>
        </w:rPr>
      </w:pPr>
      <w:r>
        <w:rPr>
          <w:rFonts w:ascii="Arial" w:cs="Arial" w:eastAsia="Arial" w:hAnsi="Arial"/>
          <w:sz w:val="16"/>
          <w:szCs w:val="16"/>
          <w:color w:val="auto"/>
        </w:rPr>
        <w:t>The new standard became effective for the Company beginning January 1, 2018 and permits two methods of adoption: the full retrospective method, which requires the standard to be applied to each prior period presented, or the modified retrospective method, which requires the cumulative effect of adoption to be recognized as an adjustment to opening retained earnings in the period of adoption. The Company adopted the standard using the modified retrospective method. There was no effect for any adjustments to retained earnings upon adoption of the standard on January 1, 2018. Adoption of the new standard resulted in additional revenue-related disclosures in the footnotes to the Company’s condensed consolidated financial statements (see Note 3).</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Clarifying the Definition of a Business,</w:t>
      </w:r>
      <w:r>
        <w:rPr>
          <w:rFonts w:ascii="Arial" w:cs="Arial" w:eastAsia="Arial" w:hAnsi="Arial"/>
          <w:sz w:val="17"/>
          <w:szCs w:val="17"/>
          <w:color w:val="auto"/>
        </w:rPr>
        <w:t xml:space="preserve"> which revises the definition of a business and provides new guidance in evaluating when a set of transferred assets and activities is a business. The Company adopted the standard on January 1, 2018. Adoption of the standard did not have an impact on the Company’s financial position, results of operations and cash flows.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2016, the FASB issued ASU 2016-18, </w:t>
      </w:r>
      <w:r>
        <w:rPr>
          <w:rFonts w:ascii="Arial" w:cs="Arial" w:eastAsia="Arial" w:hAnsi="Arial"/>
          <w:sz w:val="18"/>
          <w:szCs w:val="18"/>
          <w:i w:val="1"/>
          <w:iCs w:val="1"/>
          <w:color w:val="auto"/>
        </w:rPr>
        <w:t>Statement of Cash Flows: Classification 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Company adopted the standard on January 1, 2018 by using the retrospective transition method. Adoption of the standard effected the presentation of cash equivalents in Company’s condensed consolidated statements of cash flows and related disclosures, restricted cash of $200 has been reclassified within that financial statement for the periods presented as a cash equivalent.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Scope of Modification Accounting</w:t>
      </w:r>
      <w:r>
        <w:rPr>
          <w:rFonts w:ascii="Arial" w:cs="Arial" w:eastAsia="Arial" w:hAnsi="Arial"/>
          <w:sz w:val="18"/>
          <w:szCs w:val="18"/>
          <w:color w:val="auto"/>
        </w:rPr>
        <w:t>. The amendments in this update provide guidance about which changes to the terms or conditions of a share-based payment award require an entity to apply modification accounting under Topic 718. An entity should account for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Company adopted this standard on January 1, 2018. Adoption of the standard did not have an effect on the Company’s financial position, results of operations and cash flows.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 – Stock Compensation: Improvements to Nonemployee Share-Based Payment Accounting</w:t>
      </w:r>
      <w:r>
        <w:rPr>
          <w:rFonts w:ascii="Arial" w:cs="Arial" w:eastAsia="Arial" w:hAnsi="Arial"/>
          <w:sz w:val="17"/>
          <w:szCs w:val="17"/>
          <w:color w:val="auto"/>
        </w:rPr>
        <w:t xml:space="preserve"> which simplifies several aspects of the accounting for nonemployee share-based payment transactions resulting from expanding the scope of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to include share-based payment transactions for acquiring goods and services from nonemployees. Some of the areas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simplification apply only to nonpublic entities.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amendments in this Update are effective for public business entities for fiscal years beginning after December 15, 2018, including interim periods within that fiscal year. Early adoption is permitted. The Company adopted this standard on July 1, 2018. Adoption of the standard did not have an effect on the Company’s financial position, results of operations and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new guidance was initiated as a joint project with the International Accounting Standards Board to simplify lease accounting and improve the quality of and comparability of financial information for users. This new guidance would eliminate the concept of off-balance sheet treatment for “operating leases” for lessees for the vast majority of lease contracts. Under ASU No. 2016-02, at inception, a lessee must classify all leases with a term of over one year as either finance or operating, with both classifications resulting in the recognition of a defined “right-of-use” asset and a lease liability on the balance sheet. However, recognition in the income statement will differ depending on the lease classification, with finance leases recognizing the amortization of the right-of-use asset separate from the interest on the lease liability and operating leases recognizing a single total lease expense. Lessor accounting under ASU No. 2016-02 would be substantially unchanged from the previous lease requirements under GAAP. ASU No. 2016-02 will take effect for public companies in fiscal years beginning after December 15, 2018, including interim periods within those fiscal years. Early adoption is permitted and for leases existing at, or entered into after, the beginning of the earliest comparative period presented in the financial statements, lessees and lessors must apply a modified retrospective transition approach. During the year ended December 31, 2017, the Company evaluated this new accounting standard and engaged professionals in the new lease accounting implementation to assist in determining the effect of the new standard as of January 1, 2018 with respect to the Company’s real estate leases. The Company currently has three real estate leases and evaluated each of these leases in accordance with the new lease accounting standard under ASC Topic 842. As of June 30, 2018, the Company estimates that the right of use asset to be recorded on its consolidated balance sheet would be approximately $2,300 and that the related lease liability would be approximately $2,800 related to operating leases. The difference between the right of use asset and related lease liability is predominantly deferred rent and other related lease expenses under the new lease accounting standard. The Company will continue this effort with respect to equipment leases and any other leases contemplated under Topic 842 in a manner to be appropriately prepared for its implementation on or before January 1, 2019.</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2018, the Company adopted ASU 2014-09, using the modified retrospective transition method. There was no effect for any adjustments to retained earnings upon adoption of the standard on January 1, 2018. The Company has two primary streams of revenue: (1) revenue recognized from our sale of products within our pharmacy services and (2) revenue recognized from intellectual property license and asset purchase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ASU 2014-09, we have identified the following:</w:t>
      </w:r>
    </w:p>
    <w:p>
      <w:pPr>
        <w:spacing w:after="0" w:line="18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23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 and related agreements in which the Company has promised to grant a license or sale which provides a customer with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 each of which revenue is recognized at the point of time the performance obligation is met.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revenue source for the three and six months ended June 30, 2018 and 2017,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5"/>
          </w:tcPr>
          <w:p>
            <w:pPr>
              <w:jc w:val="right"/>
              <w:ind w:right="460"/>
              <w:spacing w:after="0"/>
              <w:rPr>
                <w:sz w:val="20"/>
                <w:szCs w:val="20"/>
                <w:color w:val="auto"/>
              </w:rPr>
            </w:pPr>
            <w:r>
              <w:rPr>
                <w:rFonts w:ascii="Arial" w:cs="Arial" w:eastAsia="Arial" w:hAnsi="Arial"/>
                <w:sz w:val="18"/>
                <w:szCs w:val="18"/>
                <w:color w:val="auto"/>
                <w:w w:val="92"/>
              </w:rPr>
              <w:t>For the 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ind w:left="160"/>
              <w:spacing w:after="0"/>
              <w:rPr>
                <w:sz w:val="20"/>
                <w:szCs w:val="20"/>
                <w:color w:val="auto"/>
              </w:rPr>
            </w:pPr>
            <w:r>
              <w:rPr>
                <w:rFonts w:ascii="Arial" w:cs="Arial" w:eastAsia="Arial" w:hAnsi="Arial"/>
                <w:sz w:val="18"/>
                <w:szCs w:val="18"/>
                <w:color w:val="auto"/>
              </w:rPr>
              <w:t>For the Six months ended</w:t>
            </w:r>
          </w:p>
        </w:tc>
      </w:tr>
      <w:tr>
        <w:trPr>
          <w:trHeight w:val="237"/>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3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80" w:type="dxa"/>
            <w:vAlign w:val="bottom"/>
            <w:shd w:val="clear" w:color="auto" w:fill="CCEEFF"/>
          </w:tcPr>
          <w:p>
            <w:pPr>
              <w:spacing w:after="0"/>
              <w:rPr>
                <w:sz w:val="18"/>
                <w:szCs w:val="18"/>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License revenues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r>
      <w:tr>
        <w:trPr>
          <w:trHeight w:val="230"/>
        </w:trPr>
        <w:tc>
          <w:tcPr>
            <w:tcW w:w="3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and customer deposits at June 30, 2018 and December 31, 2017, was $34 and $29,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INVESTMENT IN ETON PHARMACEUTICALS, INC. AND AGREEMENTS -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2017, the Company and its subsidiary, Eton, entered into and closed on definitive stock purchase agreements related to the sale of Eton’s Series A preferred stock (the “Series A Stock”) that resulted in the Company losing voting and ownership control of Eton and it at that time, ceased consolidating Eton’s financial statements. The Series A Stock has mandatory conversion requirements into common stock of Eton upon events, including an underwritten IPO of Eton common stock. Under the terms of its Series A Stock, Eton is required to complete an IPO by December 31, 2018, subject to exceptions and extension upon certain conditions.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owns 3,500,000 common shares (approximately 27% issued and outstanding equity interest as of the date of this Report) of Eton and, uses the equity method of accounting for this investment, as management has determined that the Company has the ability to exercise significant influence over the operating and financial decisions of Eton. Under this method, the Company recognizes earnings and losses of Eton in its consolidated financial statements and adjusts the carrying amount of its investment in Eton accordingly. The Company’s share of earnings and losses are based on the shares of common stock and in-substance common stock of Eton held by the Company. Any intra-entity profits and losses are eliminated. During the three and six months ended June 30, 2018, the Company recorded equity in net loss of Eton of $1,146 and $2,215, respectively. As of June 30, 2018, the carrying value of the Company’s investment in Eton was $1,295.</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Chief Executive Officer, Mark L. Baum, is a director of Eton, and several employees of the Company (including Mr. Baum and the Company’s Chief Financial Officer, Andrew R. Boll) entered into consulting agreements and provided consulting services to Eton, these contracts concluded in April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Eton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r>
      <w:tr>
        <w:trPr>
          <w:trHeight w:val="230"/>
        </w:trPr>
        <w:tc>
          <w:tcPr>
            <w:tcW w:w="3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Six months ended</w:t>
            </w:r>
          </w:p>
        </w:tc>
      </w:tr>
      <w:tr>
        <w:trPr>
          <w:trHeight w:val="237"/>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30, 2018</w:t>
            </w:r>
          </w:p>
        </w:tc>
      </w:tr>
      <w:tr>
        <w:trPr>
          <w:trHeight w:val="21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7,424</w:t>
            </w:r>
          </w:p>
        </w:tc>
      </w:tr>
      <w:tr>
        <w:trPr>
          <w:trHeight w:val="23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Eton is summarized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At June 30,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 current assets</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preferred stock and stockholders’ equity</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SURFACE PHARMACEUTICALS, INC. AND AGREEMENTS - RELATED PARTY TRANSACTIONS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2017 and amended in April 2018, the Company entered into two asset purchase and license agreements (the “Surface License Agreements”) with its previously wholly owned subsidiary, Surface. Pursuant to the terms of the Surface License Agreements, the Company assigned and licensed to Surface certain intellectual property and related rights to develop, formulate, make, sell, and sub-license formulations of certain topical eye drop formulations that utilize a proprietary delivery vehicle and a proprietary doxycycline capsule (collectively, the “Surface Products”). Surface is required to make royalty payments to the Company of four to six percent (4%-6%) of net sales of the Surface Products while any patent rights remain outstanding. The certain of the Surface License Agreements were conditioned upon Surface receiving net proceeds of the sale of its equity securities of not less than $10,000, which occurred in May 2018. See also Note 2, under the subheading Investment in Surface Pharmaceuticals, Inc.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In January 2018, the Company and Surface entered into an amended Management Services Agreement (the “MSA”), whereby the Company provided to Surface certain administrative services and support, including bookkeeping, web services and human resources related activities, and Surface paid the Company a monthly amount of $10. The MSA was terminated effective July 31, 2018.</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and six months ended June 30, 2018, the Company incurred expenses that are reimbursable by Surface totaling $75, and no payments were made by Surface to the Company. As of June 30, 2018, the Company was due $223 from Surface for reimbursable expenses and amounts due under the MSA and included in prepaid expenses and other current assets on the accompanying condensed consolidated balance sheets.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owns 3,500,000 common shares (approximately 30% issued and outstanding equity interests as of the date of this Report) of Surface. The Company’s director, Richard L. Lindstrom and the Company’s Chief Executive Officer, Mark L. Baum, are directors of Surface. In addition, the Company’s Chief Financial Officer, Andrew R. Boll, was a director of Surface and resigned as a director of Surface concurrent with the sale of the Surface Series A Stock. Several employees and a director of the Company (including Mr. Baum, Dr. Lindstrom and Mr. Boll) entered into consulting agreements and provided consulting services to Surface. Surface is required to make royalty payments to Dr. Lindstrom of three percent (3%) of net sales of certain Surface products while certain patent rights remain outstanding. Dr. Lindstrom is also a principal of Flying L Partners, an affiliate of the funding investor.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For the Six months</w:t>
            </w:r>
          </w:p>
        </w:tc>
      </w:tr>
      <w:tr>
        <w:trPr>
          <w:trHeight w:val="250"/>
        </w:trPr>
        <w:tc>
          <w:tcPr>
            <w:tcW w:w="3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30, 2018</w:t>
            </w:r>
          </w:p>
        </w:tc>
      </w:tr>
      <w:tr>
        <w:trPr>
          <w:trHeight w:val="21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At June 30,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Non current assets</w:t>
            </w:r>
          </w:p>
        </w:tc>
        <w:tc>
          <w:tcPr>
            <w:tcW w:w="16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14,416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RESTRICTED CASH</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restricted cash at June 30, 2018 and December 31, 2017 consisted of funds held in a money market account. At June 30, 2018 and December 31, 2017, the restricted cash was recorded at amortized cost, which approximates fair value.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At June 30, 2018 and December 31, 2017, the funds held in a money market account of $200 were classified as a current asset. The money market account funds are required as collateral as additional security for the Company’s New Jersey facility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June 30, 2018 and December 31, 2017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 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December 31, 2017</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1,293</w:t>
            </w:r>
          </w:p>
        </w:tc>
      </w:tr>
      <w:tr>
        <w:trPr>
          <w:trHeight w:val="23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NOTE 8. PREPAID EXPENSES AND OTHER CURRENT ASSETS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w w:val="98"/>
              </w:rPr>
              <w:t>Prepaid expenses and other current assets consisted of the following:</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4"/>
                <w:szCs w:val="24"/>
                <w:color w:val="auto"/>
              </w:rPr>
            </w:pPr>
          </w:p>
        </w:tc>
        <w:tc>
          <w:tcPr>
            <w:tcW w:w="17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Surface Pharmaceuticals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Deposits and other current assets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NOTE 9. PROPERTY, PLANT AND EQUIPMENT</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4"/>
                <w:szCs w:val="24"/>
                <w:color w:val="auto"/>
              </w:rPr>
            </w:pPr>
          </w:p>
        </w:tc>
        <w:tc>
          <w:tcPr>
            <w:tcW w:w="17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1,489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2,641</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5,014</w:t>
            </w:r>
          </w:p>
        </w:tc>
        <w:tc>
          <w:tcPr>
            <w:tcW w:w="1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9,522</w:t>
            </w: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8,971</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(3,556)</w:t>
            </w:r>
          </w:p>
        </w:tc>
        <w:tc>
          <w:tcPr>
            <w:tcW w:w="14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7"/>
        </w:trPr>
        <w:tc>
          <w:tcPr>
            <w:tcW w:w="5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2018, depreciation related to the property, plant and equipment was $401 and $800,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RECEIVABLE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recorded a loss of $393, which was recorded net in other expense, during the three and six months ended June 30, 2018, related to the impairment and write-off of all amounts owed to it under its note receivable. The write-off is due to the Company’s estimate of collectability of the asset.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640" w:type="dxa"/>
            <w:vAlign w:val="bottom"/>
            <w:gridSpan w:val="4"/>
          </w:tcPr>
          <w:p>
            <w:pPr>
              <w:spacing w:after="0"/>
              <w:rPr>
                <w:sz w:val="20"/>
                <w:szCs w:val="20"/>
                <w:color w:val="auto"/>
              </w:rPr>
            </w:pPr>
            <w:r>
              <w:rPr>
                <w:rFonts w:ascii="Arial" w:cs="Arial" w:eastAsia="Arial" w:hAnsi="Arial"/>
                <w:sz w:val="18"/>
                <w:szCs w:val="18"/>
                <w:b w:val="1"/>
                <w:bCs w:val="1"/>
                <w:color w:val="auto"/>
              </w:rPr>
              <w:t>NOTE 11. INTANGIBLE ASSETS AND GOODWILL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40" w:type="dxa"/>
            <w:vAlign w:val="bottom"/>
            <w:gridSpan w:val="4"/>
          </w:tcPr>
          <w:p>
            <w:pPr>
              <w:spacing w:after="0"/>
              <w:rPr>
                <w:sz w:val="20"/>
                <w:szCs w:val="20"/>
                <w:color w:val="auto"/>
              </w:rPr>
            </w:pPr>
            <w:r>
              <w:rPr>
                <w:rFonts w:ascii="Arial" w:cs="Arial" w:eastAsia="Arial" w:hAnsi="Arial"/>
                <w:sz w:val="18"/>
                <w:szCs w:val="18"/>
                <w:color w:val="auto"/>
                <w:w w:val="91"/>
              </w:rPr>
              <w:t>The Company’s intangible assets at June 30, 2018 consisted of the following: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560" w:type="dxa"/>
            <w:vAlign w:val="bottom"/>
          </w:tcPr>
          <w:p>
            <w:pPr>
              <w:spacing w:after="0"/>
              <w:rPr>
                <w:sz w:val="24"/>
                <w:szCs w:val="24"/>
                <w:color w:val="auto"/>
              </w:rPr>
            </w:pPr>
          </w:p>
        </w:tc>
        <w:tc>
          <w:tcPr>
            <w:tcW w:w="208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Amortization periods (in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w w:val="97"/>
              </w:rPr>
              <w:t>Accumulated</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Net Carrying</w:t>
            </w:r>
          </w:p>
        </w:tc>
      </w:tr>
      <w:tr>
        <w:trPr>
          <w:trHeight w:val="237"/>
        </w:trPr>
        <w:tc>
          <w:tcPr>
            <w:tcW w:w="3560" w:type="dxa"/>
            <w:vAlign w:val="bottom"/>
          </w:tcPr>
          <w:p>
            <w:pPr>
              <w:spacing w:after="0"/>
              <w:rPr>
                <w:sz w:val="20"/>
                <w:szCs w:val="20"/>
                <w:color w:val="auto"/>
              </w:rPr>
            </w:pPr>
          </w:p>
        </w:tc>
        <w:tc>
          <w:tcPr>
            <w:tcW w:w="208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8"/>
                <w:szCs w:val="18"/>
                <w:color w:val="auto"/>
              </w:rPr>
              <w:t>Cost</w:t>
            </w: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0"/>
                <w:szCs w:val="20"/>
                <w:color w:val="auto"/>
              </w:rPr>
            </w:pPr>
          </w:p>
        </w:tc>
        <w:tc>
          <w:tcPr>
            <w:tcW w:w="1280" w:type="dxa"/>
            <w:vAlign w:val="bottom"/>
            <w:gridSpan w:val="5"/>
          </w:tcPr>
          <w:p>
            <w:pPr>
              <w:jc w:val="right"/>
              <w:ind w:right="21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value</w:t>
            </w:r>
          </w:p>
        </w:tc>
      </w:tr>
      <w:tr>
        <w:trPr>
          <w:trHeight w:val="21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840" w:type="dxa"/>
            <w:vAlign w:val="bottom"/>
            <w:tcBorders>
              <w:top w:val="single" w:sz="8" w:color="auto"/>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17-19 years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right="63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Licenses</w:t>
            </w:r>
          </w:p>
        </w:tc>
        <w:tc>
          <w:tcPr>
            <w:tcW w:w="208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20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5"/>
              </w:rPr>
              <w:t>Indefinite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3-15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2,998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8"/>
              </w:rPr>
              <w:t>5 years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Non-competition clause</w:t>
            </w:r>
          </w:p>
        </w:tc>
        <w:tc>
          <w:tcPr>
            <w:tcW w:w="20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3-4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294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20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6"/>
              </w:rPr>
              <w:t>25 years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7"/>
        </w:trPr>
        <w:tc>
          <w:tcPr>
            <w:tcW w:w="35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4,194</w:t>
            </w: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(1,236</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63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Borders>
              <w:top w:val="single" w:sz="8" w:color="CCEEFF"/>
            </w:tcBorders>
          </w:tcPr>
          <w:p>
            <w:pPr>
              <w:spacing w:after="0"/>
              <w:rPr>
                <w:sz w:val="18"/>
                <w:szCs w:val="18"/>
                <w:color w:val="auto"/>
              </w:rPr>
            </w:pPr>
          </w:p>
        </w:tc>
      </w:tr>
      <w:tr>
        <w:trPr>
          <w:trHeight w:val="20"/>
        </w:trPr>
        <w:tc>
          <w:tcPr>
            <w:tcW w:w="4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880" w:type="dxa"/>
            <w:vAlign w:val="bottom"/>
            <w:gridSpan w:val="12"/>
          </w:tcPr>
          <w:p>
            <w:pPr>
              <w:spacing w:after="0"/>
              <w:rPr>
                <w:sz w:val="20"/>
                <w:szCs w:val="20"/>
                <w:color w:val="auto"/>
              </w:rPr>
            </w:pPr>
            <w:r>
              <w:rPr>
                <w:rFonts w:ascii="Arial" w:cs="Arial" w:eastAsia="Arial" w:hAnsi="Arial"/>
                <w:sz w:val="18"/>
                <w:szCs w:val="18"/>
                <w:color w:val="auto"/>
                <w:w w:val="90"/>
              </w:rPr>
              <w:t>Amortization expense for intangible assets for the three and six months ended June 30, 2018 was as follows: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gridSpan w:val="2"/>
          </w:tcPr>
          <w:p>
            <w:pPr>
              <w:jc w:val="center"/>
              <w:ind w:left="115"/>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For the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480"/>
              <w:spacing w:after="0"/>
              <w:rPr>
                <w:sz w:val="20"/>
                <w:szCs w:val="20"/>
                <w:color w:val="auto"/>
              </w:rPr>
            </w:pPr>
            <w:r>
              <w:rPr>
                <w:rFonts w:ascii="Arial" w:cs="Arial" w:eastAsia="Arial" w:hAnsi="Arial"/>
                <w:sz w:val="18"/>
                <w:szCs w:val="18"/>
                <w:color w:val="auto"/>
                <w:w w:val="91"/>
              </w:rPr>
              <w:t>For the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For the</w:t>
            </w:r>
          </w:p>
        </w:tc>
      </w:tr>
      <w:tr>
        <w:trPr>
          <w:trHeight w:val="216"/>
        </w:trPr>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gridSpan w:val="2"/>
          </w:tcPr>
          <w:p>
            <w:pPr>
              <w:jc w:val="center"/>
              <w:ind w:left="135"/>
              <w:spacing w:after="0"/>
              <w:rPr>
                <w:sz w:val="20"/>
                <w:szCs w:val="20"/>
                <w:color w:val="auto"/>
              </w:rPr>
            </w:pPr>
            <w:r>
              <w:rPr>
                <w:rFonts w:ascii="Arial" w:cs="Arial" w:eastAsia="Arial" w:hAnsi="Arial"/>
                <w:sz w:val="18"/>
                <w:szCs w:val="18"/>
                <w:color w:val="auto"/>
                <w:w w:val="91"/>
              </w:rPr>
              <w:t>Three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gridSpan w:val="2"/>
          </w:tcPr>
          <w:p>
            <w:pPr>
              <w:jc w:val="center"/>
              <w:ind w:left="135"/>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left="350"/>
              <w:spacing w:after="0"/>
              <w:rPr>
                <w:sz w:val="20"/>
                <w:szCs w:val="20"/>
                <w:color w:val="auto"/>
              </w:rPr>
            </w:pPr>
            <w:r>
              <w:rPr>
                <w:rFonts w:ascii="Arial" w:cs="Arial" w:eastAsia="Arial" w:hAnsi="Arial"/>
                <w:sz w:val="18"/>
                <w:szCs w:val="18"/>
                <w:color w:val="auto"/>
                <w:w w:val="88"/>
              </w:rPr>
              <w:t>Ended</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5"/>
          </w:tcPr>
          <w:p>
            <w:pPr>
              <w:jc w:val="center"/>
              <w:ind w:right="60"/>
              <w:spacing w:after="0"/>
              <w:rPr>
                <w:sz w:val="20"/>
                <w:szCs w:val="20"/>
                <w:color w:val="auto"/>
              </w:rPr>
            </w:pPr>
            <w:r>
              <w:rPr>
                <w:rFonts w:ascii="Arial" w:cs="Arial" w:eastAsia="Arial" w:hAnsi="Arial"/>
                <w:sz w:val="18"/>
                <w:szCs w:val="18"/>
                <w:color w:val="auto"/>
                <w:w w:val="91"/>
              </w:rPr>
              <w:t>Six Months Ended</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gridSpan w:val="5"/>
          </w:tcPr>
          <w:p>
            <w:pPr>
              <w:jc w:val="center"/>
              <w:ind w:right="140"/>
              <w:spacing w:after="0"/>
              <w:rPr>
                <w:sz w:val="20"/>
                <w:szCs w:val="20"/>
                <w:color w:val="auto"/>
              </w:rPr>
            </w:pPr>
            <w:r>
              <w:rPr>
                <w:rFonts w:ascii="Arial" w:cs="Arial" w:eastAsia="Arial" w:hAnsi="Arial"/>
                <w:sz w:val="18"/>
                <w:szCs w:val="18"/>
                <w:color w:val="auto"/>
                <w:w w:val="91"/>
              </w:rPr>
              <w:t>Six Months Ended</w:t>
            </w:r>
          </w:p>
        </w:tc>
      </w:tr>
      <w:tr>
        <w:trPr>
          <w:trHeight w:val="237"/>
        </w:trPr>
        <w:tc>
          <w:tcPr>
            <w:tcW w:w="3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2"/>
          </w:tcPr>
          <w:p>
            <w:pPr>
              <w:jc w:val="center"/>
              <w:ind w:left="115"/>
              <w:spacing w:after="0"/>
              <w:rPr>
                <w:sz w:val="20"/>
                <w:szCs w:val="20"/>
                <w:color w:val="auto"/>
              </w:rPr>
            </w:pPr>
            <w:r>
              <w:rPr>
                <w:rFonts w:ascii="Arial" w:cs="Arial" w:eastAsia="Arial" w:hAnsi="Arial"/>
                <w:sz w:val="18"/>
                <w:szCs w:val="18"/>
                <w:color w:val="auto"/>
                <w:w w:val="87"/>
              </w:rPr>
              <w:t>June 30, 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June 30, 2017</w:t>
            </w:r>
          </w:p>
        </w:tc>
        <w:tc>
          <w:tcPr>
            <w:tcW w:w="160" w:type="dxa"/>
            <w:vAlign w:val="bottom"/>
          </w:tcPr>
          <w:p>
            <w:pPr>
              <w:spacing w:after="0"/>
              <w:rPr>
                <w:sz w:val="20"/>
                <w:szCs w:val="20"/>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8"/>
                <w:szCs w:val="18"/>
                <w:color w:val="auto"/>
                <w:w w:val="87"/>
              </w:rPr>
              <w:t>June 30, 2018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8"/>
                <w:szCs w:val="18"/>
                <w:color w:val="auto"/>
                <w:w w:val="87"/>
              </w:rPr>
              <w:t>June 30, 2017</w:t>
            </w:r>
          </w:p>
        </w:tc>
      </w:tr>
      <w:tr>
        <w:trPr>
          <w:trHeight w:val="21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8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7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Licenses</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Trade name</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35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7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June 30, 2018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1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2019</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2021</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1,863</w:t>
            </w:r>
          </w:p>
        </w:tc>
      </w:tr>
      <w:tr>
        <w:trPr>
          <w:trHeight w:val="230"/>
        </w:trPr>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carrying value of the Company’s goodwill during the three and six months ended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31,2017</w:t>
            </w:r>
          </w:p>
        </w:tc>
        <w:tc>
          <w:tcPr>
            <w:tcW w:w="2280" w:type="dxa"/>
            <w:vAlign w:val="bottom"/>
          </w:tcPr>
          <w:p>
            <w:pPr>
              <w:spacing w:after="0"/>
              <w:rPr>
                <w:sz w:val="20"/>
                <w:szCs w:val="20"/>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228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2280" w:type="dxa"/>
            <w:vAlign w:val="bottom"/>
          </w:tcPr>
          <w:p>
            <w:pPr>
              <w:spacing w:after="0"/>
              <w:rPr>
                <w:sz w:val="18"/>
                <w:szCs w:val="18"/>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Accrued exit fee for note payable</w:t>
            </w:r>
          </w:p>
        </w:tc>
        <w:tc>
          <w:tcPr>
            <w:tcW w:w="26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2280" w:type="dxa"/>
            <w:vAlign w:val="bottom"/>
          </w:tcPr>
          <w:p>
            <w:pPr>
              <w:spacing w:after="0"/>
              <w:rPr>
                <w:sz w:val="20"/>
                <w:szCs w:val="20"/>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(3,885)</w:t>
            </w:r>
          </w:p>
        </w:tc>
        <w:tc>
          <w:tcPr>
            <w:tcW w:w="2280" w:type="dxa"/>
            <w:vAlign w:val="bottom"/>
          </w:tcPr>
          <w:p>
            <w:pPr>
              <w:spacing w:after="0"/>
              <w:rPr>
                <w:sz w:val="20"/>
                <w:szCs w:val="20"/>
                <w:color w:val="auto"/>
              </w:rPr>
            </w:pPr>
          </w:p>
        </w:tc>
      </w:tr>
      <w:tr>
        <w:trPr>
          <w:trHeight w:val="23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0"/>
        </w:trPr>
        <w:tc>
          <w:tcPr>
            <w:tcW w:w="4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Arial" w:cs="Arial" w:eastAsia="Arial" w:hAnsi="Arial"/>
                <w:sz w:val="18"/>
                <w:szCs w:val="18"/>
                <w:b w:val="1"/>
                <w:bCs w:val="1"/>
                <w:color w:val="auto"/>
              </w:rPr>
              <w:t>NOTE 13. DEBT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260" w:type="dxa"/>
            <w:vAlign w:val="bottom"/>
          </w:tcPr>
          <w:p>
            <w:pPr>
              <w:spacing w:after="0"/>
              <w:rPr>
                <w:sz w:val="20"/>
                <w:szCs w:val="20"/>
                <w:color w:val="auto"/>
              </w:rPr>
            </w:pPr>
            <w:r>
              <w:rPr>
                <w:rFonts w:ascii="Arial" w:cs="Arial" w:eastAsia="Arial" w:hAnsi="Arial"/>
                <w:sz w:val="18"/>
                <w:szCs w:val="18"/>
                <w:color w:val="auto"/>
                <w:w w:val="93"/>
              </w:rPr>
              <w:t>At June 30, 2018, future minimum payments under the Company’s note payable were as follows: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3,657</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3,214</w:t>
            </w:r>
          </w:p>
        </w:tc>
      </w:tr>
      <w:tr>
        <w:trPr>
          <w:trHeight w:val="25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11,200</w:t>
            </w:r>
          </w:p>
        </w:tc>
      </w:tr>
      <w:tr>
        <w:trPr>
          <w:trHeight w:val="203"/>
        </w:trPr>
        <w:tc>
          <w:tcPr>
            <w:tcW w:w="7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payments</w:t>
            </w: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22,738</w:t>
            </w:r>
          </w:p>
        </w:tc>
        <w:tc>
          <w:tcPr>
            <w:tcW w:w="80" w:type="dxa"/>
            <w:vAlign w:val="bottom"/>
            <w:tcBorders>
              <w:top w:val="single" w:sz="8" w:color="CCEEFF"/>
            </w:tcBorders>
          </w:tcPr>
          <w:p>
            <w:pPr>
              <w:spacing w:after="0"/>
              <w:rPr>
                <w:sz w:val="17"/>
                <w:szCs w:val="17"/>
                <w:color w:val="auto"/>
              </w:rPr>
            </w:pPr>
          </w:p>
        </w:tc>
      </w:tr>
      <w:tr>
        <w:trPr>
          <w:trHeight w:val="25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(6,738)</w:t>
            </w:r>
          </w:p>
        </w:tc>
      </w:tr>
      <w:tr>
        <w:trPr>
          <w:trHeight w:val="203"/>
        </w:trPr>
        <w:tc>
          <w:tcPr>
            <w:tcW w:w="7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gross</w:t>
            </w: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16,000</w:t>
            </w:r>
          </w:p>
        </w:tc>
        <w:tc>
          <w:tcPr>
            <w:tcW w:w="80" w:type="dxa"/>
            <w:vAlign w:val="bottom"/>
            <w:tcBorders>
              <w:top w:val="single" w:sz="8" w:color="CCEEFF"/>
            </w:tcBorders>
          </w:tcPr>
          <w:p>
            <w:pPr>
              <w:spacing w:after="0"/>
              <w:rPr>
                <w:sz w:val="17"/>
                <w:szCs w:val="17"/>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w:t>
            </w:r>
          </w:p>
        </w:tc>
      </w:tr>
      <w:tr>
        <w:trPr>
          <w:trHeight w:val="237"/>
        </w:trPr>
        <w:tc>
          <w:tcPr>
            <w:tcW w:w="726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r>
      <w:tr>
        <w:trPr>
          <w:trHeight w:val="230"/>
        </w:trPr>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2018, debt discount amortization related to note payable was $130 and $258,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NOTE 14. CAPITAL LEASE OBLIGATION</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00" w:type="dxa"/>
            <w:vAlign w:val="bottom"/>
          </w:tcPr>
          <w:p>
            <w:pPr>
              <w:spacing w:after="0"/>
              <w:rPr>
                <w:sz w:val="20"/>
                <w:szCs w:val="20"/>
                <w:color w:val="auto"/>
              </w:rPr>
            </w:pPr>
            <w:r>
              <w:rPr>
                <w:rFonts w:ascii="Arial" w:cs="Arial" w:eastAsia="Arial" w:hAnsi="Arial"/>
                <w:sz w:val="18"/>
                <w:szCs w:val="18"/>
                <w:color w:val="auto"/>
                <w:w w:val="98"/>
              </w:rPr>
              <w:t>At June 30, 2018, future payments under the Company’s capital leases were as follows: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r>
      <w:tr>
        <w:trPr>
          <w:trHeight w:val="216"/>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w:t>
            </w: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6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r>
      <w:tr>
        <w:trPr>
          <w:trHeight w:val="230"/>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 and unamortized discount</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2018, debt discount amortization related to the capital lease obligation was $25 and $56, respectively.</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40"/>
          </w:cols>
          <w:pgMar w:left="240" w:top="661" w:right="11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15.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issued 25,273 shares of its restricted common stock, with a fair value of $44, in lieu of a cash payment for accrued royalty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RSUs granted in February 2015 to Andrew R. Boll, the Company’s Chief Financial Officer, vested, and in February 2018, 30,000 shares the Company’s common stock were issued to Mr. Boll.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RSUs granted in February 2015 to John P. Saharek, the Company’s Chief Commercial Officer, vested, and in February 2018, 30,000 shares the Company’s common stock were issued to Mr. Saharek.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2018, the Company issued 35,427 shares of its restricted common stock, with a fair value of $64, in lieu of a cash payment for accrued royalty expenses.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2015, the Company entered into a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The Company sold 305,619 shares of common stock and received net proceeds of $641, after deducting $20 for sales commission and offering expenses, under the Sales Agreement during the six months ended June 30, 2018, leaving an aggregate of $7,378 available for future sales of shares thereunder as of June 30, 2018.</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2018, 31,446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June 30, 2018,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for the six months ended June 30,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Number of shares</w:t>
            </w: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Contractual Life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2018</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2,259,979</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281,000</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1.75</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(16,599)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4.16</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June 30, 2018</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2,524,380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w:t>
            </w:r>
          </w:p>
        </w:tc>
        <w:tc>
          <w:tcPr>
            <w:tcW w:w="16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w:t>
            </w:r>
          </w:p>
        </w:tc>
        <w:tc>
          <w:tcPr>
            <w:tcW w:w="48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5.56</w:t>
            </w: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6.25</w:t>
            </w:r>
          </w:p>
        </w:tc>
        <w:tc>
          <w:tcPr>
            <w:tcW w:w="48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1,162,736</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40" w:type="dxa"/>
            <w:vAlign w:val="bottom"/>
            <w:tcBorders>
              <w:bottom w:val="single" w:sz="8" w:color="CCEEFF"/>
            </w:tcBorders>
            <w:gridSpan w:val="2"/>
            <w:vMerge w:val="continue"/>
          </w:tcPr>
          <w:p>
            <w:pPr>
              <w:spacing w:after="0"/>
              <w:rPr>
                <w:sz w:val="20"/>
                <w:szCs w:val="20"/>
                <w:color w:val="auto"/>
              </w:rPr>
            </w:pPr>
          </w:p>
        </w:tc>
        <w:tc>
          <w:tcPr>
            <w:tcW w:w="480" w:type="dxa"/>
            <w:vAlign w:val="bottom"/>
            <w:tcBorders>
              <w:bottom w:val="single" w:sz="8" w:color="CCEEFF"/>
            </w:tcBorders>
            <w:gridSpan w:val="2"/>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2,387,300</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5.11</w:t>
            </w:r>
          </w:p>
        </w:tc>
        <w:tc>
          <w:tcPr>
            <w:tcW w:w="3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6.04</w:t>
            </w:r>
          </w:p>
        </w:tc>
        <w:tc>
          <w:tcPr>
            <w:tcW w:w="480" w:type="dxa"/>
            <w:vAlign w:val="bottom"/>
            <w:tcBorders>
              <w:bottom w:val="single" w:sz="8" w:color="CCEEFF"/>
            </w:tcBorders>
            <w:gridSpan w:val="2"/>
            <w:shd w:val="clear" w:color="auto" w:fill="CCEEFF"/>
          </w:tcPr>
          <w:p>
            <w:pPr>
              <w:jc w:val="right"/>
              <w:ind w:right="150"/>
              <w:spacing w:after="0" w:line="19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30, 2018, based on the closing price of the Company’s common stock of $2.20 on that date.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six months ended June 30, 2018, the Company granted stock options to certain employees and consultants.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six months ended June 30, 2018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 and in the event of certain modifications to the option award agreement.</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Beginning on April 1, 2018, the Company began calculating expected volatility based solely on the historical volatilities of the common stock of the Company. In the past, the expected volatility was based on the historical volatilities of the common stock of the Company and comparable publicly traded companies, the Company previously utilized this methodology based on its estimate that it had limited relevant historical data regarding the volatility of its stock price on which to base a meaningful estimate of expected volatility.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5.8 - 6.1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 - 126%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2.05 - 3.00%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June 30,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Options Outstanding</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6"/>
          </w:tcPr>
          <w:p>
            <w:pPr>
              <w:ind w:left="56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02"/>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2"/>
              </w:rPr>
              <w:t>Weighted</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Weighted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Remaining</w:t>
            </w:r>
          </w:p>
        </w:tc>
        <w:tc>
          <w:tcPr>
            <w:tcW w:w="16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160" w:type="dxa"/>
            <w:vAlign w:val="bottom"/>
          </w:tcPr>
          <w:p>
            <w:pPr>
              <w:spacing w:after="0"/>
              <w:rPr>
                <w:sz w:val="19"/>
                <w:szCs w:val="19"/>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Number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4240" w:type="dxa"/>
            <w:vAlign w:val="bottom"/>
            <w:gridSpan w:val="2"/>
          </w:tcPr>
          <w:p>
            <w:pPr>
              <w:ind w:left="1100"/>
              <w:spacing w:after="0"/>
              <w:rPr>
                <w:sz w:val="20"/>
                <w:szCs w:val="20"/>
                <w:color w:val="auto"/>
              </w:rPr>
            </w:pPr>
            <w:r>
              <w:rPr>
                <w:rFonts w:ascii="Arial" w:cs="Arial" w:eastAsia="Arial" w:hAnsi="Arial"/>
                <w:sz w:val="18"/>
                <w:szCs w:val="18"/>
                <w:color w:val="auto"/>
              </w:rPr>
              <w:t>Range of Exercise Prices</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Life in Years</w:t>
            </w:r>
          </w:p>
        </w:tc>
        <w:tc>
          <w:tcPr>
            <w:tcW w:w="16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Price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Exercisable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4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$1.47 - $2.60</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857,125</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8.26</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290,966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auto"/>
                <w:w w:val="90"/>
              </w:rPr>
              <w:t>$3.20 - $4.50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539,906</w:t>
            </w: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7.44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357,398</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$5.49 - $6.36</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101,536</w:t>
            </w:r>
          </w:p>
        </w:tc>
        <w:tc>
          <w:tcPr>
            <w:tcW w:w="18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99,346</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auto"/>
                <w:w w:val="90"/>
              </w:rPr>
              <w:t>$6.64 - $8.99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1,020,783</w:t>
            </w: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3.54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7.98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409,996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$42.80</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8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7"/>
        </w:trPr>
        <w:tc>
          <w:tcPr>
            <w:tcW w:w="40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1"/>
              </w:rPr>
              <w:t>$1.47 - $42.80</w:t>
            </w: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2,524,380</w:t>
            </w:r>
          </w:p>
        </w:tc>
        <w:tc>
          <w:tcPr>
            <w:tcW w:w="1860" w:type="dxa"/>
            <w:vAlign w:val="bottom"/>
            <w:tcBorders>
              <w:top w:val="single" w:sz="8" w:color="CCEEFF"/>
            </w:tcBorders>
            <w:gridSpan w:val="3"/>
          </w:tcPr>
          <w:p>
            <w:pPr>
              <w:ind w:left="1200"/>
              <w:spacing w:after="0"/>
              <w:rPr>
                <w:sz w:val="20"/>
                <w:szCs w:val="20"/>
                <w:color w:val="auto"/>
              </w:rPr>
            </w:pPr>
            <w:r>
              <w:rPr>
                <w:rFonts w:ascii="Arial" w:cs="Arial" w:eastAsia="Arial" w:hAnsi="Arial"/>
                <w:sz w:val="18"/>
                <w:szCs w:val="18"/>
                <w:color w:val="auto"/>
              </w:rPr>
              <w:t>6.04</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5.10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1,162,736</w:t>
            </w: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gridSpan w:val="2"/>
            <w:vMerge w:val="restart"/>
          </w:tcPr>
          <w:p>
            <w:pPr>
              <w:jc w:val="right"/>
              <w:ind w:right="99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As of June 30, 2018, there was approximately $2,397 of total unrecognized compensation expense related to unvested stock options granted under the Plans. That expense is expected to be recognized over the weighted-average remaining vesting period of 2.4 years. The stock-based compensation expense for all stock options was $354 and $771 during the three and six months ended June 30,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2018, the Company’s board of directors were granted 136,360 RSUs with a fair market value $300 which vests on a quarterly basis, over one year in equal installments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six months ended June 30,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 Average</w:t>
            </w:r>
          </w:p>
        </w:tc>
      </w:tr>
      <w:tr>
        <w:trPr>
          <w:trHeight w:val="216"/>
        </w:trPr>
        <w:tc>
          <w:tcPr>
            <w:tcW w:w="5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Grant Date Fair</w:t>
            </w:r>
          </w:p>
        </w:tc>
      </w:tr>
      <w:tr>
        <w:trPr>
          <w:trHeight w:val="237"/>
        </w:trPr>
        <w:tc>
          <w:tcPr>
            <w:tcW w:w="568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 RSUs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16"/>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2018</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1,298,946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RSUs granted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136,360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r>
      <w:tr>
        <w:trPr>
          <w:trHeight w:val="237"/>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June 30, 2018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1,343,860</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r>
      <w:tr>
        <w:trPr>
          <w:trHeight w:val="20"/>
        </w:trPr>
        <w:tc>
          <w:tcPr>
            <w:tcW w:w="5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the total unrecognized compensation expense related to unvested RSUs was approximately $1,050, which is expected to be recognized over a weighted-average period of 0.5 years, based on estimated and actual vesting schedules of the applicable RSUs. The stock-based compensation for RSUs during the three and six months ended June 30, 2018 was $254 and $577.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settlement agreements and other non-employees for services rendered or to be rendered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summary of warrant activity for the six months ended June 30,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6"/>
          </w:tcPr>
          <w:p>
            <w:pPr>
              <w:jc w:val="center"/>
              <w:ind w:right="200"/>
              <w:spacing w:after="0"/>
              <w:rPr>
                <w:sz w:val="20"/>
                <w:szCs w:val="20"/>
                <w:color w:val="auto"/>
              </w:rPr>
            </w:pPr>
            <w:r>
              <w:rPr>
                <w:rFonts w:ascii="Arial" w:cs="Arial" w:eastAsia="Arial" w:hAnsi="Arial"/>
                <w:sz w:val="18"/>
                <w:szCs w:val="18"/>
                <w:color w:val="auto"/>
                <w:w w:val="88"/>
              </w:rPr>
              <w:t>Number of Shares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6"/>
          </w:tcPr>
          <w:p>
            <w:pPr>
              <w:jc w:val="center"/>
              <w:ind w:right="200"/>
              <w:spacing w:after="0"/>
              <w:rPr>
                <w:sz w:val="20"/>
                <w:szCs w:val="20"/>
                <w:color w:val="auto"/>
              </w:rPr>
            </w:pPr>
            <w:r>
              <w:rPr>
                <w:rFonts w:ascii="Arial" w:cs="Arial" w:eastAsia="Arial" w:hAnsi="Arial"/>
                <w:sz w:val="18"/>
                <w:szCs w:val="18"/>
                <w:color w:val="auto"/>
                <w:w w:val="89"/>
              </w:rPr>
              <w:t>Subject to Warrants</w:t>
            </w:r>
          </w:p>
        </w:tc>
        <w:tc>
          <w:tcPr>
            <w:tcW w:w="260" w:type="dxa"/>
            <w:vAlign w:val="bottom"/>
          </w:tcPr>
          <w:p>
            <w:pPr>
              <w:spacing w:after="0"/>
              <w:rPr>
                <w:sz w:val="18"/>
                <w:szCs w:val="18"/>
                <w:color w:val="auto"/>
              </w:rPr>
            </w:pPr>
          </w:p>
        </w:tc>
        <w:tc>
          <w:tcPr>
            <w:tcW w:w="2520" w:type="dxa"/>
            <w:vAlign w:val="bottom"/>
            <w:gridSpan w:val="7"/>
          </w:tcPr>
          <w:p>
            <w:pPr>
              <w:jc w:val="center"/>
              <w:ind w:right="700"/>
              <w:spacing w:after="0"/>
              <w:rPr>
                <w:sz w:val="20"/>
                <w:szCs w:val="20"/>
                <w:color w:val="auto"/>
              </w:rPr>
            </w:pPr>
            <w:r>
              <w:rPr>
                <w:rFonts w:ascii="Arial" w:cs="Arial" w:eastAsia="Arial" w:hAnsi="Arial"/>
                <w:sz w:val="18"/>
                <w:szCs w:val="18"/>
                <w:color w:val="auto"/>
                <w:w w:val="91"/>
              </w:rPr>
              <w:t>Weighted Avg. 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center"/>
              <w:ind w:right="480"/>
              <w:spacing w:after="0"/>
              <w:rPr>
                <w:sz w:val="20"/>
                <w:szCs w:val="20"/>
                <w:color w:val="auto"/>
              </w:rPr>
            </w:pPr>
            <w:r>
              <w:rPr>
                <w:rFonts w:ascii="Arial" w:cs="Arial" w:eastAsia="Arial" w:hAnsi="Arial"/>
                <w:sz w:val="18"/>
                <w:szCs w:val="18"/>
                <w:color w:val="auto"/>
                <w:w w:val="90"/>
              </w:rPr>
              <w:t>Outstanding</w:t>
            </w:r>
          </w:p>
        </w:tc>
        <w:tc>
          <w:tcPr>
            <w:tcW w:w="260" w:type="dxa"/>
            <w:vAlign w:val="bottom"/>
          </w:tcPr>
          <w:p>
            <w:pPr>
              <w:spacing w:after="0"/>
              <w:rPr>
                <w:sz w:val="20"/>
                <w:szCs w:val="20"/>
                <w:color w:val="auto"/>
              </w:rPr>
            </w:pPr>
          </w:p>
        </w:tc>
        <w:tc>
          <w:tcPr>
            <w:tcW w:w="1220" w:type="dxa"/>
            <w:vAlign w:val="bottom"/>
            <w:gridSpan w:val="3"/>
          </w:tcPr>
          <w:p>
            <w:pPr>
              <w:jc w:val="center"/>
              <w:ind w:left="510"/>
              <w:spacing w:after="0"/>
              <w:rPr>
                <w:sz w:val="20"/>
                <w:szCs w:val="20"/>
                <w:color w:val="auto"/>
              </w:rPr>
            </w:pPr>
            <w:r>
              <w:rPr>
                <w:rFonts w:ascii="Arial" w:cs="Arial" w:eastAsia="Arial" w:hAnsi="Arial"/>
                <w:sz w:val="18"/>
                <w:szCs w:val="18"/>
                <w:color w:val="auto"/>
                <w:w w:val="92"/>
              </w:rPr>
              <w:t>Price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Warrants outstanding - January 1, 2018</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6,264,215</w:t>
            </w:r>
          </w:p>
        </w:tc>
        <w:tc>
          <w:tcPr>
            <w:tcW w:w="10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Expired</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(55,688)</w:t>
            </w:r>
          </w:p>
        </w:tc>
        <w:tc>
          <w:tcPr>
            <w:tcW w:w="100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0"/>
              </w:rPr>
              <w:t>Warrants outstanding and exercisable - June 30, 2018</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6,208,527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8"/>
            <w:vMerge w:val="restart"/>
          </w:tcPr>
          <w:p>
            <w:pPr>
              <w:spacing w:after="0" w:line="195" w:lineRule="exact"/>
              <w:rPr>
                <w:sz w:val="20"/>
                <w:szCs w:val="20"/>
                <w:color w:val="auto"/>
              </w:rPr>
            </w:pPr>
            <w:r>
              <w:rPr>
                <w:rFonts w:ascii="Arial" w:cs="Arial" w:eastAsia="Arial" w:hAnsi="Arial"/>
                <w:sz w:val="18"/>
                <w:szCs w:val="18"/>
                <w:color w:val="auto"/>
                <w:w w:val="96"/>
              </w:rPr>
              <w:t>Weighted average remaining contractual life of the outstanding warrants in years - June</w:t>
            </w: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72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540" w:type="dxa"/>
            <w:vAlign w:val="bottom"/>
            <w:gridSpan w:val="2"/>
          </w:tcPr>
          <w:p>
            <w:pPr>
              <w:spacing w:after="0"/>
              <w:rPr>
                <w:sz w:val="20"/>
                <w:szCs w:val="20"/>
                <w:color w:val="auto"/>
              </w:rPr>
            </w:pPr>
            <w:r>
              <w:rPr>
                <w:rFonts w:ascii="Arial" w:cs="Arial" w:eastAsia="Arial" w:hAnsi="Arial"/>
                <w:sz w:val="18"/>
                <w:szCs w:val="18"/>
                <w:color w:val="auto"/>
              </w:rPr>
              <w:t>30, 2018</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gridSpan w:val="10"/>
          </w:tcPr>
          <w:p>
            <w:pPr>
              <w:spacing w:after="0"/>
              <w:rPr>
                <w:sz w:val="20"/>
                <w:szCs w:val="20"/>
                <w:color w:val="auto"/>
              </w:rPr>
            </w:pPr>
            <w:r>
              <w:rPr>
                <w:rFonts w:ascii="Arial" w:cs="Arial" w:eastAsia="Arial" w:hAnsi="Arial"/>
                <w:sz w:val="18"/>
                <w:szCs w:val="18"/>
                <w:color w:val="auto"/>
                <w:w w:val="99"/>
              </w:rPr>
              <w:t>A list of the warrants outstanding as of June 30, 2018 is included in the following table: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color w:val="auto"/>
                <w:w w:val="93"/>
              </w:rPr>
              <w:t>Warrants Outstanding</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7"/>
          </w:tcPr>
          <w:p>
            <w:pPr>
              <w:ind w:left="240"/>
              <w:spacing w:after="0"/>
              <w:rPr>
                <w:sz w:val="20"/>
                <w:szCs w:val="20"/>
                <w:color w:val="auto"/>
              </w:rPr>
            </w:pPr>
            <w:r>
              <w:rPr>
                <w:rFonts w:ascii="Arial" w:cs="Arial" w:eastAsia="Arial" w:hAnsi="Arial"/>
                <w:sz w:val="18"/>
                <w:szCs w:val="18"/>
                <w:color w:val="auto"/>
              </w:rPr>
              <w:t>Warrants Exercisable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7"/>
              </w:rPr>
              <w:t>Warrants</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Exercise</w:t>
            </w:r>
          </w:p>
        </w:tc>
        <w:tc>
          <w:tcPr>
            <w:tcW w:w="320" w:type="dxa"/>
            <w:vAlign w:val="bottom"/>
          </w:tcPr>
          <w:p>
            <w:pPr>
              <w:spacing w:after="0"/>
              <w:rPr>
                <w:sz w:val="18"/>
                <w:szCs w:val="18"/>
                <w:color w:val="auto"/>
              </w:rPr>
            </w:pPr>
          </w:p>
        </w:tc>
        <w:tc>
          <w:tcPr>
            <w:tcW w:w="140" w:type="dxa"/>
            <w:vAlign w:val="bottom"/>
            <w:tcBorders>
              <w:top w:val="single" w:sz="8" w:color="auto"/>
            </w:tcBorders>
            <w:gridSpan w:val="2"/>
          </w:tcPr>
          <w:p>
            <w:pPr>
              <w:spacing w:after="0"/>
              <w:rPr>
                <w:sz w:val="18"/>
                <w:szCs w:val="18"/>
                <w:color w:val="auto"/>
              </w:rPr>
            </w:pPr>
          </w:p>
        </w:tc>
        <w:tc>
          <w:tcPr>
            <w:tcW w:w="1480" w:type="dxa"/>
            <w:vAlign w:val="bottom"/>
            <w:tcBorders>
              <w:top w:val="single" w:sz="8" w:color="auto"/>
            </w:tcBorders>
            <w:gridSpan w:val="4"/>
          </w:tcPr>
          <w:p>
            <w:pPr>
              <w:jc w:val="center"/>
              <w:ind w:right="620"/>
              <w:spacing w:after="0"/>
              <w:rPr>
                <w:sz w:val="20"/>
                <w:szCs w:val="20"/>
                <w:color w:val="auto"/>
              </w:rPr>
            </w:pPr>
            <w:r>
              <w:rPr>
                <w:rFonts w:ascii="Arial" w:cs="Arial" w:eastAsia="Arial" w:hAnsi="Arial"/>
                <w:sz w:val="18"/>
                <w:szCs w:val="18"/>
                <w:color w:val="auto"/>
                <w:w w:val="90"/>
              </w:rPr>
              <w:t>Warrants</w:t>
            </w:r>
          </w:p>
        </w:tc>
        <w:tc>
          <w:tcPr>
            <w:tcW w:w="120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60" w:type="dxa"/>
            <w:vAlign w:val="bottom"/>
            <w:gridSpan w:val="4"/>
          </w:tcPr>
          <w:p>
            <w:pPr>
              <w:spacing w:after="0"/>
              <w:rPr>
                <w:sz w:val="20"/>
                <w:szCs w:val="20"/>
                <w:color w:val="auto"/>
              </w:rPr>
            </w:pPr>
            <w:r>
              <w:rPr>
                <w:rFonts w:ascii="Arial" w:cs="Arial" w:eastAsia="Arial" w:hAnsi="Arial"/>
                <w:sz w:val="18"/>
                <w:szCs w:val="18"/>
                <w:color w:val="auto"/>
              </w:rPr>
              <w:t>Warrant Series</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Issue Date</w:t>
            </w:r>
          </w:p>
        </w:tc>
        <w:tc>
          <w:tcPr>
            <w:tcW w:w="32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right"/>
              <w:ind w:right="860"/>
              <w:spacing w:after="0"/>
              <w:rPr>
                <w:sz w:val="20"/>
                <w:szCs w:val="20"/>
                <w:color w:val="auto"/>
              </w:rPr>
            </w:pPr>
            <w:r>
              <w:rPr>
                <w:rFonts w:ascii="Arial" w:cs="Arial" w:eastAsia="Arial" w:hAnsi="Arial"/>
                <w:sz w:val="18"/>
                <w:szCs w:val="18"/>
                <w:color w:val="auto"/>
              </w:rPr>
              <w:t>Price</w:t>
            </w:r>
          </w:p>
        </w:tc>
        <w:tc>
          <w:tcPr>
            <w:tcW w:w="1480" w:type="dxa"/>
            <w:vAlign w:val="bottom"/>
            <w:gridSpan w:val="4"/>
          </w:tcPr>
          <w:p>
            <w:pPr>
              <w:jc w:val="center"/>
              <w:ind w:right="620"/>
              <w:spacing w:after="0"/>
              <w:rPr>
                <w:sz w:val="20"/>
                <w:szCs w:val="20"/>
                <w:color w:val="auto"/>
              </w:rPr>
            </w:pPr>
            <w:r>
              <w:rPr>
                <w:rFonts w:ascii="Arial" w:cs="Arial" w:eastAsia="Arial" w:hAnsi="Arial"/>
                <w:sz w:val="18"/>
                <w:szCs w:val="18"/>
                <w:color w:val="auto"/>
                <w:w w:val="88"/>
              </w:rPr>
              <w:t>Exercisable</w:t>
            </w: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5/11/2015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5/11/2025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Settlement warrants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8/16/2016</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8/16/2021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Warrants issued to investor relations consultant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7/19/2013</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7/19/2018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Placement Agent Warrants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12/27/2016</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210,313</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210,313</w:t>
            </w:r>
          </w:p>
        </w:tc>
        <w:tc>
          <w:tcPr>
            <w:tcW w:w="16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12/27/2019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PIPE Investor Warrants</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12/27/2016</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5,157,828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5,157,828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12/27/2019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Lender warrants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7/19/2017</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615,386</w:t>
            </w:r>
          </w:p>
        </w:tc>
        <w:tc>
          <w:tcPr>
            <w:tcW w:w="1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615,386</w:t>
            </w:r>
          </w:p>
        </w:tc>
        <w:tc>
          <w:tcPr>
            <w:tcW w:w="160" w:type="dxa"/>
            <w:vAlign w:val="bottom"/>
          </w:tcPr>
          <w:p>
            <w:pPr>
              <w:spacing w:after="0"/>
              <w:rPr>
                <w:sz w:val="20"/>
                <w:szCs w:val="20"/>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7/19/2024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6,208,527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6,208,527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2018 the Company recognized $11 in stock-based compensation related to equity instruments granted by Surface to consultants, Imprimis employees and directors, including Mark Baum, CEO of the Company, Andrew Boll, CFO of the Company, and Richard Lindstrom, a director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9"/>
                <w:szCs w:val="19"/>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Ended</w:t>
            </w:r>
          </w:p>
        </w:tc>
        <w:tc>
          <w:tcPr>
            <w:tcW w:w="180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Six Months Ended</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Six Months Ended</w:t>
            </w:r>
          </w:p>
        </w:tc>
      </w:tr>
      <w:tr>
        <w:trPr>
          <w:trHeight w:val="237"/>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June 30, 2018</w:t>
            </w:r>
          </w:p>
        </w:tc>
        <w:tc>
          <w:tcPr>
            <w:tcW w:w="180" w:type="dxa"/>
            <w:vAlign w:val="bottom"/>
          </w:tcPr>
          <w:p>
            <w:pPr>
              <w:spacing w:after="0"/>
              <w:rPr>
                <w:sz w:val="20"/>
                <w:szCs w:val="20"/>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June 30, 2017</w:t>
            </w:r>
          </w:p>
        </w:tc>
        <w:tc>
          <w:tcPr>
            <w:tcW w:w="160" w:type="dxa"/>
            <w:vAlign w:val="bottom"/>
          </w:tcPr>
          <w:p>
            <w:pPr>
              <w:spacing w:after="0"/>
              <w:rPr>
                <w:sz w:val="20"/>
                <w:szCs w:val="20"/>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June 30, 2018</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2017</w:t>
            </w: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Directors - selling, general and administrative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general and administrative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7"/>
        </w:trPr>
        <w:tc>
          <w:tcPr>
            <w:tcW w:w="4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Borders>
              <w:top w:val="single" w:sz="8" w:color="CCEEFF"/>
            </w:tcBorders>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our alleged transmittal of advertisements to our clients via facsimile. In June 2018, Sobol filed a motion for class certification and in July 2018 the Company filed a response in opposition to the motion for class certification. The Company expects a ruling on the motion to certify the class to be determined in the fourth quarter of 2018. The Company believes the claims are frivolous and has previously and will continue to dispute all claims asserted against it and intends to vigorously defend these allegations. Nonetheless, the Company cannot predict the eventual outcome of this this litigation, it could result in substantial costs and a diversion of management’s resources and attention, which could harm the Company’s business and the value of its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September 2017, Allergan USA, Inc. (“Allergan”) filed a lawsuit in the U.S. District Court for the Central District of California against the Company, primarily claiming violations under the federal Lanham Act and other state laws. The case is currently in discovery, with a trial date set for April 2019. The Company believes the claims are frivolous and has previously and will continue to dispute all asserted claims against it and intends to vigorously defend these allegations. Nonetheless, the Company cannot predict the eventual outcome of this this litigation, it could result in substantial costs and a diversion of management’s resources and attention, which could harm the Company’s business and the value of its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Spectrum</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the Company filed a complaint against Spectrum Laboratory Products, Inc., Spectrum Chemical Manufacturing Corp. and Spectrum Pharmacy Products, Inc. (collectively “Spectrum”) in the Los Angeles County Superior Court asserting claims for breach of contract, breach of implied covenant of good faith and fair dealing, violation of California Commercial Code Section 2101 and fraud. The claims stem from prior business dealings between the Company and Spectrum and allege false representation by Spectrum regarding their products, fraudulent labeling and misrepresentations of approved product usages. The complaint has been filed with the Court and in May 2018, Spectrum filed an answer with the Court. The matter is currently in the beginning stages of discovery. The Company intends to fully purse any and all legal remedies available to it against Spectrum.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2018, NDS filed a first amended complaint which added a claim for fraudulent inducement. In July 2018, the Company filed a motion to dismiss certain causes of action found in the complaint. A decision on the Company’s motion to dismiss has not yet been determined. The Company believes the claims are frivolous and has previously and will continue to dispute all claims asserted against it and intend to vigorously defend these allegations. Nonetheless, the Company cannot predict the eventual outcome of this this litigation, it could result in substantial costs and a diversion of management’s resources and attention, which could harm the Company’s business and the value of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2018, the California Board of Pharmacy filed an accusation against our wholly owned subsidiary, Park Compounding, Inc. (“Park”) related to a compounded formulation the Company believes was legally dispensed and was, without the Company’s knowledge, inappropriately administered to a patient unknown to the Company, by the prescribing healthcare professional. The Company has filed its response to the accusation and has requested a formal hearing. The Company disputes all claims against it and intends to vigorously defend against the allegations. Nonetheless, the Company cannot predict the outcome of this matter, it could result in substantial costs, suspension or revocation of Park’s pharmacy license and a diversion of management’s resources and attention, which could harm the Company’s business and the value of its common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The Company utilizes traditional third-party insurance policies with regard to its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the Company as a co-defendant. In May 2018, the Company filed demurrer challenging certain allegations and a motion to strike punitive damages, these motions will be heard by the Court on August 10, 2018. The Company believes the claims are frivolous and has previously and will continue to dispute all asserted claims against it and intends to vigorously defend these allegations. Nonetheless, the Company cannot predict the eventual outcome of this this litigation, it could result in substantial costs and a diversion of management’s resources and attention, which could harm the Company’s business and the value of its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and as amended in April 2018,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$103 were made during the three and six months ended June 30, 2018, and $7 was due to Dr. Lindstrom at June 30, 2018.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Company entered various sales and marketing agreements with certain organizations, to provide exclusive sales and marketing representation services to Imprimis in select geographies in the U.S., in connection with our ophthalmic compounded formulations.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required to make commission payments to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No stock-based payments were made and $343 and $558 were incurred under these agreements for commission expenses during the three and six months ended June 30,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U.S.; therefore, total revenues for 2018 and 2017 are attributed to the U.S. All long-lived assets at June 30, 2018 and December 31, 2017 are located in the U.S.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and six months ended June 30, 2018 and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54% and 52% of active pharmaceutical ingredient purchases during the three and six months ended June 30, 2018, respectively, and 72% and 77% during the three and six months ended June 30,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June 30, 2018 through the filing date of this Quarterly Report. Based on its evaluation, no other events need to be disclosed.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2017 and subsequent reports on Form 8-K, which discuss our business in greater detail. As used in this discussion and analysis, unless the context indicates otherwise, the terms the “Company”, “Imprimis” “we”, “us” and “our” refer to Imprimis Pharmaceuticals, Inc. and its consolidated subsidiaries, consisting of Park Compounding, Inc., Imprimis Rx NJ, LLC dba ImprimisRx, Imprimis NJOF, LLC, and Melt Pharmaceuticals, Inc. In this discussion and analysis, we refer to our consolidated subsidiaries collectively as our “ImprimisRx compounding pharmacies.”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pharmaceutical company specializing in the development, production and sale of innovative medications that offer unique competitive advantages and serve unmet needs in the marketplace. In addition to owning the nation’s leading ophthalmology pharmaceutical compounding business, ImprimisRx, the Company holds large equity positions in Eton Pharmaceuticals, Inc. (“Eton”), Surface Pharmaceuticals, Inc. (“Surface”) and Melt Pharmaceuticals, Inc. (“Melt”) companies originally founded as subsidiaries of Imprimis. The Company also owns royalty rights in certain 505(b)(2) drug candidates being developed by Eton, Surface and Melt.</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While in the second quarter of 2018 we realized net income of $2,522,000 and provided cash from operating activities of $400,000, historically we have incurred recurring operating losses and have had negative operating cash flows since July 24, 1998 (inception). In addition, we have an accumulated deficit of approximately $89,827,000 at June 30, 2018. Beginning on April 1, 2014, when we acquired our first compounding pharmacy, we began generating revenue from sales of certain of our proprietary drug formulations and other non-proprietary formulations; however, we may incur further losses as we develop our pharmacy operations, evaluate other programs and continue the development of our formulations and drug assets.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U.S. Food and Drug Administration (“FDA”) (either as a finished form product or as a bulk drug ingredient) and excipients, to create specialized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and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three compounding facilities. Our New Jersey operations comprises two separate entities and facilities, with one facility registered with the FDA as an outsourcing facility (“NJOF”) under Section 503B of the Federal Food Drug and Cosmetic Act (the “FDCA”). The other New Jersey facility (“RxNJ”), and Park Compounding, Inc. (“Park”) our California based pharmacy, are both licensed pharmacies operating under Sections 503A of the FDCA. All products that we sell, produce and dispense are made in the United States of America.</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our current compounding facilities provide us with the infrastructure to scale our business appropriately under the current regulatory landscape and meet the growth in demand we are targeting. We plan to maintain and invest our facilities to further their capacity and efficiencies. Also, we may seek to access greater redundancy and markets through acquisitions, partnerships or other strategic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ImprimisRx is our ophthalmology focused pharmaceutical compounding business. We offer our over 3,000 physician customers and their patients critical medicines to meet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pharmacies, or for in-office use made according to current good manufacturing practices (or cGMPs), in our FDA-registered NJOF outsourcing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Compounding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Park, our wholly owned subsidiary pharmacy based in Irvine, California, is focused on general customizable pharmaceutical compounding. Park dispenses sterile and non-sterile compounded medications prescribed by licensed practitioners when commercially available choices do not meet a patient’s needs. Park also produces and dispenses certain of our ophthalmic formulations.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Businesses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large shareholders of Eton, Surface, and Melt, and hold royalty interests in certain of their drug candidates. These companies are pursuing market approval for their drug candidates under the FDCA, including under the abbreviated pathway described in Section 505(b)(2) which permits the submission of an new drug application (NDA) where at least some of the information required for approval comes from studies not conducted by or for the applicant and for which the applicant has not obtained a right of reference. We intend to create additional subsidiaries that will be focused on the development and FDA approval for certain of our proprietary compounded formulations.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Eton Pharmaceuticals,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Eton is a biopharmaceutical company focused on developing and commercializing innovative products utilizing the FDA’s 505(b)(2) regulatory pathway. Its pipeline includes seven products in various stages of development across a variety of dosage forms. Eton’s pipeline is focused on innovative 505(b)(2) products and obtaining FDA marketing approval for currently marketed but unapproved drugs.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2017, we entered into two asset purchase and license agreements (the “Eton License Agreements”) with our previously wholly owned subsidiary, Eton. Pursuant to the terms of the Eton License Agreements, we assigned and licensed to Eton certain intellectual property and related rights to develop, formulate, make, sell, and sub-license our proprietary formulations of synthetic corticotropin (Eton drug candidate CT-100) and a patented injectable pentoxifylline (collectively, the “Imprimis Products”). Eton intends to seek FDA approval for the commercialization of CT-100 through the Section 505(b)(2) regulatory pathway. If approved by the FDA, Eton is required to make royalty payments to us on CT-100. In addition to CT-100, Eton has acquired several additional 505(b)(2) drug candidates and ones that qualify under the Drug Efficacy Study Implementation (DESI) program which it plans to develop and commercialize through the 505(b)(2) pathway. Imprimis is only eligible to receive royalties on CT-100 (corticotropin) and will not receive royalties on any other drug candidates currently being developed by Eton.</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June 2018, Eton informed Imprimis that it did not intend to pursue development of its injectable pentoxifylline drug candidate. As a result, we exercised our rights under the related asset purchase agreement and re-acquired the intellectual property and related rights for the injectable pentoxifylline formulation and mutually terminated the pentoxifylline asset purchase agreement between us and Eton in August 2018 in exchange for $50,000.</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June 2017, Eton closed an offering of its Series A Preferred Stock at $3.00 a share for gross proceeds of approximately $20 million (the “Series A Round”). At the time of closing we lost our controlling interest, and deconsolidated Eton from our consolidated financial statements. We are currently the largest shareholder of Eton and own 3.5 million shares of Eton common stock, which is approximately 27% of the equity and voting interests issued and outstanding of Eton following the close of the Series A Round. The Series A Preferred Stock has mandatory conversion requirements into common stock of Eton upon events, including an underwritten initial public offering of Eton common stock (“IPO”). Under the terms of the Series A Preferred Stock, Eton is required to complete an IPO by December 31, 2018, subject to extension upon written approval of the holders of a majority of the Series A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Pharmaceuticals, Inc.</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Surface is a biopharmaceutical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Imprimis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delivery vehicle known as Klarity Drops (“Klarity”), that was invented by Imprimis board member and Surface’s chairman of the board and renowned ophthalmologist Dr. Richard Lindstrom. Klarity is designed to protect and rehabilitate the ocular surface pathology for patients with DED. Surface’s drug candidate SURF-300 is a patent-pending oral capsule that will target patients also suffering from DED signs and symptoms.</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May 2018, Surface closed on its first tranche of an offering of its Series A Preferred Stock at $3.30 a share for proceeds of approximately $15 million (the “Surface Series A Round”), and in July Surface closed a second tranche of the Surface Series A Round for proceeds of approximately $6 million ($21 million in aggregate). At the time of the first closing we lost our controlling interest, and deconsolidated Surface from our consolidated financial statements. We own 3.5 million shares of Surface common stock, which is approximately 30% of the equity and voting interests issued and outstanding of Surface. Pursuant to the terms of the Surface License Agreements, Imprimis is eligible to receive royalties on sales of contributed drug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Melt Pharmaceuticals, Inc.</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Melt is a pharmaceutical company focused on the development and commercialization of proprietary non-intravenous, or non-IV, sedation and anesthesia therapeutics for human medical procedures in hospital, outpatient, and in-office settings. Melt intends to seek regulatory approval through the FDA’s, 505(b)(2) regulatory pathway for these proprietary technologies, where possible. The core intellectual property, or IP, Melt owns is a patented series of combination non-opioid sedation drug formulations that we estimate to have multitudinous applications. In addition to assembling an excellent clinical advisory team, we have contracted with the nation’s leading 505(b)(2) drug development company to help steward our lead drug through an approval process. As we did with Eton and Surface, we intend to build out the Melt management team and work towards a deconsolidating transaction over the next 12 months.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ind w:firstLine="648"/>
        <w:spacing w:after="0" w:line="273" w:lineRule="auto"/>
        <w:rPr>
          <w:sz w:val="20"/>
          <w:szCs w:val="20"/>
          <w:color w:val="auto"/>
        </w:rPr>
      </w:pPr>
      <w:r>
        <w:rPr>
          <w:rFonts w:ascii="Arial" w:cs="Arial" w:eastAsia="Arial" w:hAnsi="Arial"/>
          <w:sz w:val="17"/>
          <w:szCs w:val="17"/>
          <w:color w:val="auto"/>
        </w:rPr>
        <w:t>Melt’s lead 505(b)(2) drug candidate is similar to Imprimis MKO Melt compounded formulation that has been dispensed nearly 100,000 times. Based on our experience, we believe there is a strong patient preference for sedation medications delivered sublingually as opposed to the traditional route, which is IV. Recently, a prospective controlled IRB-approved multi-arm clinical study of the MKO Melt was completed. We believe this study is similar to what FDA may require for approval of Melt’s lead drug candidate. In this study, more than 600 cataract surgery patients were randomly assigned to receive either (i) Valium®, (ii)Valium/tramadol/ondansetron, or (iii) MKO Melt. Preliminary analysis of the study groups showed the MKO Melt had a safe and effective conscious sedation profile, and provided the lowest incidence/need for additional IV medications out of the three arms.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formal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our formulations may provide collective savings to Medicare, Medicaid and patients of up to $13 billion, with a most likely savings estimate of $8.7 billion, over a 10-year period. Based on this research, we believe optimized pricing for certain of our compounded formulations could be greater than $100 per dose. Any efforts to attain optimized pricing for these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describes certain developments in 2018 to date that are important to understand our financial condition and results of operations. See the notes to our condensed consolidated financial statements included in this report for additional information about each of these developments.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Surface Pharmaceuticals License Agreements and Series A Round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described more fully above under the sub-heading “Surface Pharmaceuticals, Inc.”, in 2017 and amended in April 2018, we entered the Surface License Agreements with our previously wholly owned subsidiary, Surface. The Surface License Agreements were made effective in May 2018, following the close of the Surface Series A Round. Pursuant to the terms of the Surface License Agreements, we assigned and licensed to Surface certain intellectual property and related rights to develop, formulate, make, sell, and sub-license the its current drug candidate pipeline.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period-to-period comparisons of our financial results are not necessarily indicative of results for the current period or any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six months ended June 30, 2018 and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2"/>
              </w:rPr>
              <w:t>For the Three months ended</w:t>
            </w: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For the Six months ended</w:t>
            </w:r>
          </w:p>
        </w:tc>
        <w:tc>
          <w:tcPr>
            <w:tcW w:w="8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3"/>
          </w:tcPr>
          <w:p>
            <w:pPr>
              <w:jc w:val="right"/>
              <w:ind w:right="65"/>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Variance</w:t>
            </w:r>
          </w:p>
        </w:tc>
        <w:tc>
          <w:tcPr>
            <w:tcW w:w="160" w:type="dxa"/>
            <w:vAlign w:val="bottom"/>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10,374,000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6,849,000</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$ 3,525,000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$19,229,000</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$12,938,000</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$ 6,291,000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r>
              <w:rPr>
                <w:rFonts w:ascii="Arial" w:cs="Arial" w:eastAsia="Arial" w:hAnsi="Arial"/>
                <w:sz w:val="18"/>
                <w:szCs w:val="18"/>
                <w:b w:val="1"/>
                <w:bCs w:val="1"/>
                <w:color w:val="auto"/>
              </w:rPr>
              <w:t>License revenues</w:t>
            </w:r>
          </w:p>
        </w:tc>
        <w:tc>
          <w:tcPr>
            <w:tcW w:w="2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8,000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20,000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16,000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$ 3,527,000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19,249,000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12,954,000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$ 6,295,000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increase in revenue between periods was largely attributable to increased sales of our proprietary formulations and furtherance of our ophthalmology related compounded formulations. Our gross ophthalmology related sales were approximately $8,262,000 and $15,242,000 for the three and six months ended June 30, 2018, compared to $4,760,000 and $8,418,000 during the same period last year. Net revenues generated from NJOF (which include certain ophthalmology related sales) totaled $5,909,000 and $10,498,000 during the three and six months ended June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six months ended June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0"/>
              </w:rPr>
              <w:t>For the Three months ended</w:t>
            </w:r>
          </w:p>
        </w:tc>
        <w:tc>
          <w:tcPr>
            <w:tcW w:w="18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9"/>
              </w:rPr>
              <w:t>For the Six months ended</w:t>
            </w:r>
          </w:p>
        </w:tc>
        <w:tc>
          <w:tcPr>
            <w:tcW w:w="8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Variance</w:t>
            </w: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$ 6,645,000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$ 1,583,000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our cost of sales between periods was largely attributable to an increase in the volume of unit sold of our formulations and products and our associated costs of such sales.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jc w:val="center"/>
              <w:ind w:right="390"/>
              <w:spacing w:after="0"/>
              <w:rPr>
                <w:sz w:val="20"/>
                <w:szCs w:val="20"/>
                <w:color w:val="auto"/>
              </w:rPr>
            </w:pPr>
            <w:r>
              <w:rPr>
                <w:rFonts w:ascii="Arial" w:cs="Arial" w:eastAsia="Arial" w:hAnsi="Arial"/>
                <w:sz w:val="18"/>
                <w:szCs w:val="18"/>
                <w:b w:val="1"/>
                <w:bCs w:val="1"/>
                <w:color w:val="auto"/>
                <w:w w:val="90"/>
              </w:rPr>
              <w:t>For the 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1"/>
              </w:rPr>
              <w:t>For the Six months ended</w:t>
            </w:r>
          </w:p>
        </w:tc>
        <w:tc>
          <w:tcPr>
            <w:tcW w:w="8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w w:val="98"/>
              </w:rPr>
              <w:t>Variance</w:t>
            </w: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Variance</w:t>
            </w:r>
          </w:p>
        </w:tc>
        <w:tc>
          <w:tcPr>
            <w:tcW w:w="0" w:type="dxa"/>
            <w:vAlign w:val="bottom"/>
          </w:tcPr>
          <w:p>
            <w:pPr>
              <w:spacing w:after="0"/>
              <w:rPr>
                <w:sz w:val="1"/>
                <w:szCs w:val="1"/>
                <w:color w:val="auto"/>
              </w:rPr>
            </w:pPr>
          </w:p>
        </w:tc>
      </w:tr>
      <w:tr>
        <w:trPr>
          <w:trHeight w:val="230"/>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$ 6,309,000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$ 4,712,000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w:t>
            </w:r>
          </w:p>
        </w:tc>
        <w:tc>
          <w:tcPr>
            <w:tcW w:w="84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2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38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38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gross profit and gross margin between periods is largely attributable to increased efficiencies in our production process and utilization of capacities as a result of increased output.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three and six months ended June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For the Three months ended</w:t>
            </w:r>
          </w:p>
        </w:tc>
        <w:tc>
          <w:tcPr>
            <w:tcW w:w="18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For the Six months ended</w:t>
            </w:r>
          </w:p>
        </w:tc>
        <w:tc>
          <w:tcPr>
            <w:tcW w:w="96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Variance</w:t>
            </w:r>
          </w:p>
        </w:tc>
        <w:tc>
          <w:tcPr>
            <w:tcW w:w="180" w:type="dxa"/>
            <w:vAlign w:val="bottom"/>
          </w:tcPr>
          <w:p>
            <w:pPr>
              <w:spacing w:after="0"/>
              <w:rPr>
                <w:sz w:val="20"/>
                <w:szCs w:val="20"/>
                <w:color w:val="auto"/>
              </w:rPr>
            </w:pPr>
          </w:p>
        </w:tc>
        <w:tc>
          <w:tcPr>
            <w:tcW w:w="1060" w:type="dxa"/>
            <w:vAlign w:val="bottom"/>
          </w:tcPr>
          <w:p>
            <w:pPr>
              <w:ind w:left="26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5"/>
              </w:rPr>
              <w:t>Variance</w:t>
            </w:r>
          </w:p>
        </w:tc>
        <w:tc>
          <w:tcPr>
            <w:tcW w:w="0" w:type="dxa"/>
            <w:vAlign w:val="bottom"/>
          </w:tcPr>
          <w:p>
            <w:pPr>
              <w:spacing w:after="0"/>
              <w:rPr>
                <w:sz w:val="1"/>
                <w:szCs w:val="1"/>
                <w:color w:val="auto"/>
              </w:rPr>
            </w:pPr>
          </w:p>
        </w:tc>
      </w:tr>
      <w:tr>
        <w:trPr>
          <w:trHeight w:val="23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Selling, general and administrative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13,267,000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13,296,000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(29,000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selling, general and administrative expenses between for the three months ended June 30, 2018 was largely attributable to increased sales commission amounts and legal expenses incurred associated with ongoing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six months ended June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9"/>
                <w:szCs w:val="19"/>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For the Six months ended</w:t>
            </w:r>
          </w:p>
        </w:tc>
        <w:tc>
          <w:tcPr>
            <w:tcW w:w="96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Variance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5"/>
              </w:rPr>
              <w:t>Variance</w:t>
            </w:r>
          </w:p>
        </w:tc>
        <w:tc>
          <w:tcPr>
            <w:tcW w:w="0" w:type="dxa"/>
            <w:vAlign w:val="bottom"/>
          </w:tcPr>
          <w:p>
            <w:pPr>
              <w:spacing w:after="0"/>
              <w:rPr>
                <w:sz w:val="1"/>
                <w:szCs w:val="1"/>
                <w:color w:val="auto"/>
              </w:rPr>
            </w:pPr>
          </w:p>
        </w:tc>
      </w:tr>
      <w:tr>
        <w:trPr>
          <w:trHeight w:val="23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$ 261,000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(102,000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research and development expenses between periods was primarily attributable to certain formulation development studies that were conducted during the three and six months ended June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was $1,000 for three and six months ended June 30, 2018, compared to $2,000 and $5,000 during the same periods, respectively,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was $672,000 and $1,335,000 for three and six months ended June 30, 2018, respectively, compared to $769,000 and $1,560,000 during the same period last year, respectively. The decrease was primarily due to interest expense recognition related to the deferred acquisition obligations of our acquisition of Park being fulfilled and amortization of our capital lease obligations.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Equity Loss from Surface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six months ended June 30, 2018, we recorded a loss of $102,000, for our share of losses based on our ownership of Surface. We began using equity method accounting for our investment in Surface beginning on May 11, 2018, the date we no longer had a controlling interest, prior to that date, their losses were consolidated within our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Deconsolidation of Surface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 months ended June 30, 2018, we recorded a gain of $5,320,000 on the deconsolidation of Surface, see Note 2 and Note 5 in the notes to the condensed consolidated financial statements for a more detailed explanation of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Loss from Eton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six months ended June 30, 2018, we recorded a loss of $1,146,000 and $2,215,000, respectively, for our share of losses based on our ownership of Eton. We began using equity method accounting for our investment in Eton beginning on June 16, 2017, the date we no longer had a controlling interest, prior to that date, their losses were consolidated within our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Deconsolidation of Eton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and six months ended June 30, 2017, we recorded a gain of $5,725,000 on the deconsolidation of Eton, see Note 4 in the notes to the condensed consolidated financial statements for a more detailed explanation of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Sale of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 months ended June 30, 2017, we recorded a loss of $269,000 and $284,000, respectively, related to assets associated with the sale of Imprimis TX and our sinus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six months ended June 30, 2018, we recorded other expense, net of $255,000. This was due to a loss of $393,000 related to the impairment and write-off of a note receivable, and income of $138,000 related to expenses that were paid by us and reimbursed by Surface following its deconsolidation.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loss for the three and six months ended June 30,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9"/>
                <w:szCs w:val="19"/>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Six Months Ended</w:t>
            </w:r>
          </w:p>
        </w:tc>
        <w:tc>
          <w:tcPr>
            <w:tcW w:w="140" w:type="dxa"/>
            <w:vAlign w:val="bottom"/>
          </w:tcPr>
          <w:p>
            <w:pPr>
              <w:spacing w:after="0"/>
              <w:rPr>
                <w:sz w:val="19"/>
                <w:szCs w:val="19"/>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June 30, 2018</w:t>
            </w:r>
          </w:p>
        </w:tc>
        <w:tc>
          <w:tcPr>
            <w:tcW w:w="18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June 30, 2017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June 30,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2,522,000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1,484,000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(3,522,000)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Basic net income (loss) per share of common stock</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income (loss) per share of common stock</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cash on hand (including restricted cash) at June 30, 2018 was $4,170,000 compared to $4,219,000 at December 31, 2017. Since inception through June 30, 2018 we have incurred aggregate losses to common stockholders of $(89,827,000).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648"/>
        <w:spacing w:after="0" w:line="253" w:lineRule="auto"/>
        <w:rPr>
          <w:sz w:val="20"/>
          <w:szCs w:val="20"/>
          <w:color w:val="auto"/>
        </w:rPr>
      </w:pPr>
      <w:r>
        <w:rPr>
          <w:rFonts w:ascii="Arial" w:cs="Arial" w:eastAsia="Arial" w:hAnsi="Arial"/>
          <w:sz w:val="17"/>
          <w:szCs w:val="17"/>
          <w:color w:val="auto"/>
        </w:rPr>
        <w:t>As of the date of this Quarterly Report, we believe that cash and cash equivalents of $3,970,000 and restricted cash of $200,000 totaling $4,170,000 at June 30, 2018, along with net proceeds from the sale of our common stock through the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with Cantor Fitzgerald &amp; Co. (the “Sales Agreement”), will be sufficient to sustain our planned level of operations and capital expenditures for at least the next 12 months.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three and six months ended June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For the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For the</w:t>
            </w:r>
          </w:p>
        </w:tc>
      </w:tr>
      <w:tr>
        <w:trPr>
          <w:trHeight w:val="230"/>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 2018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June 30, 2017</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(700,000)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(515,000)</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251,000</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2,112,000</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(49,000)</w:t>
            </w: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(4,688,000)</w:t>
            </w:r>
          </w:p>
        </w:tc>
        <w:tc>
          <w:tcPr>
            <w:tcW w:w="100" w:type="dxa"/>
            <w:vAlign w:val="bottom"/>
            <w:tcBorders>
              <w:top w:val="single" w:sz="8" w:color="CCEEFF"/>
            </w:tcBorders>
          </w:tcPr>
          <w:p>
            <w:pPr>
              <w:spacing w:after="0"/>
              <w:rPr>
                <w:sz w:val="17"/>
                <w:szCs w:val="17"/>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4,219,000</w:t>
            </w: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9,053,000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Cash and cash equivalents at end of the year</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4,170,000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4,365,000</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(used in) operating activities was $400,000 in 2018, as compared to $(6,285,000) used in operating activities during the same period in the prior year. The decrease in net cash used in and increase in cash provided by operating activities during the periods was mainly attributed to increased unit volumes and sales, production efficiencies and management of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in 2018 and 2017 was $(700,000) and $(515,000), respectively. Cash used in investing activities in 2018 and 2017, were primarily associated with equipment purchases and upgrades and investments in our intellectual property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provided by financing activities in 2018 and 2017 was $251,000 and $2,112,000, respectively. Cash provided by financing activities during 2017 was primarily attributable to proceeds from the registered direct offering and sale of shares of common stock in March 2017.</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sources of cash consist of cash provided by financing activities, including the proceeds related the sale of our common stock through the Sales Agreement and from our pharmaceutical compounding business. We may also sell some or all of our ownership interests in Eton, Surface, Melt or our other subsidiaries. We just recently began producing cash from our operations in the second quarter of 2018, however historically, we haven’t received sufficient revenues to support our operations and may not be able to continue to do so.</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need significant additional capital to support our business plan and fund our proposed business operations. We are eligible to receive additional proceeds from future sales of our common stock under the Sales Agreement.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2018. Based on this evaluation, our principal executive officer and principal financial officer have concluded that our disclosure controls and procedures were effective to achieve their stated purpose as of June 30, 2018,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June 30, 2018,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December 2016, Louis L. Sobol, M.D. (“Sobol”) filed a lawsuit in the U.S. District Court for the Eastern District of Michigan, Southern Division against us, asserting claims on behalf of himself and an as-yet-uncertified class of consumers. The claims allege violations under the Telephone Consumer Protection Act, 47 U.S.C. § 227 via our alleged transmittal of advertisements to our clients via facsimile. In June 2018, Sobol filed a motion for class certification and in July 2018 we filed a response in opposition to the motion for class certification. We expect a ruling on the motion to certify the class to be determined in the fourth quarter of 2018. We believe the claims are frivolous and has previously and will continue to dispute all asserted claims against us and intend to vigorously defend these allegations. Nonetheless, we cannot predict the eventual outcome of this this litigation, it could result in substantial costs and a diversion of management’s resources and attention, which could harm our business and the value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2017, Allergan USA, Inc. (“Allergan”) filed a lawsuit in the U.S. District Court for the Central District of California against us, primarily claiming violations under the federal Lanham Act and other state laws. The case is currently in discovery, with a trial date set for April 2019. We have previously and continue to dispute all claims against us and intend to vigorously defend these allegations. Nonetheless, we cannot predict the eventual outcome of this this litigation, it could result in substantial costs and a diversion of management’s resources and attention, which could harm our business and the value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Spectrum</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2018, we filed a complaint against Spectrum Laboratory Products, Inc., Spectrum Chemical Manufacturing Corp. and Spectrum Pharmacy Products, Inc. (collectively “Spectrum”) in the Los Angeles County Superior Court asserting claims for breach of contract, breach of implied covenant of good faith and fair dealing, violation of California Commercial Code Section 2101 and fraud. The claims stem from prior business dealings between us and Spectrum and allege false representation by Spectrum regarding their products, fraudulent labeling and misrepresentations of approved product usages. The complaint has been filed with the Court and in May 2018, Spectrum has filed an answer with the Court. The matter is currently in the beginning stages of discovery. We intend to fully purse any and all legal remedies available to us against Spectrum.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2018, Novel Drug Solutions, LLC and Eyecare Northwest, PA, (collectively “NDS”) filed a lawsuit against us in the U.S. District Court of Delaware asserting claims for breach of contract. The claims stem from an asset purchase agreement that we and NDS entered into in 2013. In July 2018, NDS filed a first amended complaint which added a claim for fraudulent inducement. In July 2018, we filed a motion to dismiss certain causes of action found in the complaint. A decision on our motion to dismiss has not yet been determined. We believe the claims are frivolous, dispute all claims against us and intend to vigorously defend the allegations. Nonetheless, we cannot predict the eventual outcome of this this litigation, it could result in substantial costs and a diversion of management’s resources and attention, which could harm our business and the value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2018, the California Board of Pharmacy filed an accusation against our wholly owned subsidiary, Park Compounding, Inc. (“Park”) related to a compounded formulation we believe was legally dispensed and was, without our knowledge, inappropriately administered to a patient unknown to us, by the prescribing healthcare professional. The Company has filed its response to the accusation and has requested for a formal hearing. The Company disputes all claims against it and intends to vigorously defend against the allegations. Nonetheless, we cannot predict the outcome of this litigation, it could result in substantial costs, suspension or revocation of Park’s pharmacy license and a diversion of management’s resources and attention, which could harm our business and the value of our common stock.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May 2018, we filed demurrer challenging certain allegations and a motion to strike punitive damages, these motions will be heard by the Court on August 10, 2018. We believe the claims are without merit, dispute all claims against us and intend to vigorously defend against the allegations. Nonetheless, we cannot predict the eventual outcome of this this litigation, it could result in substantial costs and a diversion of management’s resources and attention, which could harm our business and the value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ordinary course of business, we may face various claims brought by third parties and we may, from time to time, make claims or take legal actions to assert our rights, including intellectual property disputes, contractual disputes and other commercial disputes. Any of these claims could subject us to litigation. Management believes the outcomes of currently pending claims are not likely to have a material effect on our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incurred losses in every year of our operations, including net losses of $(11,985,000) and $(19,087,000) for the years ended December 31, 2017 and 2016, respectively, and net income (losses) of $2,522,000 and $991,000 for the three and six months ended June 30, 2018 and $1,484,000 and $(3,522,000) for the three and six months ended June 30, 2017, respectively. As of June 30, 2018, our accumulated deficit was $(89,827,000). We expect to decrease our operating losses during 2018, however, our projections may not be correct and our plans could change, and we could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three pharmaceutical compounding facilities we own, but we may not be successful in our efforts to integrate these businesses into our operations.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establishing a small compounding pharmacy group, whether through acquisitions, establishing new pharmacies or entering into licensing arrangements with third-party pharmacies and outsourcing facilities, to market and sell our proprietary formulations and other non-proprietary products in all 50 states and in certain geographies outside of the U.S.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have compounding facilities in New Jersey and California. We may plan to expand our pharmacy operations and personnel and developing our facilities into a unified group compounding pharmacy facilities. We have been developing “ImprimisRx” as a uniform brand for certain of our compounding facilities and ophthalmology focused compounded business.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strategy, including difficulties that arise as a result of our lack of experience, and we may be unsuccessful. For instance:</w:t>
      </w:r>
    </w:p>
    <w:p>
      <w:pPr>
        <w:spacing w:after="0" w:line="19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completing future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acquisitions of our ImprimisRx compounding pharmacies or any additional pharmacy businesses or outsourcing facilities we to acquire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August 2017,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been in communication with the FDA and taking steps to address the items outlined in the letter and will continue to work with the FDA to assure that all allegations in the warning letter have been addressed. We believe we have addressed all of the material items of concern in the FDA’s warning letter and those related to the MedWatch notification (and any other requirements observed by FDA and noted to us), and do not believe there will be any further action taken by FDA in this regard. Nonetheless, these two items increased further scrutiny and negative publicity on us as a company. At times, we have become aware of negative views of regulators related to certain formulations, and as a result discontinued compounding certain drug formulations in an attempt help mitigate potential regulatory risk. As a result of the MedWatch notice and other regulatory notifications, some physicians may be hesitant to prescribe and some patients may be hesitant to purchase and use non-FDA approved compounded formulations, particularly when an FDA-approved potential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our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pharmacies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our one of our pharmacies, or with which we may partner is found not to comply with state pharmacy and controlled substance laws and regulations, the pharmacy could be required to cease operations or become subject to burdensome restrictions and limitations on its business. For example, in March 2018, the California Board of Pharmacy filed an accusation against our subsidiary, Park Compounding, Inc. related to a compounded formulation we believe was legally dispensed and was, without our knowledge, inappropriately administered to a patient unknown to us, by the prescribing healthcare professionals. While we dispute all claims against us and intend to vigorously defend against the accusations, if Park Compounding is found to be in non-compliance pursuant to this accusation, it may be required to permanently or temporarily cease or limit its operations including its sterile compounding operations. If Park Compounding is required to permanently or temporarily cease or limit its sterile compounding operations, we would be unable to realize the expected benefits of this pharmacy’s operations, including its sales of our proprietary formulations. Although we distribute our proprietary formulations through other compounding pharmacies, and not solely through Park Compounding, the loss of Park Compounding’s ability to compound sterile formulations would have an immediate adverse impact on our ability to implement our business plan in a timely manner.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(including Park)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shipments of interstate compounding. Previously, the draft MOU presented by the FDA in February 2015 intended to limit interstate shipments of compounded drug units to 30% of all compounded and non-compounded units dispensed or distributed by the pharmacy per month, the excess of which the FDA considered an “inordinate amount.” The FDA stated in the guidance issued in February 2015 that it would not enforce interstate restrictions until after it published a final MOU and made it available to states for signature for some designated period of time. If the final MOU was drafted and released by the FDA and was not signed by a particular state, then interstate shipments of compounded preparations from a pharmacy located in that state would be limited to quantities not greater than 5% of total prescription orders dispensed or distributed by the pharmacy; however, we are not aware that the FDA currently enforces or has in the past enforced the 5% rule and, under current draft guidance, the FDA had historically stated that it would not enforce the 5% rule until a final MOU was made available to states for signature. The FDA originally proposed a 180-day period for states to agree to the final MOU after the final version was presented, which to date has not occurred, before it would begin to enforce the 5% rule.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current status of the MOU and the FDA’s plan to release a revised MOU (the “Revised MOU”). Pursuant to the statements in the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a the Revised MOU is issued and presented to states to consider, the extent of interstate dispensing restrictions imposed by Section 503A is unknown. However, if the final Revised MOU contains a 50% limit on interstate distribution, dependent on the additional reporting requirements to be outlined in the Revised MOU, our pharmacy operations could be materially limited.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There are many competitive risks related to marketing and selling our proprietary formulations and operating our compounding pharmacy business.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development opportunities in 2014 and 2015,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19, 2017, we incurred $16,000,000 of indebtedness under a loan agreement with SWK Funding, LLC and its partners (SWK) and concurrent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the Company and LSAF on May 11, 2015 (the “LSAF Loan”), which loan had a principal balance of $12,120,000 at the time of final payment.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SWK debt instrument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$55,000,000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Manufacturing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such as with drug candidates being developed by Surface and Eton, we may be unable to demonstrate the necessary safety and efficacy to obtain such FDA approval.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strategy was focused on developing and commercializing product opportunities as compounded formulations. In 2017 and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drug candidates are in the early stages of clinical development. We do not generate revenues from any FDA approved drug products. We expect to submit an Investigational New Drug Application (“IND”) or foreign equivalent to the FDA or international regulatory authorities seeking approval to initiate our clinical trials in humans in the United States or other countries yet to be determined. We plan on submitting our clinical trial protocols and receive approvals from the FDA and international regulatory authorities before we can commence any clinical trials. We may not be successful in obtaining acceptance from the FDA or comparable foreign regulatory authorities to start our clinical trials. If we do not obtain such acceptance, the time in which we expect to commence clinical programs for any drug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drug candidates, which may never occur.</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any required regulatory approvals for our drug candidates, we will not be able to commercialize our drug candidate and our ability to generate revenue will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We have not submitted an NDA to the FDA or comparable applications to other regulatory authorities.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IND for our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 may disagree with the design or implementation of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drug candidates’ safety and efficacy;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European Medicines Agency (the “EMA”), or other regulatory agencies for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dosing of our drug candidates in a particular clinical trial may not be at an optimal level;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Excluding any activities through our ownership interest in Eton, we have not submitted an NDA or received regulatory approval to market our drug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commercialize any of our drug candidates, we may need to acquire additional drug candidates and our business will be adversely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commercialized any drug candidates and do not have any other compounds in pre-clinical testing, lead optimization or lead identification stages beyond our drug candidates. 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physicians to prescribe our drug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efficacy of our drug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drug candidates may be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drug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inclusion or omission of our drug candidates in applicable therapeutic and vaccine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 or reimbursement or government pricing approvals.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ind w:firstLine="648"/>
        <w:spacing w:after="0" w:line="286" w:lineRule="auto"/>
        <w:rPr>
          <w:sz w:val="20"/>
          <w:szCs w:val="20"/>
          <w:color w:val="auto"/>
        </w:rPr>
      </w:pPr>
      <w:r>
        <w:rPr>
          <w:rFonts w:ascii="Arial" w:cs="Arial" w:eastAsia="Arial" w:hAnsi="Arial"/>
          <w:sz w:val="16"/>
          <w:szCs w:val="16"/>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jc w:val="both"/>
        <w:ind w:firstLine="648"/>
        <w:spacing w:after="0" w:line="264"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1"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drug candidates and generate revenue. Adverse regulatory action, whether pre- or post-approval, can also potentially lead to product liability claims and increase our product liability exposure.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of 2010 or, collectively, 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 Care Reform Law remains subject to legislative efforts to repeal, modify or delay the implementation of the law. Efforts to date have generally been unsuccessful as a result of the balance of power in Congress and the President’s veto power. However, the recent Presidential and Congressional elections, which resulted in the election of the Republican presidential nominee and Republican majorities in both houses of Congress, may result in additional efforts to repeal, modify or delay implementation of the Health Reform Law.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modification or delay in the implementation of the Health Care Reform Law on us at this time. Due to the substantial regulatory changes that will need to be implemented by Centers for Medicare &amp; Medicaid Services (“CMS”) and others, and the numerous processes required to implement these reforms, we cannot predict which healthcare initiatives will be implemented at the federal or state level, the timing of any such reforms, or the effect such reforms or any other future legislation or regulation will have on our business.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Our drug candidates may face competition sooner than expected.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will depend in part on our ability to obtain and maintain patent protection for our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Even if our drug candidates are considered to be reference products eligible for 3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will be completely dependent on third parties to manufacture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 party manufacturing partners, or the lack of capacity available at our third 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drug candidates, or participating in competing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auto"/>
        </w:rPr>
        <w:t>Even though we may apply for orphan drug designation for a drug candidate, we may not be able to obtain orphan drug marketing exclusivity.</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As of July 26, 2018, we own and/or license 34 U.S. patents or patent applications and we own 11 international patent applications filed under the Patent Cooperation Treaty and 38 foreign patent or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We are dependent on our Chief Executive Officer, Mark L. Baum, and other key persons for the continued growth and development of our Company.</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 In addition, our loan agreement, identifies other key persons including, but not limited to, our Chief Financial Officer, Andrew R. Boll and our Chief Commercial Officer, John P. Saharek.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of their significant stock ownership, some of our existing stockholders are able to exert control over us and our significant corporate decisions.</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August 3, 2018, approximately 14%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2017 Annual Report, our management concluded that our internal controls over financial reporting were effective as of December 31, 2017.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SWK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3, 2018, we re-acquired our rights to our pentoxifylline drug formulation and patent filings and terminated the related asset purchase and license agreement dated May 9, 2017 with Eton Pharmaceuticals, Inc. We paid $50,000 to Eton related to our re-acquisition and transfer of the drug and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b w:val="1"/>
                <w:bCs w:val="1"/>
                <w:color w:val="auto"/>
              </w:rPr>
              <w:t>10.1</w:t>
            </w:r>
          </w:p>
        </w:tc>
        <w:tc>
          <w:tcPr>
            <w:tcW w:w="10320" w:type="dxa"/>
            <w:vAlign w:val="bottom"/>
            <w:tcBorders>
              <w:bottom w:val="single" w:sz="8" w:color="0000EE"/>
            </w:tcBorders>
            <w:gridSpan w:val="9"/>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Asset Purchase and License Agreement dated September 28, 2017 between Imprimis Pharmaceuticals, Inc. and Surface Pharmaceuticals, Inc.</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3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(incorporated herein by reference to exhibit 10.1 to the Current Report on Form 8-K of Imprimis Pharmaceuticals, Inc. filed with the Securities</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320" w:type="dxa"/>
            <w:vAlign w:val="bottom"/>
            <w:gridSpan w:val="9"/>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and Exchange Commission on May 15, 2018)</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10.2</w:t>
            </w:r>
          </w:p>
        </w:tc>
        <w:tc>
          <w:tcPr>
            <w:tcW w:w="330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vMerge w:val="continue"/>
          </w:tcPr>
          <w:p>
            <w:pPr>
              <w:spacing w:after="0"/>
              <w:rPr>
                <w:sz w:val="24"/>
                <w:szCs w:val="24"/>
                <w:color w:val="auto"/>
              </w:rPr>
            </w:pPr>
          </w:p>
        </w:tc>
        <w:tc>
          <w:tcPr>
            <w:tcW w:w="10320" w:type="dxa"/>
            <w:vAlign w:val="bottom"/>
            <w:tcBorders>
              <w:bottom w:val="single" w:sz="8" w:color="0000EE"/>
            </w:tcBorders>
            <w:gridSpan w:val="9"/>
          </w:tcPr>
          <w:p>
            <w:pPr>
              <w:spacing w:after="0"/>
              <w:rPr>
                <w:rFonts w:ascii="Arial" w:cs="Arial" w:eastAsia="Arial" w:hAnsi="Arial"/>
                <w:sz w:val="18"/>
                <w:szCs w:val="18"/>
                <w:color w:val="0000EE"/>
                <w:w w:val="94"/>
              </w:rPr>
            </w:pPr>
            <w:hyperlink r:id="rId67">
              <w:r>
                <w:rPr>
                  <w:rFonts w:ascii="Arial" w:cs="Arial" w:eastAsia="Arial" w:hAnsi="Arial"/>
                  <w:sz w:val="18"/>
                  <w:szCs w:val="18"/>
                  <w:color w:val="0000EE"/>
                  <w:w w:val="94"/>
                </w:rPr>
                <w:t>Amend and Restated Asset Purchase and License Agreement dated April 10, 2018 between Imprimis Pharmaceuticals, Inc. and Surface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32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r:id="rId67">
              <w:r>
                <w:rPr>
                  <w:rFonts w:ascii="Arial" w:cs="Arial" w:eastAsia="Arial" w:hAnsi="Arial"/>
                  <w:sz w:val="18"/>
                  <w:szCs w:val="18"/>
                  <w:color w:val="0000EE"/>
                  <w:w w:val="98"/>
                </w:rPr>
                <w:t>Pharmaceuticals, Inc. May 15, 2018 (incorporated herein by reference to exhibit 10.2 to the Current Report on Form 8-K of Imprimis</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6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Pharmaceuticals, Inc. filed with the Securities and Exchange Commission on May 15, 2018)</w:t>
              </w:r>
            </w:hyperlink>
          </w:p>
        </w:tc>
        <w:tc>
          <w:tcPr>
            <w:tcW w:w="36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99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Amended and Restated License Agreement dated April 10, 2018 between Imprimis Pharmaceuticals, Inc. and Richard L. Lindstrom, M.D.</w:t>
              </w:r>
            </w:hyperlink>
          </w:p>
        </w:tc>
        <w:tc>
          <w:tcPr>
            <w:tcW w:w="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10.4*</w:t>
            </w:r>
          </w:p>
        </w:tc>
        <w:tc>
          <w:tcPr>
            <w:tcW w:w="1032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Consulting Agreement dated March 1, 2018 between Surface Pharmaceuticals, Inc. and Richard L. Lindstrom, M.D.</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31.1*</w:t>
            </w:r>
          </w:p>
        </w:tc>
        <w:tc>
          <w:tcPr>
            <w:tcW w:w="56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vMerge w:val="continue"/>
          </w:tcPr>
          <w:p>
            <w:pPr>
              <w:spacing w:after="0"/>
              <w:rPr>
                <w:sz w:val="24"/>
                <w:szCs w:val="24"/>
                <w:color w:val="auto"/>
              </w:rPr>
            </w:pPr>
          </w:p>
        </w:tc>
        <w:tc>
          <w:tcPr>
            <w:tcW w:w="1032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83">
              <w:r>
                <w:rPr>
                  <w:rFonts w:ascii="Arial" w:cs="Arial" w:eastAsia="Arial" w:hAnsi="Arial"/>
                  <w:sz w:val="18"/>
                  <w:szCs w:val="18"/>
                  <w:color w:val="0000EE"/>
                  <w:w w:val="95"/>
                </w:rPr>
                <w:t>Certification of Mark L. Baum, principal executive officer, pursuant to Rule 13a-14(a) or 15d-14(a) of the Securities and Exchange Act of</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6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1934, as adopted pursuant to Section 302 of the Sarbanes- Oxley Act of 2002.</w:t>
              </w:r>
            </w:hyperlink>
          </w:p>
        </w:tc>
        <w:tc>
          <w:tcPr>
            <w:tcW w:w="4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0320" w:type="dxa"/>
            <w:vAlign w:val="bottom"/>
            <w:gridSpan w:val="9"/>
          </w:tcPr>
          <w:p>
            <w:pPr>
              <w:spacing w:after="0"/>
              <w:rPr>
                <w:rFonts w:ascii="Arial" w:cs="Arial" w:eastAsia="Arial" w:hAnsi="Arial"/>
                <w:sz w:val="18"/>
                <w:szCs w:val="18"/>
                <w:color w:val="0000EE"/>
                <w:w w:val="96"/>
              </w:rPr>
            </w:pPr>
            <w:hyperlink w:anchor="page85">
              <w:r>
                <w:rPr>
                  <w:rFonts w:ascii="Arial" w:cs="Arial" w:eastAsia="Arial" w:hAnsi="Arial"/>
                  <w:sz w:val="18"/>
                  <w:szCs w:val="18"/>
                  <w:color w:val="0000EE"/>
                  <w:w w:val="96"/>
                </w:rPr>
                <w:t>Certification of Andrew R. Boll, principal financial and accounting officer, pursuant to Rule 13a-14(a) or 15d-14(a) of the Securities and</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Exchange Act of 1934, as adopted pursuant to Section 302 of the Sarbanes- Oxley Act of 2002.</w:t>
              </w:r>
            </w:hyperlink>
          </w:p>
        </w:tc>
        <w:tc>
          <w:tcPr>
            <w:tcW w:w="34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03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Certification pursuant to 18 U.S.C. Section 1350, as adopted pursuant to Section 906 of the Sarbanes-Oxley Act of 2002, executed by Mark L.</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0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Baum, principal executive officer, and Andrew R. Boll, principal financial and accounting officer.</w:t>
              </w:r>
            </w:hyperlink>
          </w:p>
        </w:tc>
        <w:tc>
          <w:tcPr>
            <w:tcW w:w="3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b w:val="1"/>
                <w:bCs w:val="1"/>
                <w:color w:val="auto"/>
              </w:rPr>
              <w:t>101.INS*</w:t>
            </w:r>
          </w:p>
        </w:tc>
        <w:tc>
          <w:tcPr>
            <w:tcW w:w="1032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101.SCH*</w:t>
            </w:r>
          </w:p>
        </w:tc>
        <w:tc>
          <w:tcPr>
            <w:tcW w:w="1032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101.CAL*</w:t>
            </w:r>
          </w:p>
        </w:tc>
        <w:tc>
          <w:tcPr>
            <w:tcW w:w="103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101.DEF*</w:t>
            </w:r>
          </w:p>
        </w:tc>
        <w:tc>
          <w:tcPr>
            <w:tcW w:w="103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101.LAB*</w:t>
            </w:r>
          </w:p>
        </w:tc>
        <w:tc>
          <w:tcPr>
            <w:tcW w:w="103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b w:val="1"/>
                <w:bCs w:val="1"/>
                <w:color w:val="auto"/>
              </w:rPr>
              <w:t>101.PRE*</w:t>
            </w:r>
          </w:p>
        </w:tc>
        <w:tc>
          <w:tcPr>
            <w:tcW w:w="103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6, 2018</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ind w:left="10280"/>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LICENSE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AMENDED AND RESTATED LICENSE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the last date provided for on the signature page hereto (the “</w:t>
      </w:r>
      <w:r>
        <w:rPr>
          <w:rFonts w:ascii="Arial" w:cs="Arial" w:eastAsia="Arial" w:hAnsi="Arial"/>
          <w:sz w:val="18"/>
          <w:szCs w:val="18"/>
          <w:u w:val="single" w:color="auto"/>
          <w:color w:val="auto"/>
        </w:rPr>
        <w:t>Restatement Date</w:t>
      </w:r>
      <w:r>
        <w:rPr>
          <w:rFonts w:ascii="Arial" w:cs="Arial" w:eastAsia="Arial" w:hAnsi="Arial"/>
          <w:sz w:val="18"/>
          <w:szCs w:val="18"/>
          <w:color w:val="auto"/>
        </w:rPr>
        <w:t>”), is entered into between Richard L. Lindstrom, M.D., an individual (“</w:t>
      </w:r>
      <w:r>
        <w:rPr>
          <w:rFonts w:ascii="Arial" w:cs="Arial" w:eastAsia="Arial" w:hAnsi="Arial"/>
          <w:sz w:val="18"/>
          <w:szCs w:val="18"/>
          <w:u w:val="single" w:color="auto"/>
          <w:color w:val="auto"/>
        </w:rPr>
        <w:t>Lindstrom</w:t>
      </w:r>
      <w:r>
        <w:rPr>
          <w:rFonts w:ascii="Arial" w:cs="Arial" w:eastAsia="Arial" w:hAnsi="Arial"/>
          <w:sz w:val="18"/>
          <w:szCs w:val="18"/>
          <w:color w:val="auto"/>
        </w:rPr>
        <w:t>”), with a principal place of business at Minnesota 55391 and Imprimis Pharmaceuticals, Inc., a Delaware corporation (“</w:t>
      </w:r>
      <w:r>
        <w:rPr>
          <w:rFonts w:ascii="Arial" w:cs="Arial" w:eastAsia="Arial" w:hAnsi="Arial"/>
          <w:sz w:val="18"/>
          <w:szCs w:val="18"/>
          <w:u w:val="single" w:color="auto"/>
          <w:color w:val="auto"/>
        </w:rPr>
        <w:t>Imprimis</w:t>
      </w:r>
      <w:r>
        <w:rPr>
          <w:rFonts w:ascii="Arial" w:cs="Arial" w:eastAsia="Arial" w:hAnsi="Arial"/>
          <w:sz w:val="18"/>
          <w:szCs w:val="18"/>
          <w:color w:val="auto"/>
        </w:rPr>
        <w:t>”), with a principal place of business at 12264 El Camino Real, Suite 350, San Diego, California 92130.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parties entered into the License Agreement (the “Original Agreement”) effective April 1, 2017 (the “Effective Date”); and</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now desire to amend the Original Agreement in certain respects and for convenience to restate the Original Agreement, on the terms and conditions set forth in this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mutual promises and covenants set forth below and other good and valuable consideration, the receipt and sufficiency of which is hereby acknowledged, the parties hereby amend and restate the Original Agreement, and otherwise agree, as follows effective as of the Effective Date:</w:t>
      </w:r>
    </w:p>
    <w:p>
      <w:pPr>
        <w:spacing w:after="0" w:line="181" w:lineRule="exact"/>
        <w:rPr>
          <w:sz w:val="20"/>
          <w:szCs w:val="20"/>
          <w:color w:val="auto"/>
        </w:rPr>
      </w:pPr>
    </w:p>
    <w:p>
      <w:pPr>
        <w:ind w:firstLine="656"/>
        <w:spacing w:after="0" w:line="277" w:lineRule="auto"/>
        <w:tabs>
          <w:tab w:leader="none" w:pos="8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 Notwithstanding the foregoing, for purposes of this Agreement, neither Imprimis nor Surface Pharmaceuticals, Inc. (“Surface”) shall be Affiliates of the other or the other’s Affiliates.</w:t>
      </w:r>
    </w:p>
    <w:p>
      <w:pPr>
        <w:spacing w:after="0" w:line="17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Combination Product</w:t>
      </w:r>
      <w:r>
        <w:rPr>
          <w:rFonts w:ascii="Arial" w:cs="Arial" w:eastAsia="Arial" w:hAnsi="Arial"/>
          <w:sz w:val="18"/>
          <w:szCs w:val="18"/>
          <w:color w:val="auto"/>
        </w:rPr>
        <w:t>” shall mean a Product in the form of a combination product containing any Product and one or more additional active pharmaceutical ingredients and/or any additional active excipients that (if sold separately) would not be Products.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shall mean, with respect to any Product, the first sale of such Product to a Third Party.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Licensed IP Rights</w:t>
      </w:r>
      <w:r>
        <w:rPr>
          <w:rFonts w:ascii="Arial" w:cs="Arial" w:eastAsia="Arial" w:hAnsi="Arial"/>
          <w:sz w:val="18"/>
          <w:szCs w:val="18"/>
          <w:color w:val="auto"/>
        </w:rPr>
        <w:t>” shall mean, collectively, the Licensed Patent Rights and the Licensed Know-How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both"/>
        <w:ind w:firstLine="1297"/>
        <w:spacing w:after="0" w:line="273"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Licensed Know-How Rights</w:t>
      </w:r>
      <w:r>
        <w:rPr>
          <w:rFonts w:ascii="Arial" w:cs="Arial" w:eastAsia="Arial" w:hAnsi="Arial"/>
          <w:sz w:val="17"/>
          <w:szCs w:val="17"/>
          <w:color w:val="auto"/>
        </w:rPr>
        <w:t xml:space="preserve">” shall mean all trade secret and other know-how rights in and to all data, information, compositions and other technology (including, but not limited to, formulae, procedures, processes, methods, protocols, techniques and results of experimentation and testing) which are necessary or useful for Imprimis to make, use, develop, sell or market the Product, or to practice any method or process, at any time claimed or disclosed in any issued patent or pending patent application within the Licensed Patent Rights or which otherwise relates to the Product or derivatives, enhancements, improvements and other modifications thereof, or methods of manufacture or uses of any of the foregoing that are subject to patents or patent applications that share common priority date with the patents and patent applications listed on </w:t>
      </w:r>
      <w:r>
        <w:rPr>
          <w:rFonts w:ascii="Arial" w:cs="Arial" w:eastAsia="Arial" w:hAnsi="Arial"/>
          <w:sz w:val="17"/>
          <w:szCs w:val="17"/>
          <w:b w:val="1"/>
          <w:bCs w:val="1"/>
          <w:i w:val="1"/>
          <w:iCs w:val="1"/>
          <w:color w:val="auto"/>
        </w:rPr>
        <w:t>Exhibit A</w:t>
      </w:r>
      <w:r>
        <w:rPr>
          <w:rFonts w:ascii="Arial" w:cs="Arial" w:eastAsia="Arial" w:hAnsi="Arial"/>
          <w:sz w:val="17"/>
          <w:szCs w:val="17"/>
          <w:color w:val="auto"/>
        </w:rPr>
        <w:t>.</w:t>
      </w:r>
    </w:p>
    <w:p>
      <w:pPr>
        <w:spacing w:after="0" w:line="17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Licensed Patent Rights</w:t>
      </w:r>
      <w:r>
        <w:rPr>
          <w:rFonts w:ascii="Arial" w:cs="Arial" w:eastAsia="Arial" w:hAnsi="Arial"/>
          <w:sz w:val="16"/>
          <w:szCs w:val="16"/>
          <w:color w:val="auto"/>
        </w:rPr>
        <w:t xml:space="preserve">” shall mean (a) the patents and patent applications listed on </w:t>
      </w:r>
      <w:r>
        <w:rPr>
          <w:rFonts w:ascii="Arial" w:cs="Arial" w:eastAsia="Arial" w:hAnsi="Arial"/>
          <w:sz w:val="16"/>
          <w:szCs w:val="16"/>
          <w:b w:val="1"/>
          <w:bCs w:val="1"/>
          <w:i w:val="1"/>
          <w:iCs w:val="1"/>
          <w:color w:val="auto"/>
        </w:rPr>
        <w:t>Exhibit A</w:t>
      </w:r>
      <w:r>
        <w:rPr>
          <w:rFonts w:ascii="Arial" w:cs="Arial" w:eastAsia="Arial" w:hAnsi="Arial"/>
          <w:sz w:val="16"/>
          <w:szCs w:val="16"/>
          <w:color w:val="auto"/>
        </w:rPr>
        <w:t xml:space="preserve">, (b) all worldwide patents and patent applications that claim or cover the Product, or derivatives, enhancements, improvements and other modifications thereof, or methods of manufacture or uses of any of the foregoing, that share common priority date with the patents and patent applications listed on </w:t>
      </w:r>
      <w:r>
        <w:rPr>
          <w:rFonts w:ascii="Arial" w:cs="Arial" w:eastAsia="Arial" w:hAnsi="Arial"/>
          <w:sz w:val="16"/>
          <w:szCs w:val="16"/>
          <w:b w:val="1"/>
          <w:bCs w:val="1"/>
          <w:i w:val="1"/>
          <w:iCs w:val="1"/>
          <w:color w:val="auto"/>
        </w:rPr>
        <w:t>Exhibit A</w:t>
      </w:r>
      <w:r>
        <w:rPr>
          <w:rFonts w:ascii="Arial" w:cs="Arial" w:eastAsia="Arial" w:hAnsi="Arial"/>
          <w:sz w:val="16"/>
          <w:szCs w:val="16"/>
          <w:color w:val="auto"/>
        </w:rPr>
        <w:t>, in each case, in which Lindstrom heretofore or hereafter has an ownership or (sub)licensable interest, (c) all divisions, continuations, continuations-in-part, that claim priority to, or common priority with, the patent applications described in clauses (a) and (b) above or the patent applications that resulted in the patents described in clauses (a) and</w:t>
      </w:r>
    </w:p>
    <w:p>
      <w:pPr>
        <w:spacing w:after="0" w:line="2" w:lineRule="exact"/>
        <w:rPr>
          <w:sz w:val="20"/>
          <w:szCs w:val="20"/>
          <w:color w:val="auto"/>
        </w:rPr>
      </w:pPr>
    </w:p>
    <w:p>
      <w:pPr>
        <w:jc w:val="both"/>
        <w:ind w:firstLine="8"/>
        <w:spacing w:after="0" w:line="255" w:lineRule="auto"/>
        <w:tabs>
          <w:tab w:leader="none" w:pos="2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above, (d) all patents that have issued or in the future issue from any of the foregoing described patent applications, including utility model, and (e) all extensions, supplemental protection certificates, registrations, confirmations, reissues, reexaminations, inter partes reviews, post-grant reviews, restorations, additions and renewals of or to any of the foregoing described patents.</w:t>
      </w:r>
    </w:p>
    <w:p>
      <w:pPr>
        <w:spacing w:after="0" w:line="19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Net Sales</w:t>
      </w:r>
      <w:r>
        <w:rPr>
          <w:rFonts w:ascii="Arial" w:cs="Arial" w:eastAsia="Arial" w:hAnsi="Arial"/>
          <w:sz w:val="17"/>
          <w:szCs w:val="17"/>
          <w:color w:val="auto"/>
        </w:rPr>
        <w:t>” shall mean, with respect to any Product, the gross sales price for such Product invoiced by Imprimis, its sublicensees, or its or their respective Affiliates (but excluding Surface, its sublicensees, and its or their respective Affiliates) to customers who are not Affiliates (or are Affiliates but are the end users of such Product) less: (a) credits, allowances, discounts and rebates to, and chargebacks from the account of, such customers; (b) freight and insurance costs in transporting such Product to the extent separately invoiced and included in the gross sales price; (c) cash, quantity and trade discounts, rebates and other price reductions for such Product; (d) sales, use, value-added and other direct taxes for such Product to the extent separately invoiced and included in the gross sales price; (e) customs duties, tariffs, surcharges and other governmental charges incurred in exporting or importing such Product for such Product to the extent separately invoiced and included in the gross sales price; and (f) an allowance for uncollectible or bad debts for such Product determined in accordance with generally accepted accounting principles not to exceed three percent (3%) of Net Sales of such Product for the applicable quarterly reporting period before giving effect to this subsection (f).</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clarity, the amounts received for the transfer of Product by Imprimis to and among its Affiliates and sublicensees for resale shall be excluded from the computation of Net Sales, but the subsequent resale of such Product to a Third Party (that is not a sublicensee) shall be included within the computation of Net Sales.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Disposal of Product for or use in clinical trials, as free samples, or under compassionate use, patient assistance, named patient or test marketing programs or non-registrational studies or other similar programs or studies or testing, shall not result in any Net Sales under this Section to the extent the amounts received for such Product do not exceed manufacturing cost.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jc w:val="both"/>
        <w:ind w:firstLine="1297"/>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Product</w:t>
      </w:r>
      <w:r>
        <w:rPr>
          <w:rFonts w:ascii="Arial" w:cs="Arial" w:eastAsia="Arial" w:hAnsi="Arial"/>
          <w:sz w:val="16"/>
          <w:szCs w:val="16"/>
          <w:color w:val="auto"/>
        </w:rPr>
        <w:t>” shall mean services, compositions, products, dosages and formulations that, if performed, made, used, offered for sale, sold or imported absent the license granted hereunder would infringe a Valid Claim, or that otherwise use or incorporate the Licensed Know-How Rights.</w:t>
      </w:r>
    </w:p>
    <w:p>
      <w:pPr>
        <w:spacing w:after="0" w:line="1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Royalty Period</w:t>
      </w:r>
      <w:r>
        <w:rPr>
          <w:rFonts w:ascii="Arial" w:cs="Arial" w:eastAsia="Arial" w:hAnsi="Arial"/>
          <w:sz w:val="18"/>
          <w:szCs w:val="18"/>
          <w:color w:val="auto"/>
        </w:rPr>
        <w:t>” shall mean, with respect to a Product, the period of time beginning after cumulative Net Sales reach One Hundred Thousand Dollars ($100,000) and continuing during the term for which a Valid Claim remains in effect and would be infringed absent the license granted hereunder by the manufacture, use, offer for sale, sale or import of such Product.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Imprimis, Lindstrom or their respective Affiliates.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either (a) a claim of an issued and unexpired patent included within the Licensed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ind w:right="20" w:firstLine="8"/>
        <w:spacing w:after="0" w:line="290" w:lineRule="auto"/>
        <w:tabs>
          <w:tab w:leader="none" w:pos="2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claim of a pending patent application included within the Licensed Patent Rights, which claim was filed in good faith, has not been pending for more than five (5) years and has not been abandoned or finally disallowed without the possibility of appeal or refiling of such application.</w:t>
      </w:r>
    </w:p>
    <w:p>
      <w:pPr>
        <w:spacing w:after="0" w:line="161" w:lineRule="exact"/>
        <w:rPr>
          <w:rFonts w:ascii="Arial" w:cs="Arial" w:eastAsia="Arial" w:hAnsi="Arial"/>
          <w:sz w:val="17"/>
          <w:szCs w:val="17"/>
          <w:color w:val="auto"/>
        </w:rPr>
      </w:pPr>
    </w:p>
    <w:p>
      <w:pPr>
        <w:ind w:left="840" w:hanging="184"/>
        <w:spacing w:after="0"/>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hereby represents and warrants to the other party as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2.1.1 Such party, if an entity, is a corporation duly organized, validly existing and in good standing under the laws of the state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which it is incorporated.</w:t>
      </w:r>
    </w:p>
    <w:p>
      <w:pPr>
        <w:spacing w:after="0" w:line="21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2.1.3 All necessary consents, approvals and authorizations of all governmental authorities and other Persons required to be obtained by such party in connection with this Agreement have been obtained.</w:t>
      </w:r>
    </w:p>
    <w:p>
      <w:pPr>
        <w:spacing w:after="0" w:line="170" w:lineRule="exact"/>
        <w:rPr>
          <w:sz w:val="20"/>
          <w:szCs w:val="20"/>
          <w:color w:val="auto"/>
        </w:rPr>
      </w:pPr>
    </w:p>
    <w:p>
      <w:pPr>
        <w:jc w:val="both"/>
        <w:ind w:firstLine="1945"/>
        <w:spacing w:after="0" w:line="342" w:lineRule="auto"/>
        <w:rPr>
          <w:sz w:val="20"/>
          <w:szCs w:val="20"/>
          <w:color w:val="auto"/>
        </w:rPr>
      </w:pPr>
      <w:r>
        <w:rPr>
          <w:rFonts w:ascii="Arial" w:cs="Arial" w:eastAsia="Arial" w:hAnsi="Arial"/>
          <w:sz w:val="16"/>
          <w:szCs w:val="16"/>
          <w:color w:val="auto"/>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Lindstrom Representations and Warranties</w:t>
      </w:r>
      <w:r>
        <w:rPr>
          <w:rFonts w:ascii="Arial" w:cs="Arial" w:eastAsia="Arial" w:hAnsi="Arial"/>
          <w:sz w:val="18"/>
          <w:szCs w:val="18"/>
          <w:color w:val="auto"/>
        </w:rPr>
        <w:t>. Lindstrom hereby represents and warrants to Imprimis as follows:</w:t>
      </w:r>
    </w:p>
    <w:p>
      <w:pPr>
        <w:spacing w:after="0" w:line="225"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2.2.1 Lindstrom (a) is the sole owner or exclusive licensee of the Licensed IP Rights, (b) has not granted to any Third Party any license or other interest in the Licensed IP Rights, (c) is not aware of any Third Party patent, patent application or other intellectual property rights that would be infringed (i) by practicing any process or method or by making, using or selling any composition which is claimed or disclosed in the Licensed Patent Rights or which constitutes Licensed Know-How Rights, or (ii) by making, using or selling Product, and (d) is not aware of any widespread or commercial scale infringement or misappropriation by a Third Party of the Licensed IP Rights.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Imprimis Representations and Warranties</w:t>
      </w:r>
      <w:r>
        <w:rPr>
          <w:rFonts w:ascii="Arial" w:cs="Arial" w:eastAsia="Arial" w:hAnsi="Arial"/>
          <w:sz w:val="18"/>
          <w:szCs w:val="18"/>
          <w:color w:val="auto"/>
        </w:rPr>
        <w:t>. Imprimis hereby represents and warrants to Lindstrom as follows:</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2.3.1 All Product to be supplied or sold pursuant to this Agreement shall comply with all applicable Federal, State and local regulations, requirements and/or laws.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2.3.2 Imprimis has full power and authority to execute this Agreement and to perform its obligations hereunder.</w:t>
      </w:r>
    </w:p>
    <w:p>
      <w:pPr>
        <w:spacing w:after="0" w:line="225" w:lineRule="exact"/>
        <w:rPr>
          <w:sz w:val="20"/>
          <w:szCs w:val="20"/>
          <w:color w:val="auto"/>
        </w:rPr>
      </w:pPr>
    </w:p>
    <w:p>
      <w:pPr>
        <w:ind w:left="840" w:hanging="184"/>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License Grant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Licensed IP Rights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945"/>
        <w:spacing w:after="0" w:line="308" w:lineRule="auto"/>
        <w:rPr>
          <w:sz w:val="20"/>
          <w:szCs w:val="20"/>
          <w:color w:val="auto"/>
        </w:rPr>
      </w:pPr>
      <w:r>
        <w:rPr>
          <w:rFonts w:ascii="Arial" w:cs="Arial" w:eastAsia="Arial" w:hAnsi="Arial"/>
          <w:sz w:val="17"/>
          <w:szCs w:val="17"/>
          <w:color w:val="auto"/>
        </w:rPr>
        <w:t>3.1.1 Lindstrom hereby grants to Imprimis and its Affiliates an exclusive, worldwide license under the Licensed IP Rights to conduct research and to develop, formulate, perform, make, have made, use, offer for sale, sell, sub-license, import and export Products.</w:t>
      </w:r>
    </w:p>
    <w:p>
      <w:pPr>
        <w:spacing w:after="0" w:line="147"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3.1.2 Imprimis shall have the right to grant sublicenses, through multiple tiers, under the Licensed IP Rights to Third Parties and Affiliates consistent with the terms of this Agreement. Imprimis shall provide Lindstrom with a copy of each executed sublicense agreement; provided, however, that Imprimis shall have the right to redact any confidential information from each such sublicense agreement. Any such sublicenses shall not diminish Imprimis’ obligations under this Agreement, and Imprimis shall remain primarily liable for such obligations and for any breach of any provision of this Agreement by its Affiliates or sublicensees.</w:t>
      </w:r>
    </w:p>
    <w:p>
      <w:pPr>
        <w:spacing w:after="0" w:line="188"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3.1.3 During the term of this Agreement, Lindstrom shall not grant to a Third Party any licenses that would become effective during the term of this Agreement, related to products that may reasonably be considered competitive to the Product, unless Lindstrom first offers to license such product or technology to Imprimis and Imprimis chooses not to so license such product or technology, then Lindstrom may license such product or technology to a third party on no less favorable terms than were offered to Imprimis.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6" w:name="page67"/>
    <w:bookmarkEnd w:id="66"/>
    <w:p>
      <w:pPr>
        <w:jc w:val="both"/>
        <w:ind w:firstLine="1297"/>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Availability of the Licensed IP Rights</w:t>
      </w:r>
      <w:r>
        <w:rPr>
          <w:rFonts w:ascii="Arial" w:cs="Arial" w:eastAsia="Arial" w:hAnsi="Arial"/>
          <w:sz w:val="18"/>
          <w:szCs w:val="18"/>
          <w:color w:val="auto"/>
        </w:rPr>
        <w:t>. Lindstrom shall provide Imprimis with a copy of all information available to Lindstrom relating to the Licensed IP Rights and/or Product.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Technical Assistance</w:t>
      </w:r>
      <w:r>
        <w:rPr>
          <w:rFonts w:ascii="Arial" w:cs="Arial" w:eastAsia="Arial" w:hAnsi="Arial"/>
          <w:sz w:val="18"/>
          <w:szCs w:val="18"/>
          <w:color w:val="auto"/>
        </w:rPr>
        <w:t>. During the term of this Agreement, Lindstrom shall provide such technical assistance to Imprimis as Imprimis reasonably requests regarding the Licensed IP Rights and/or Product. Imprimis shall pay to Lindstrom his documented reasonable pre-approved out-of-pocket costs of providing such technical assistance.</w:t>
      </w:r>
    </w:p>
    <w:p>
      <w:pPr>
        <w:spacing w:after="0" w:line="181" w:lineRule="exact"/>
        <w:rPr>
          <w:sz w:val="20"/>
          <w:szCs w:val="20"/>
          <w:color w:val="auto"/>
        </w:rPr>
      </w:pPr>
    </w:p>
    <w:p>
      <w:pPr>
        <w:ind w:left="1300" w:right="8040" w:hanging="644"/>
        <w:spacing w:after="0" w:line="563" w:lineRule="auto"/>
        <w:tabs>
          <w:tab w:leader="none" w:pos="83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Royalties and Milestone Payments</w:t>
      </w:r>
      <w:r>
        <w:rPr>
          <w:rFonts w:ascii="Arial" w:cs="Arial" w:eastAsia="Arial" w:hAnsi="Arial"/>
          <w:sz w:val="16"/>
          <w:szCs w:val="16"/>
          <w:color w:val="auto"/>
        </w:rPr>
        <w:t xml:space="preserve">. 4.1 </w:t>
      </w:r>
      <w:r>
        <w:rPr>
          <w:rFonts w:ascii="Arial" w:cs="Arial" w:eastAsia="Arial" w:hAnsi="Arial"/>
          <w:sz w:val="16"/>
          <w:szCs w:val="16"/>
          <w:u w:val="single" w:color="auto"/>
          <w:color w:val="auto"/>
        </w:rPr>
        <w:t>Milestone Payments</w:t>
      </w:r>
      <w:r>
        <w:rPr>
          <w:rFonts w:ascii="Arial" w:cs="Arial" w:eastAsia="Arial" w:hAnsi="Arial"/>
          <w:sz w:val="16"/>
          <w:szCs w:val="16"/>
          <w:color w:val="auto"/>
        </w:rPr>
        <w:t>.</w:t>
      </w:r>
    </w:p>
    <w:p>
      <w:pPr>
        <w:spacing w:after="0" w:line="1"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Initial Milestone Payment</w:t>
      </w:r>
      <w:r>
        <w:rPr>
          <w:rFonts w:ascii="Arial" w:cs="Arial" w:eastAsia="Arial" w:hAnsi="Arial"/>
          <w:sz w:val="18"/>
          <w:szCs w:val="18"/>
          <w:color w:val="auto"/>
        </w:rPr>
        <w:t>. Imprimis shall pay to Lindstrom an amount equal to Fifty Thousand Dollars ($50,000) within fourteen (14) days after Effective Date.</w:t>
      </w:r>
    </w:p>
    <w:p>
      <w:pPr>
        <w:spacing w:after="0" w:line="170" w:lineRule="exact"/>
        <w:rPr>
          <w:sz w:val="20"/>
          <w:szCs w:val="20"/>
          <w:color w:val="auto"/>
        </w:rPr>
      </w:pPr>
    </w:p>
    <w:p>
      <w:pPr>
        <w:ind w:right="20" w:firstLine="1945"/>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Periodic Milestone Payments</w:t>
      </w:r>
      <w:r>
        <w:rPr>
          <w:rFonts w:ascii="Arial" w:cs="Arial" w:eastAsia="Arial" w:hAnsi="Arial"/>
          <w:sz w:val="18"/>
          <w:szCs w:val="18"/>
          <w:color w:val="auto"/>
        </w:rPr>
        <w:t>. Following the First Commercial Sale of the Product, Imprimis shall pay to Lindstrom the following milestone payments as follows:</w:t>
      </w:r>
    </w:p>
    <w:p>
      <w:pPr>
        <w:spacing w:after="0" w:line="170" w:lineRule="exact"/>
        <w:rPr>
          <w:sz w:val="20"/>
          <w:szCs w:val="20"/>
          <w:color w:val="auto"/>
        </w:rPr>
      </w:pPr>
    </w:p>
    <w:p>
      <w:pPr>
        <w:ind w:firstLine="2601"/>
        <w:spacing w:after="0" w:line="277" w:lineRule="auto"/>
        <w:tabs>
          <w:tab w:leader="none" w:pos="28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amount equal to Fifty Thousand Dollars ($50,000) within forty-five (45) days after the date that cumulative Net Sales reach Fifty Thousand Dollars ($50,000); and</w:t>
      </w:r>
    </w:p>
    <w:p>
      <w:pPr>
        <w:spacing w:after="0" w:line="170" w:lineRule="exact"/>
        <w:rPr>
          <w:rFonts w:ascii="Arial" w:cs="Arial" w:eastAsia="Arial" w:hAnsi="Arial"/>
          <w:sz w:val="18"/>
          <w:szCs w:val="18"/>
          <w:color w:val="auto"/>
        </w:rPr>
      </w:pPr>
    </w:p>
    <w:p>
      <w:pPr>
        <w:ind w:firstLine="2601"/>
        <w:spacing w:after="0" w:line="277" w:lineRule="auto"/>
        <w:tabs>
          <w:tab w:leader="none" w:pos="28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additional amount equal to Fifty Thousand Dollars ($50,000) within forty-five (45) days after the date that cumulative Net Sales reach One Hundred Thousand Dollars ($100,000).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4.2.1 During the applicable Royalty Period, subject to the terms and conditions of this Agreement, Imprimis shall pay to Lindstrom royalty payments equal to six percent (6%) of Net Sales for each Product that is not a Combination Product.</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4.2.2 During the applicable Royalty Period, subject to the terms and conditions of this Agreement, Imprimis shall pay to Lindstrom royalty payments equal to three percent (3%) of Net Sales for Combination Products.</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4.2.3 The parties have mutually agreed that this Agreement and the royalty structure set forth above reflects an arms’ length, fair and reasonable allocation of the financial benefit accruing to each party from the development and commercialization of the Licensed IP Rights throughout the entire Royalty Period for a Product.</w:t>
      </w:r>
    </w:p>
    <w:p>
      <w:pPr>
        <w:spacing w:after="0" w:line="18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Royalty Reports</w:t>
      </w:r>
      <w:r>
        <w:rPr>
          <w:rFonts w:ascii="Arial" w:cs="Arial" w:eastAsia="Arial" w:hAnsi="Arial"/>
          <w:sz w:val="16"/>
          <w:szCs w:val="16"/>
          <w:color w:val="auto"/>
        </w:rPr>
        <w:t>. Within forty-five (45) days after the end of each calendar quarter during the applicable Royalty Period, Imprimis shall deliver to Lindstrom a report setting forth for such calendar quarter (a) the calculation of the applicable royalties due under this Agreement for the sale of each Product; and (b) the volume of all Product(s) provided to Third Parties. Imprimis shall remit the total payments due for the sale of Product during such calendar quarter at the time such report is made. No such reports or payments will be due for any Product before the First Commercial Sale of such Product.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7" w:name="page68"/>
    <w:bookmarkEnd w:id="67"/>
    <w:p>
      <w:pPr>
        <w:ind w:left="13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Audits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9" w:lineRule="auto"/>
        <w:rPr>
          <w:sz w:val="20"/>
          <w:szCs w:val="20"/>
          <w:color w:val="auto"/>
        </w:rPr>
      </w:pPr>
      <w:r>
        <w:rPr>
          <w:rFonts w:ascii="Arial" w:cs="Arial" w:eastAsia="Arial" w:hAnsi="Arial"/>
          <w:sz w:val="17"/>
          <w:szCs w:val="17"/>
          <w:color w:val="auto"/>
        </w:rPr>
        <w:t>4.4.1 Upon the written request of Lindstrom and not more than once in each calendar year, Imprimis shall permit an independent certified public accounting firm of nationally recognized standing selected by Lindstrom and reasonably acceptable to Imprimis, at Lindstrom’s expense, to have access during normal business hours to such of the financial records of Imprimis as may be reasonably necessary to verify the accuracy of the payment reports hereunder for the four (4) calendar quarters immediately prior to the date of such request.</w:t>
      </w:r>
    </w:p>
    <w:p>
      <w:pPr>
        <w:spacing w:after="0" w:line="171"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4.4.2 If such accounting firm concludes that additional amounts were owed during the audited period, Imprimis shall pay such additional amounts within thirty (30) days after the date Lindstrom delivers to Imprimis such accounting firm’s written report so concluding. The fees charged by such accounting firm shall be paid by Lindstrom; </w:t>
      </w:r>
      <w:r>
        <w:rPr>
          <w:rFonts w:ascii="Arial" w:cs="Arial" w:eastAsia="Arial" w:hAnsi="Arial"/>
          <w:sz w:val="18"/>
          <w:szCs w:val="18"/>
          <w:i w:val="1"/>
          <w:iCs w:val="1"/>
          <w:color w:val="auto"/>
        </w:rPr>
        <w:t>provided, however</w:t>
      </w:r>
      <w:r>
        <w:rPr>
          <w:rFonts w:ascii="Arial" w:cs="Arial" w:eastAsia="Arial" w:hAnsi="Arial"/>
          <w:sz w:val="18"/>
          <w:szCs w:val="18"/>
          <w:color w:val="auto"/>
        </w:rPr>
        <w:t>, if the audit discloses that the royalties payable by Imprimis for such period are more than one hundred ten percent (110%) of the royalties actually paid for such period, then Imprimis shall pay the reasonable fees and expenses charged by such accounting firm.</w:t>
      </w:r>
    </w:p>
    <w:p>
      <w:pPr>
        <w:spacing w:after="0" w:line="188"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4.4.3 Lindstrom shall cause its accounting firm to retain all financial information subject to review under this Section 4.4 in strict confidence;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Imprimis shall have the right to require that such accounting firm, prior to conducting such audit, enter into an appropriate non-disclosure agreement with Imprimis regarding such financial information. The accounting firm shall disclose to Lindstrom only whether the reports are correct or not and the amount of any discrepancy. No other information shall be shared. Lindstrom shall treat all such financial information as Imprimis’ Confidential Information (defined 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4.5.1 </w:t>
      </w:r>
      <w:r>
        <w:rPr>
          <w:rFonts w:ascii="Arial" w:cs="Arial" w:eastAsia="Arial" w:hAnsi="Arial"/>
          <w:sz w:val="18"/>
          <w:szCs w:val="18"/>
          <w:u w:val="single" w:color="auto"/>
          <w:color w:val="auto"/>
        </w:rPr>
        <w:t>Payment Terms</w:t>
      </w:r>
      <w:r>
        <w:rPr>
          <w:rFonts w:ascii="Arial" w:cs="Arial" w:eastAsia="Arial" w:hAnsi="Arial"/>
          <w:sz w:val="18"/>
          <w:szCs w:val="18"/>
          <w:color w:val="auto"/>
        </w:rPr>
        <w:t>. The royalties shown to have accrued by each report provided for under Section 4.3 shall be due on the date such report is due. Payment of royalties in whole or in part may be made in advance of such due date.</w:t>
      </w:r>
    </w:p>
    <w:p>
      <w:pPr>
        <w:spacing w:after="0" w:line="170"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4.5.2 </w:t>
      </w:r>
      <w:r>
        <w:rPr>
          <w:rFonts w:ascii="Arial" w:cs="Arial" w:eastAsia="Arial" w:hAnsi="Arial"/>
          <w:sz w:val="18"/>
          <w:szCs w:val="18"/>
          <w:u w:val="single" w:color="auto"/>
          <w:color w:val="auto"/>
        </w:rPr>
        <w:t>Withholding Taxes</w:t>
      </w:r>
      <w:r>
        <w:rPr>
          <w:rFonts w:ascii="Arial" w:cs="Arial" w:eastAsia="Arial" w:hAnsi="Arial"/>
          <w:sz w:val="18"/>
          <w:szCs w:val="18"/>
          <w:color w:val="auto"/>
        </w:rPr>
        <w:t>. Imprimis shall be entitled to deduct the amount of any withholding taxes, value-added taxes or other taxes, levies or charges with respect to such amounts, other than United States taxes, payable by Imprimis, its sublicensees, or its or their respective Affiliates, or any taxes required to be withheld by Imprimis, its sublicensees, or its or their respective Affiliates, to the extent Imprimis, its sublicensees, or its or their respective Affiliates pay to the appropriate governmental authority on behalf of Lindstrom such taxes, levies or charges. Imprimis shall use reasonable efforts to minimize any such taxes, levies or charges required to be withheld on behalf of Lindstrom by Imprimis, its sublicensees, or its or their respective Affiliates. Imprimis promptly shall deliver to Lindstrom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8" w:name="page69"/>
    <w:bookmarkEnd w:id="68"/>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party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shall defend, indemnify and hold the other party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harmless from all losses, liabilities, damages and expenses (including reasonable attorneys’ fees and costs) incurred as a result of any Third Party claim, demand, action or proceeding to the extent arising out of any breach by the Indemnifying Party of any representation, warranty or covenant set forth in this Agreement, or the gross negligence or willful misconduct of the Indemnifying Party in the performance of its obligations under this Agreement.</w:t>
      </w:r>
    </w:p>
    <w:p>
      <w:pPr>
        <w:spacing w:after="0" w:line="154"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w:t>
      </w:r>
      <w:r>
        <w:rPr>
          <w:rFonts w:ascii="Arial" w:cs="Arial" w:eastAsia="Arial" w:hAnsi="Arial"/>
          <w:sz w:val="17"/>
          <w:szCs w:val="17"/>
          <w:color w:val="auto"/>
        </w:rPr>
        <w:t>. The Indemnified Party promptly shall notify the Indemnifying Party of any liability or action in respect of which the Indemnified Party intends to claim such indemnification, and the Indemnifying Party shall have the right to assume the defense thereof with counsel selected by the Indemnifying Party. The indemnity agreement in this Section shall not apply to amounts paid in settlement of any loss, claim, damage, liability or action if such settlement is effected without the consent of the Indemnifying Party, which consent shall not be unreasonably withheld, delayed or conditioned. The failure to deliver notice to the Indemnifying Party within a reasonable time after the commencement of any such action, if prejudicial to its ability to defend such action, shall relieve the Indemnifying Party of any liability to the Indemnified Party under this Section, but the omission so to deliver notice to the Indemnifying Party will not relieve it of any liability that it may have to the Indemnified Party otherwise than under this Section. The Indemnified Party under this Section, its employees and agents, shall cooperate fully with the Indemnifying Party and its legal representatives in the investigation and defense of any action, claim or liability covered by this indemnification.</w:t>
      </w:r>
    </w:p>
    <w:p>
      <w:pPr>
        <w:spacing w:after="0" w:line="182" w:lineRule="exact"/>
        <w:rPr>
          <w:sz w:val="20"/>
          <w:szCs w:val="20"/>
          <w:color w:val="auto"/>
        </w:rPr>
      </w:pPr>
    </w:p>
    <w:p>
      <w:pPr>
        <w:ind w:left="840" w:hanging="18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Patents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Patent Prosecution and Maintenance</w:t>
      </w:r>
      <w:r>
        <w:rPr>
          <w:rFonts w:ascii="Arial" w:cs="Arial" w:eastAsia="Arial" w:hAnsi="Arial"/>
          <w:sz w:val="18"/>
          <w:szCs w:val="18"/>
          <w:color w:val="auto"/>
        </w:rPr>
        <w:t>. Lindstrom shall have the right at his sole expense to control the preparation, filing, prosecution and maintenance of all patents and patent applications within the Licensed IP Rights. If Lindstrom elects not to file any such patent application in any country, or decides to abandon any such pending application or issued patent in any country, Lindstrom shall provide written notice to Imprimis, and Imprimis shall have the right at its sole expense to assume control of the preparation, filing, prosecution and maintenance of such patent application or patent at its own expense.</w:t>
      </w:r>
    </w:p>
    <w:p>
      <w:pPr>
        <w:spacing w:after="0" w:line="18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Enforcement of Patent Rights</w:t>
      </w:r>
      <w:r>
        <w:rPr>
          <w:rFonts w:ascii="Arial" w:cs="Arial" w:eastAsia="Arial" w:hAnsi="Arial"/>
          <w:sz w:val="17"/>
          <w:szCs w:val="17"/>
          <w:color w:val="auto"/>
        </w:rPr>
        <w:t>. Imprimis shall have the right at its sole expense and in its sole discretion to control the enforcement and defense of the patents within the Licensed IP Rights against infringers of the Product, and to retain all amounts recovered upon the final judgment or settlement thereof. Lindstrom shall, at the request of Imprimis, reasonably cooperate and testify when requested and make available relevant documents, records, information, samples and other items in connection with any action to enforce the patents within the Licensed IP Rights.</w:t>
      </w:r>
    </w:p>
    <w:p>
      <w:pPr>
        <w:spacing w:after="0" w:line="171"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unless terminated earlier pursuant to Section 7.2, shall continue in effect until the expiration of Imprimis’ obligation to pay royalties to Lindstrom under this Agreement. The license grant under this Agreement shall be effective at all times prior to termination or expiration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9" w:name="page70"/>
    <w:bookmarkEnd w:id="69"/>
    <w:p>
      <w:pPr>
        <w:ind w:left="130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3" w:lineRule="auto"/>
        <w:rPr>
          <w:sz w:val="20"/>
          <w:szCs w:val="20"/>
          <w:color w:val="auto"/>
        </w:rPr>
      </w:pPr>
      <w:r>
        <w:rPr>
          <w:rFonts w:ascii="Arial" w:cs="Arial" w:eastAsia="Arial" w:hAnsi="Arial"/>
          <w:sz w:val="17"/>
          <w:szCs w:val="17"/>
          <w:color w:val="auto"/>
        </w:rPr>
        <w:t xml:space="preserve">7.2.1 </w:t>
      </w:r>
      <w:r>
        <w:rPr>
          <w:rFonts w:ascii="Arial" w:cs="Arial" w:eastAsia="Arial" w:hAnsi="Arial"/>
          <w:sz w:val="17"/>
          <w:szCs w:val="17"/>
          <w:u w:val="single" w:color="auto"/>
          <w:color w:val="auto"/>
        </w:rPr>
        <w:t>Termination by Imprimis</w:t>
      </w:r>
      <w:r>
        <w:rPr>
          <w:rFonts w:ascii="Arial" w:cs="Arial" w:eastAsia="Arial" w:hAnsi="Arial"/>
          <w:sz w:val="17"/>
          <w:szCs w:val="17"/>
          <w:color w:val="auto"/>
        </w:rPr>
        <w:t>. Except as otherwise provided in Section 8.4, Imprimis may terminate this Agreement upon or after the breach of any material provision of this Agreement by Lindstrom if Lindstrom has not cured such breach within ninety (90) days after receipt of express written notice thereof by Imprimis; provided, however, if any default is not capable of being cured within such ninety (90) day period and Lindstrom is diligently undertaking to cure such default as soon as commercially feasible thereafter under the circumstances, Imprimis shall have no right to terminate this Agreement for cause. In addition to the rights set forth in the previous sentence, Imprimis shall have the right to terminate this Agreement at its option in its sole discretion upon one hundred eighty (180) days written notice to Lindstrom.</w:t>
      </w:r>
    </w:p>
    <w:p>
      <w:pPr>
        <w:spacing w:after="0" w:line="178"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Termination by Lindstrom</w:t>
      </w:r>
      <w:r>
        <w:rPr>
          <w:rFonts w:ascii="Arial" w:cs="Arial" w:eastAsia="Arial" w:hAnsi="Arial"/>
          <w:sz w:val="18"/>
          <w:szCs w:val="18"/>
          <w:color w:val="auto"/>
        </w:rPr>
        <w:t>. Except as otherwise provided in Section 8.4, Lindstrom may terminate this Agreement upon or after the breach of any material provision of this Agreement by Imprimis if Imprimis has not cured such breach within ninety (90) days after receipt of express written notice thereof by Lindstrom; provided, however, if any default is not capable of being cured within such ninety (90) day period and Imprimis is diligently undertaking to cure such default as soon as commercially feasible thereafter under the circumstances, Lindstrom shall have no right to terminate this Agreement.</w:t>
      </w:r>
    </w:p>
    <w:p>
      <w:pPr>
        <w:spacing w:after="0" w:line="188"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u w:val="single" w:color="auto"/>
          <w:color w:val="auto"/>
        </w:rPr>
        <w:t>Termination caused by Regulatory Mandate</w:t>
      </w:r>
      <w:r>
        <w:rPr>
          <w:rFonts w:ascii="Arial" w:cs="Arial" w:eastAsia="Arial" w:hAnsi="Arial"/>
          <w:sz w:val="18"/>
          <w:szCs w:val="18"/>
          <w:color w:val="auto"/>
        </w:rPr>
        <w:t>. If any state or federal regulatory body, including the FDA, interprets an existing or promulgates a new rule, law or regulation that prohibits or otherwise materially adversely affects the exercise of rights licensed to Imprimis under this Agreement, the parties shall use commercially reasonable efforts to take actions and/or amend this Agreement to promptly and adequately address and account for such rules, laws or regulations. If such actions do not adequately address and account for such rules, laws or regulations and/or the parties do not mutually agree on terms and conditions of an amendment to this Agreement that addresses and accounts for such rules, laws or regulations, then either party may terminate this Agreement upon written notice to the other party.</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Survival</w:t>
      </w:r>
      <w:r>
        <w:rPr>
          <w:rFonts w:ascii="Arial" w:cs="Arial" w:eastAsia="Arial" w:hAnsi="Arial"/>
          <w:sz w:val="18"/>
          <w:szCs w:val="18"/>
          <w:color w:val="auto"/>
        </w:rPr>
        <w:t>. Sections 4 (solely with respect to outstanding payment obligations as set forth therein), 5, 7.3 and 8 shall survive termination or expiration of this Agreement.</w:t>
      </w:r>
    </w:p>
    <w:p>
      <w:pPr>
        <w:spacing w:after="0" w:line="170"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Neither party nor its Affiliates shall make any public announcements concerning matters regarding this Agreement or the negotiation thereof without the prior written consent of the other party unless such disclosure is required by law, in which case the announcing party shall provide the other party with reasonable notice of such disclosure sufficient to make written comments concerning such disclosure.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0" w:name="page71"/>
    <w:bookmarkEnd w:id="70"/>
    <w:p>
      <w:pPr>
        <w:jc w:val="both"/>
        <w:ind w:firstLine="1297"/>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shall be void.</w:t>
      </w:r>
    </w:p>
    <w:p>
      <w:pPr>
        <w:spacing w:after="0" w:line="18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party hereby agrees, and agrees to cause its Affiliates, stockholders, members, and representatives, to keep (a) the terms of this Agreement and (b) any non-public, confidential or proprietary information of the other party confidential (collectively, the “Confidential Information”) and, without limiting its other obligations hereunder, shall treat and safeguard such Confidential Information with the same degree of care with which it treats its own confidential information (but in no less a reasonable degree of care) and shall limit access to such Confidential Information to such employees, consultants, representatives and professional advisors of such party who reasonably require such access in connection with the activities contemplated by this Agreement or otherwise to administer the terms of this Agreement. To the extent practicable, in the event that a party is required to disclose the Confidential Information pursuant to any law, regulation, or judicial or administrative directive, such party will promptly notify the other party in order to allow the other party a reasonable period of time to obtain protective or confidential treatment of such terms before they are disclosed. Either party may disclose the terms of this Agreement (i) to the extent required, in the reasonable opinion of such party’s legal counsel, to comply with applicable laws, rules or regulations, including, without limitation, the rules and regulations promulgated by the United States Securities and Exchange Commission; and (ii) in connection with a prospective acquisition, merger, financing, or license for such party, to prospective acquirers or merger candidates or to existing or potential investors or licensees,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prior to such disclosure each such candidate or investor will agree to be bound by obligations of confidentiality and non-use at least equivalent in scope to those set forth in this Section. Each party acknowledges that it will be impossible to measure in money the damage to the other party if such party fails to comply with the obligations imposed by this Section, and that, in the event of any such failure, the non-disclosing party may not have an adequate remedy at law or in damages. Accordingly, each party agrees that injunctive relief or other equitable remedy, in addition to remedies at law or damages, is an appropriate remedy for any such failure and will not oppose the granting of such relief on the basis that the disclosing party has an adequate remedy at law. Each party agrees that it will not seek, and agrees to waive any requirement for, the securing or posting of a bond in connection with the non-disclosing party seeking or obtaining such equitable relief.</w:t>
      </w:r>
    </w:p>
    <w:p>
      <w:pPr>
        <w:spacing w:after="0" w:line="39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but not limited to fire, floods, embargoes, war, acts of war (whether war be declared or not), acts of terrorism, insurrections, riots, civil commotions, strikes, lockouts or other labor disturbances, acts of God or acts, omissions or delays in acting by any governmental authority or the other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1" w:name="page72"/>
    <w:bookmarkEnd w:id="71"/>
    <w:p>
      <w:pPr>
        <w:jc w:val="both"/>
        <w:ind w:firstLine="1297"/>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without regard to the conflicts of law principles thereof.</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and each additional agreement and document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Notices</w:t>
      </w:r>
      <w:r>
        <w:rPr>
          <w:rFonts w:ascii="Arial" w:cs="Arial" w:eastAsia="Arial" w:hAnsi="Arial"/>
          <w:sz w:val="17"/>
          <w:szCs w:val="17"/>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pacing w:after="0" w:line="148"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4560" w:type="dxa"/>
            <w:vAlign w:val="bottom"/>
            <w:gridSpan w:val="2"/>
          </w:tcPr>
          <w:p>
            <w:pPr>
              <w:spacing w:after="0"/>
              <w:rPr>
                <w:sz w:val="20"/>
                <w:szCs w:val="20"/>
                <w:color w:val="auto"/>
              </w:rPr>
            </w:pPr>
            <w:r>
              <w:rPr>
                <w:rFonts w:ascii="Arial" w:cs="Arial" w:eastAsia="Arial" w:hAnsi="Arial"/>
                <w:sz w:val="18"/>
                <w:szCs w:val="18"/>
                <w:color w:val="auto"/>
              </w:rPr>
              <w:t>If to Lindstrom:</w:t>
            </w:r>
          </w:p>
        </w:tc>
        <w:tc>
          <w:tcPr>
            <w:tcW w:w="2420" w:type="dxa"/>
            <w:vAlign w:val="bottom"/>
            <w:gridSpan w:val="2"/>
          </w:tcPr>
          <w:p>
            <w:pPr>
              <w:spacing w:after="0"/>
              <w:rPr>
                <w:sz w:val="20"/>
                <w:szCs w:val="20"/>
                <w:color w:val="auto"/>
              </w:rPr>
            </w:pPr>
            <w:r>
              <w:rPr>
                <w:rFonts w:ascii="Arial" w:cs="Arial" w:eastAsia="Arial" w:hAnsi="Arial"/>
                <w:sz w:val="18"/>
                <w:szCs w:val="18"/>
                <w:color w:val="auto"/>
              </w:rPr>
              <w:t>If to Imprimis:</w:t>
            </w:r>
          </w:p>
        </w:tc>
      </w:tr>
      <w:tr>
        <w:trPr>
          <w:trHeight w:val="20"/>
        </w:trPr>
        <w:tc>
          <w:tcPr>
            <w:tcW w:w="110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38"/>
        </w:trPr>
        <w:tc>
          <w:tcPr>
            <w:tcW w:w="4560" w:type="dxa"/>
            <w:vAlign w:val="bottom"/>
            <w:gridSpan w:val="2"/>
          </w:tcPr>
          <w:p>
            <w:pPr>
              <w:spacing w:after="0"/>
              <w:rPr>
                <w:sz w:val="20"/>
                <w:szCs w:val="20"/>
                <w:color w:val="auto"/>
              </w:rPr>
            </w:pPr>
            <w:r>
              <w:rPr>
                <w:rFonts w:ascii="Arial" w:cs="Arial" w:eastAsia="Arial" w:hAnsi="Arial"/>
                <w:sz w:val="18"/>
                <w:szCs w:val="18"/>
                <w:color w:val="auto"/>
              </w:rPr>
              <w:t>Dr. Richard L. Lindstrom, M.D.</w:t>
            </w:r>
          </w:p>
        </w:tc>
        <w:tc>
          <w:tcPr>
            <w:tcW w:w="2420" w:type="dxa"/>
            <w:vAlign w:val="bottom"/>
            <w:gridSpan w:val="2"/>
          </w:tcPr>
          <w:p>
            <w:pPr>
              <w:spacing w:after="0"/>
              <w:rPr>
                <w:sz w:val="20"/>
                <w:szCs w:val="20"/>
                <w:color w:val="auto"/>
              </w:rPr>
            </w:pPr>
            <w:r>
              <w:rPr>
                <w:rFonts w:ascii="Arial" w:cs="Arial" w:eastAsia="Arial" w:hAnsi="Arial"/>
                <w:sz w:val="18"/>
                <w:szCs w:val="18"/>
                <w:color w:val="auto"/>
                <w:w w:val="97"/>
              </w:rPr>
              <w:t>Imprimis Pharmaceuticals, Inc.</w:t>
            </w:r>
          </w:p>
        </w:tc>
      </w:tr>
      <w:tr>
        <w:trPr>
          <w:trHeight w:val="216"/>
        </w:trPr>
        <w:tc>
          <w:tcPr>
            <w:tcW w:w="1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Attention: Mark L. Baum</w:t>
            </w:r>
          </w:p>
        </w:tc>
      </w:tr>
      <w:tr>
        <w:trPr>
          <w:trHeight w:val="216"/>
        </w:trPr>
        <w:tc>
          <w:tcPr>
            <w:tcW w:w="1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w w:val="90"/>
              </w:rPr>
              <w:t>12264 El Camino Real, Suite 350</w:t>
            </w:r>
          </w:p>
        </w:tc>
      </w:tr>
      <w:tr>
        <w:trPr>
          <w:trHeight w:val="230"/>
        </w:trPr>
        <w:tc>
          <w:tcPr>
            <w:tcW w:w="11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San Diego, California 92130</w:t>
            </w:r>
          </w:p>
        </w:tc>
      </w:tr>
    </w:tbl>
    <w:p>
      <w:pPr>
        <w:spacing w:after="0" w:line="20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each party has caused a duly authorized representative to execute and deliver this Agreement as of the date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LINDSTROM</w:t>
            </w:r>
          </w:p>
        </w:tc>
        <w:tc>
          <w:tcPr>
            <w:tcW w:w="2520" w:type="dxa"/>
            <w:vAlign w:val="bottom"/>
          </w:tcPr>
          <w:p>
            <w:pPr>
              <w:spacing w:after="0"/>
              <w:rPr>
                <w:sz w:val="20"/>
                <w:szCs w:val="20"/>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IMPRIMIS</w:t>
            </w:r>
          </w:p>
        </w:tc>
        <w:tc>
          <w:tcPr>
            <w:tcW w:w="0" w:type="dxa"/>
            <w:vAlign w:val="bottom"/>
          </w:tcPr>
          <w:p>
            <w:pPr>
              <w:spacing w:after="0"/>
              <w:rPr>
                <w:sz w:val="1"/>
                <w:szCs w:val="1"/>
                <w:color w:val="auto"/>
              </w:rPr>
            </w:pP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Dr. Richard L. Lindstrom</w:t>
            </w:r>
          </w:p>
        </w:tc>
        <w:tc>
          <w:tcPr>
            <w:tcW w:w="2520" w:type="dxa"/>
            <w:vAlign w:val="bottom"/>
          </w:tcPr>
          <w:p>
            <w:pPr>
              <w:spacing w:after="0"/>
              <w:rPr>
                <w:sz w:val="24"/>
                <w:szCs w:val="24"/>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Imprimis Pharmaceuticals, Inc.</w:t>
            </w:r>
          </w:p>
        </w:tc>
        <w:tc>
          <w:tcPr>
            <w:tcW w:w="0" w:type="dxa"/>
            <w:vAlign w:val="bottom"/>
          </w:tcPr>
          <w:p>
            <w:pPr>
              <w:spacing w:after="0"/>
              <w:rPr>
                <w:sz w:val="1"/>
                <w:szCs w:val="1"/>
                <w:color w:val="auto"/>
              </w:rPr>
            </w:pPr>
          </w:p>
        </w:tc>
      </w:tr>
      <w:tr>
        <w:trPr>
          <w:trHeight w:val="439"/>
        </w:trPr>
        <w:tc>
          <w:tcPr>
            <w:tcW w:w="5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520" w:type="dxa"/>
            <w:vAlign w:val="bottom"/>
            <w:tcBorders>
              <w:bottom w:val="single" w:sz="8" w:color="auto"/>
            </w:tcBorders>
          </w:tcPr>
          <w:p>
            <w:pPr>
              <w:spacing w:after="0"/>
              <w:rPr>
                <w:sz w:val="24"/>
                <w:szCs w:val="24"/>
                <w:color w:val="auto"/>
              </w:rPr>
            </w:pPr>
          </w:p>
        </w:tc>
        <w:tc>
          <w:tcPr>
            <w:tcW w:w="780" w:type="dxa"/>
            <w:vAlign w:val="bottom"/>
            <w:vMerge w:val="restart"/>
          </w:tcPr>
          <w:p>
            <w:pPr>
              <w:ind w:left="2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Dr. Richard L. Lindstrom</w:t>
            </w:r>
          </w:p>
        </w:tc>
        <w:tc>
          <w:tcPr>
            <w:tcW w:w="25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Mark L. Baum</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An individual</w:t>
            </w:r>
          </w:p>
        </w:tc>
        <w:tc>
          <w:tcPr>
            <w:tcW w:w="252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4/6/2018</w:t>
            </w:r>
          </w:p>
        </w:tc>
        <w:tc>
          <w:tcPr>
            <w:tcW w:w="2520" w:type="dxa"/>
            <w:vAlign w:val="bottom"/>
            <w:tcBorders>
              <w:bottom w:val="single" w:sz="8" w:color="auto"/>
            </w:tcBorders>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4/10/2018</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320" w:type="dxa"/>
            <w:vAlign w:val="bottom"/>
            <w:gridSpan w:val="3"/>
          </w:tcPr>
          <w:p>
            <w:pPr>
              <w:ind w:left="660"/>
              <w:spacing w:after="0"/>
              <w:rPr>
                <w:sz w:val="20"/>
                <w:szCs w:val="20"/>
                <w:color w:val="auto"/>
              </w:rPr>
            </w:pPr>
            <w:r>
              <w:rPr>
                <w:rFonts w:ascii="Arial" w:cs="Arial" w:eastAsia="Arial" w:hAnsi="Arial"/>
                <w:sz w:val="18"/>
                <w:szCs w:val="18"/>
                <w:color w:val="auto"/>
              </w:rPr>
              <w:t>[Signature Page to Amended and Restated License Agreement]</w:t>
            </w:r>
          </w:p>
        </w:tc>
        <w:tc>
          <w:tcPr>
            <w:tcW w:w="0" w:type="dxa"/>
            <w:vAlign w:val="bottom"/>
          </w:tcPr>
          <w:p>
            <w:pPr>
              <w:spacing w:after="0"/>
              <w:rPr>
                <w:sz w:val="1"/>
                <w:szCs w:val="1"/>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Licensed Patent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USP 7,820,639</w:t>
      </w:r>
    </w:p>
    <w:p>
      <w:pPr>
        <w:spacing w:after="0" w:line="225" w:lineRule="exact"/>
        <w:rPr>
          <w:sz w:val="20"/>
          <w:szCs w:val="20"/>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Filed September 30, 2005</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Issued October 26, 2010</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OPHTHALMIC COMPOSITIONS INCLUDING LUBRICANT, DETURGESCENT AGENT, AND GLYCOSAMINOGLYCAN AND METHODS OF USING THE SAME</w:t>
      </w:r>
    </w:p>
    <w:p>
      <w:pPr>
        <w:spacing w:after="0" w:line="1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USP 8,551,974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Filed June 11, 2010</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Issued October 8, 2013</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OPHTHALMIC COMPOSITIONS INCLUDING LUBRICANT, DETURGESCENT AGENT, AND GLYCOSAMINOGLYCAN AND METHODS OF USING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74" w:name="page75"/>
    <w:bookmarkEnd w:id="7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ind w:left="10280"/>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of March 1, 2018 (the “Effective Date”) and is entered into by and between Dr. Richard L. Lindstrom, an individual (“Consultant”) and Surface Pharmaceuticals, Inc., a Delaware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2.1.This Agreement shall be effective as of Effective Date and shall terminate as of the date Services are completed (the “Term” as further defined and outlined in </w:t>
      </w:r>
      <w:r>
        <w:rPr>
          <w:rFonts w:ascii="Arial" w:cs="Arial" w:eastAsia="Arial" w:hAnsi="Arial"/>
          <w:sz w:val="18"/>
          <w:szCs w:val="18"/>
          <w:b w:val="1"/>
          <w:bCs w:val="1"/>
          <w:i w:val="1"/>
          <w:iCs w:val="1"/>
          <w:color w:val="auto"/>
        </w:rPr>
        <w:t>Appendix A</w:t>
      </w:r>
      <w:r>
        <w:rPr>
          <w:rFonts w:ascii="Arial" w:cs="Arial" w:eastAsia="Arial" w:hAnsi="Arial"/>
          <w:sz w:val="18"/>
          <w:szCs w:val="18"/>
          <w:color w:val="auto"/>
        </w:rPr>
        <w:t>) unless: (i) this Agreement is sooner terminated as provided in Section 2.2 below; or (ii) the parties agree in writing to extend the Term for a mutually agreed upon period.</w:t>
      </w:r>
    </w:p>
    <w:p>
      <w:pPr>
        <w:spacing w:after="0" w:line="181"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(“Consulting Fee”).</w:t>
      </w:r>
    </w:p>
    <w:p>
      <w:pPr>
        <w:spacing w:after="0" w:line="170" w:lineRule="exact"/>
        <w:rPr>
          <w:rFonts w:ascii="Arial" w:cs="Arial" w:eastAsia="Arial" w:hAnsi="Arial"/>
          <w:sz w:val="18"/>
          <w:szCs w:val="18"/>
          <w:color w:val="auto"/>
        </w:rPr>
      </w:pPr>
    </w:p>
    <w:p>
      <w:pPr>
        <w:ind w:left="1100" w:right="20" w:hanging="770"/>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both"/>
        <w:ind w:left="332" w:hanging="332"/>
        <w:spacing w:after="0" w:line="297" w:lineRule="auto"/>
        <w:tabs>
          <w:tab w:leader="none" w:pos="33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1092" w:hanging="770"/>
        <w:spacing w:after="0" w:line="277" w:lineRule="auto"/>
        <w:rPr>
          <w:rFonts w:ascii="Arial" w:cs="Arial" w:eastAsia="Arial" w:hAnsi="Arial"/>
          <w:sz w:val="16"/>
          <w:szCs w:val="16"/>
          <w:color w:val="auto"/>
        </w:rPr>
      </w:pPr>
      <w:r>
        <w:rPr>
          <w:rFonts w:ascii="Arial" w:cs="Arial" w:eastAsia="Arial" w:hAnsi="Arial"/>
          <w:sz w:val="18"/>
          <w:szCs w:val="18"/>
          <w:color w:val="auto"/>
        </w:rPr>
        <w:t>4.1.to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4.2.</w:t>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1092" w:hanging="770"/>
        <w:spacing w:after="0" w:line="277" w:lineRule="auto"/>
        <w:rPr>
          <w:rFonts w:ascii="Arial" w:cs="Arial" w:eastAsia="Arial" w:hAnsi="Arial"/>
          <w:sz w:val="16"/>
          <w:szCs w:val="16"/>
          <w:color w:val="auto"/>
        </w:rPr>
      </w:pPr>
      <w:r>
        <w:rPr>
          <w:rFonts w:ascii="Arial" w:cs="Arial" w:eastAsia="Arial" w:hAnsi="Arial"/>
          <w:sz w:val="18"/>
          <w:szCs w:val="18"/>
          <w:color w:val="auto"/>
        </w:rPr>
        <w:t>4.3.to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4.4.</w:t>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rFonts w:ascii="Arial" w:cs="Arial" w:eastAsia="Arial" w:hAnsi="Arial"/>
          <w:sz w:val="16"/>
          <w:szCs w:val="16"/>
          <w:color w:val="auto"/>
        </w:rPr>
      </w:pPr>
    </w:p>
    <w:p>
      <w:pPr>
        <w:ind w:left="1092" w:hanging="770"/>
        <w:spacing w:after="0" w:line="264" w:lineRule="auto"/>
        <w:rPr>
          <w:rFonts w:ascii="Arial" w:cs="Arial" w:eastAsia="Arial" w:hAnsi="Arial"/>
          <w:sz w:val="16"/>
          <w:szCs w:val="16"/>
          <w:color w:val="auto"/>
        </w:rPr>
      </w:pPr>
      <w:r>
        <w:rPr>
          <w:rFonts w:ascii="Arial" w:cs="Arial" w:eastAsia="Arial" w:hAnsi="Arial"/>
          <w:sz w:val="18"/>
          <w:szCs w:val="18"/>
          <w:color w:val="auto"/>
        </w:rPr>
        <w:t>4.5.to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4.6.</w:t>
      </w:r>
      <w:r>
        <w:rPr>
          <w:rFonts w:ascii="Arial" w:cs="Arial" w:eastAsia="Arial" w:hAnsi="Arial"/>
          <w:sz w:val="16"/>
          <w:szCs w:val="16"/>
          <w:color w:val="auto"/>
        </w:rPr>
        <w:t>that Confidential Information excludes information that:</w:t>
      </w:r>
    </w:p>
    <w:p>
      <w:pPr>
        <w:spacing w:after="0" w:line="225" w:lineRule="exact"/>
        <w:rPr>
          <w:rFonts w:ascii="Arial" w:cs="Arial" w:eastAsia="Arial" w:hAnsi="Arial"/>
          <w:sz w:val="16"/>
          <w:szCs w:val="16"/>
          <w:color w:val="auto"/>
        </w:rPr>
      </w:pPr>
    </w:p>
    <w:p>
      <w:pPr>
        <w:ind w:left="1752" w:hanging="658"/>
        <w:spacing w:after="0" w:line="308" w:lineRule="auto"/>
        <w:tabs>
          <w:tab w:leader="none" w:pos="1752" w:val="left"/>
        </w:tabs>
        <w:numPr>
          <w:ilvl w:val="1"/>
          <w:numId w:val="25"/>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752" w:hanging="658"/>
        <w:spacing w:after="0" w:line="277" w:lineRule="auto"/>
        <w:tabs>
          <w:tab w:leader="none" w:pos="1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752" w:hanging="658"/>
        <w:spacing w:after="0"/>
        <w:tabs>
          <w:tab w:leader="none" w:pos="1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752" w:hanging="658"/>
        <w:spacing w:after="0"/>
        <w:tabs>
          <w:tab w:leader="none" w:pos="1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752" w:right="20" w:hanging="658"/>
        <w:spacing w:after="0" w:line="286" w:lineRule="auto"/>
        <w:tabs>
          <w:tab w:leader="none" w:pos="1752" w:val="left"/>
        </w:tabs>
        <w:numPr>
          <w:ilvl w:val="1"/>
          <w:numId w:val="25"/>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77" w:name="page78"/>
    <w:bookmarkEnd w:id="77"/>
    <w:p>
      <w:pPr>
        <w:jc w:val="both"/>
        <w:ind w:left="1092" w:hanging="769"/>
        <w:spacing w:after="0" w:line="264" w:lineRule="auto"/>
        <w:tabs>
          <w:tab w:leader="none" w:pos="107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1092" w:hanging="769"/>
        <w:spacing w:after="0" w:line="277" w:lineRule="auto"/>
        <w:tabs>
          <w:tab w:leader="none" w:pos="1072"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1092" w:hanging="769"/>
        <w:spacing w:after="0" w:line="277" w:lineRule="auto"/>
        <w:tabs>
          <w:tab w:leader="none" w:pos="1072"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1092" w:hanging="769"/>
        <w:spacing w:after="0" w:line="302" w:lineRule="auto"/>
        <w:tabs>
          <w:tab w:leader="none" w:pos="107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54" w:lineRule="exact"/>
        <w:rPr>
          <w:sz w:val="20"/>
          <w:szCs w:val="20"/>
          <w:color w:val="auto"/>
        </w:rPr>
      </w:pPr>
    </w:p>
    <w:p>
      <w:pPr>
        <w:jc w:val="both"/>
        <w:ind w:left="332" w:hanging="332"/>
        <w:spacing w:after="0" w:line="268" w:lineRule="auto"/>
        <w:tabs>
          <w:tab w:leader="none" w:pos="33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7" w:lineRule="exact"/>
        <w:rPr>
          <w:rFonts w:ascii="Arial" w:cs="Arial" w:eastAsia="Arial" w:hAnsi="Arial"/>
          <w:sz w:val="17"/>
          <w:szCs w:val="17"/>
          <w:color w:val="auto"/>
        </w:rPr>
      </w:pPr>
    </w:p>
    <w:p>
      <w:pPr>
        <w:jc w:val="both"/>
        <w:ind w:left="332" w:hanging="332"/>
        <w:spacing w:after="0" w:line="264" w:lineRule="auto"/>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78" w:name="page79"/>
    <w:bookmarkEnd w:id="78"/>
    <w:p>
      <w:pPr>
        <w:jc w:val="both"/>
        <w:ind w:left="34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rPr>
              <w:t>COMPANY:</w:t>
            </w:r>
          </w:p>
        </w:tc>
        <w:tc>
          <w:tcPr>
            <w:tcW w:w="59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CONSULTANT:</w:t>
            </w:r>
          </w:p>
        </w:tc>
      </w:tr>
      <w:tr>
        <w:trPr>
          <w:trHeight w:val="432"/>
        </w:trPr>
        <w:tc>
          <w:tcPr>
            <w:tcW w:w="5520" w:type="dxa"/>
            <w:vAlign w:val="bottom"/>
            <w:gridSpan w:val="4"/>
          </w:tcPr>
          <w:p>
            <w:pPr>
              <w:spacing w:after="0"/>
              <w:rPr>
                <w:sz w:val="20"/>
                <w:szCs w:val="20"/>
                <w:color w:val="auto"/>
              </w:rPr>
            </w:pPr>
            <w:r>
              <w:rPr>
                <w:rFonts w:ascii="Arial" w:cs="Arial" w:eastAsia="Arial" w:hAnsi="Arial"/>
                <w:sz w:val="18"/>
                <w:szCs w:val="18"/>
                <w:color w:val="auto"/>
              </w:rPr>
              <w:t>SURFACE PHARMACEUTICALS, INC.</w:t>
            </w:r>
          </w:p>
        </w:tc>
        <w:tc>
          <w:tcPr>
            <w:tcW w:w="5900" w:type="dxa"/>
            <w:vAlign w:val="bottom"/>
            <w:gridSpan w:val="2"/>
          </w:tcPr>
          <w:p>
            <w:pPr>
              <w:ind w:left="200"/>
              <w:spacing w:after="0"/>
              <w:rPr>
                <w:sz w:val="20"/>
                <w:szCs w:val="20"/>
                <w:color w:val="auto"/>
              </w:rPr>
            </w:pPr>
            <w:r>
              <w:rPr>
                <w:rFonts w:ascii="Arial" w:cs="Arial" w:eastAsia="Arial" w:hAnsi="Arial"/>
                <w:sz w:val="18"/>
                <w:szCs w:val="18"/>
                <w:color w:val="auto"/>
              </w:rPr>
              <w:t>DR. RICHARD L. LINDSTROM</w:t>
            </w:r>
          </w:p>
        </w:tc>
      </w:tr>
      <w:tr>
        <w:trPr>
          <w:trHeight w:val="669"/>
        </w:trPr>
        <w:tc>
          <w:tcPr>
            <w:tcW w:w="580" w:type="dxa"/>
            <w:vAlign w:val="bottom"/>
          </w:tcPr>
          <w:p>
            <w:pPr>
              <w:spacing w:after="0"/>
              <w:rPr>
                <w:sz w:val="24"/>
                <w:szCs w:val="24"/>
                <w:color w:val="auto"/>
              </w:rPr>
            </w:pPr>
          </w:p>
        </w:tc>
        <w:tc>
          <w:tcPr>
            <w:tcW w:w="4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/s/ Mark L. Baum</w:t>
            </w:r>
          </w:p>
        </w:tc>
        <w:tc>
          <w:tcPr>
            <w:tcW w:w="76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4940" w:type="dxa"/>
            <w:vAlign w:val="bottom"/>
            <w:gridSpan w:val="3"/>
          </w:tcPr>
          <w:p>
            <w:pPr>
              <w:spacing w:after="0" w:line="201" w:lineRule="exact"/>
              <w:rPr>
                <w:sz w:val="20"/>
                <w:szCs w:val="20"/>
                <w:color w:val="auto"/>
              </w:rPr>
            </w:pPr>
            <w:r>
              <w:rPr>
                <w:rFonts w:ascii="Arial" w:cs="Arial" w:eastAsia="Arial" w:hAnsi="Arial"/>
                <w:sz w:val="18"/>
                <w:szCs w:val="18"/>
                <w:color w:val="auto"/>
              </w:rPr>
              <w:t>Mark L. Baum</w:t>
            </w:r>
          </w:p>
        </w:tc>
        <w:tc>
          <w:tcPr>
            <w:tcW w:w="760" w:type="dxa"/>
            <w:vAlign w:val="bottom"/>
          </w:tcPr>
          <w:p>
            <w:pPr>
              <w:ind w:left="200"/>
              <w:spacing w:after="0" w:line="201" w:lineRule="exact"/>
              <w:rPr>
                <w:sz w:val="20"/>
                <w:szCs w:val="20"/>
                <w:color w:val="auto"/>
              </w:rPr>
            </w:pPr>
            <w:r>
              <w:rPr>
                <w:rFonts w:ascii="Arial" w:cs="Arial" w:eastAsia="Arial" w:hAnsi="Arial"/>
                <w:sz w:val="18"/>
                <w:szCs w:val="18"/>
                <w:color w:val="auto"/>
              </w:rPr>
              <w:t>By:</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Dr. Richard L. Lindstrom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940" w:type="dxa"/>
            <w:vAlign w:val="bottom"/>
            <w:gridSpan w:val="3"/>
          </w:tcPr>
          <w:p>
            <w:pPr>
              <w:spacing w:after="0"/>
              <w:rPr>
                <w:sz w:val="20"/>
                <w:szCs w:val="20"/>
                <w:color w:val="auto"/>
              </w:rPr>
            </w:pPr>
            <w:r>
              <w:rPr>
                <w:rFonts w:ascii="Arial" w:cs="Arial" w:eastAsia="Arial" w:hAnsi="Arial"/>
                <w:sz w:val="18"/>
                <w:szCs w:val="18"/>
                <w:color w:val="auto"/>
              </w:rPr>
              <w:t>Executive Director</w:t>
            </w:r>
          </w:p>
        </w:tc>
        <w:tc>
          <w:tcPr>
            <w:tcW w:w="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 individual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560" w:type="dxa"/>
            <w:vAlign w:val="bottom"/>
          </w:tcPr>
          <w:p>
            <w:pPr>
              <w:spacing w:after="0"/>
              <w:rPr>
                <w:sz w:val="20"/>
                <w:szCs w:val="20"/>
                <w:color w:val="auto"/>
              </w:rPr>
            </w:pPr>
            <w:r>
              <w:rPr>
                <w:rFonts w:ascii="Arial" w:cs="Arial" w:eastAsia="Arial" w:hAnsi="Arial"/>
                <w:sz w:val="18"/>
                <w:szCs w:val="18"/>
                <w:color w:val="auto"/>
              </w:rPr>
              <w:t>3/1/2018</w:t>
            </w: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0"/>
                <w:szCs w:val="20"/>
                <w:color w:val="auto"/>
              </w:rPr>
            </w:pPr>
            <w:r>
              <w:rPr>
                <w:rFonts w:ascii="Arial" w:cs="Arial" w:eastAsia="Arial" w:hAnsi="Arial"/>
                <w:sz w:val="18"/>
                <w:szCs w:val="18"/>
                <w:color w:val="auto"/>
              </w:rPr>
              <w:t>3/21/2018</w:t>
            </w:r>
          </w:p>
        </w:tc>
      </w:tr>
      <w:tr>
        <w:trPr>
          <w:trHeight w:val="392"/>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rPr>
              <w:t>Reviewed and approved by:</w:t>
            </w:r>
          </w:p>
        </w:tc>
        <w:tc>
          <w:tcPr>
            <w:tcW w:w="76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
        </w:trPr>
        <w:tc>
          <w:tcPr>
            <w:tcW w:w="2140" w:type="dxa"/>
            <w:vAlign w:val="bottom"/>
            <w:gridSpan w:val="2"/>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53"/>
        </w:trPr>
        <w:tc>
          <w:tcPr>
            <w:tcW w:w="5520" w:type="dxa"/>
            <w:vAlign w:val="bottom"/>
            <w:gridSpan w:val="4"/>
          </w:tcPr>
          <w:p>
            <w:pPr>
              <w:spacing w:after="0"/>
              <w:rPr>
                <w:sz w:val="20"/>
                <w:szCs w:val="20"/>
                <w:color w:val="auto"/>
              </w:rPr>
            </w:pPr>
            <w:r>
              <w:rPr>
                <w:rFonts w:ascii="Arial" w:cs="Arial" w:eastAsia="Arial" w:hAnsi="Arial"/>
                <w:sz w:val="18"/>
                <w:szCs w:val="18"/>
                <w:color w:val="auto"/>
              </w:rPr>
              <w:t>IMPRIMIS PHARMACEUTICALS, INC.</w:t>
            </w:r>
          </w:p>
        </w:tc>
        <w:tc>
          <w:tcPr>
            <w:tcW w:w="76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Arial" w:cs="Arial" w:eastAsia="Arial" w:hAnsi="Arial"/>
                <w:sz w:val="18"/>
                <w:szCs w:val="18"/>
                <w:i w:val="1"/>
                <w:iCs w:val="1"/>
                <w:color w:val="auto"/>
              </w:rPr>
              <w:t>/s/ Robert J. Kammer</w:t>
            </w:r>
          </w:p>
        </w:tc>
        <w:tc>
          <w:tcPr>
            <w:tcW w:w="76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49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Robert J. Kammer</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Chairman of the Surface Committee of</w:t>
            </w:r>
          </w:p>
        </w:tc>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Imprimis Pharmaceutical, Inc.,</w:t>
            </w:r>
          </w:p>
        </w:tc>
        <w:tc>
          <w:tcPr>
            <w:tcW w:w="760" w:type="dxa"/>
            <w:vAlign w:val="bottom"/>
          </w:tcPr>
          <w:p>
            <w:pPr>
              <w:spacing w:after="0"/>
              <w:rPr>
                <w:sz w:val="20"/>
                <w:szCs w:val="20"/>
                <w:color w:val="auto"/>
              </w:rPr>
            </w:pPr>
          </w:p>
        </w:tc>
        <w:tc>
          <w:tcPr>
            <w:tcW w:w="5140" w:type="dxa"/>
            <w:vAlign w:val="bottom"/>
          </w:tcPr>
          <w:p>
            <w:pPr>
              <w:spacing w:after="0"/>
              <w:rPr>
                <w:sz w:val="20"/>
                <w:szCs w:val="20"/>
                <w:color w:val="auto"/>
              </w:rPr>
            </w:pPr>
          </w:p>
        </w:tc>
      </w:tr>
    </w:tbl>
    <w:p>
      <w:pPr>
        <w:ind w:left="580"/>
        <w:spacing w:after="0"/>
        <w:rPr>
          <w:sz w:val="20"/>
          <w:szCs w:val="20"/>
          <w:color w:val="auto"/>
        </w:rPr>
      </w:pPr>
      <w:r>
        <w:rPr>
          <w:rFonts w:ascii="Arial" w:cs="Arial" w:eastAsia="Arial" w:hAnsi="Arial"/>
          <w:sz w:val="18"/>
          <w:szCs w:val="18"/>
          <w:color w:val="auto"/>
        </w:rPr>
        <w:t>Parent Corporation to</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Surface Pharmaceuticals,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 Richard L. Lindstrom and Surface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Consultant shall provide advisory services to the Company relating to its establishment, financing activities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250,000 shares (the “Shares”) of the Company’s restricted common stock, par value $0.001 (“Common Stock”) under the terms of the Company’s 2017 Equity Incentive Plan (the “Plan”) and a Restricted Stock Award Grant Notice and Agreement thereunder to be provided to Consultant by the Company (collectively with the Plan, the “Restricted Stock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Shares shall vest upon the earliest of:</w:t>
      </w:r>
    </w:p>
    <w:p>
      <w:pPr>
        <w:spacing w:after="0" w:line="225" w:lineRule="exact"/>
        <w:rPr>
          <w:sz w:val="20"/>
          <w:szCs w:val="20"/>
          <w:color w:val="auto"/>
        </w:rPr>
      </w:pPr>
    </w:p>
    <w:p>
      <w:pPr>
        <w:ind w:left="1100" w:hanging="768"/>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3" w:lineRule="exact"/>
        <w:rPr>
          <w:rFonts w:ascii="Arial" w:cs="Arial" w:eastAsia="Arial" w:hAnsi="Arial"/>
          <w:sz w:val="18"/>
          <w:szCs w:val="18"/>
          <w:color w:val="auto"/>
        </w:rPr>
      </w:pPr>
    </w:p>
    <w:p>
      <w:pPr>
        <w:ind w:left="1100" w:right="20" w:hanging="768"/>
        <w:spacing w:after="0" w:line="250"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“IPO”);</w:t>
      </w:r>
    </w:p>
    <w:p>
      <w:pPr>
        <w:ind w:left="1100" w:hanging="768"/>
        <w:spacing w:after="0" w:line="250"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of closing of any bona-fide equity financing with third party investors resulting in cash gross proceeds to the Company of at least $10,000,000 (“Subsequent Financing”); or</w:t>
      </w:r>
    </w:p>
    <w:p>
      <w:pPr>
        <w:ind w:left="1100" w:hanging="768"/>
        <w:spacing w:after="0" w:line="261"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immediately prior to the one year anniversary of the date of grant of the Shares (as indicated in the Restricted Stock Documents) (the “Date of Grant”).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and in any case of (1), (2), (3) and (4), subject to Consultant’s Continuous Service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Consultant’s Continuous Service is terminated by the Company (other than for Cause) or by death of Consultant prior to the completion of the Term (as defined in this Consulting Agreement), the Shares shall vest immediately upon such termination.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understands that that the receipt of the Shares hereunder will trigger tax consequences to Consultant for which Consultant will be solely responsible and that the Shares have not been registered under the Securities Act of 1933, as amended, or any applicable state securities law. Consultant must execute the Restricted Stock Documents as a condition to receipt of the Shares 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or about December 15, 2017 and shall provide the Services through the earlier of (i) one year from the Date of Grant, (ii) a Change in Control, (iii) the IPO, (iv) a Subsequent Financing or (v) such earlier date as the Services are terminated by the Company or Consultant in accordance with this Agreement (the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ind w:left="103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198"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980" w:hanging="324"/>
        <w:spacing w:after="0" w:line="248"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980" w:hanging="324"/>
        <w:spacing w:after="0" w:line="248"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left="980" w:hanging="324"/>
        <w:spacing w:after="0" w:line="291"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7"/>
          <w:szCs w:val="17"/>
          <w:color w:val="auto"/>
        </w:rPr>
      </w:pPr>
    </w:p>
    <w:p>
      <w:pPr>
        <w:jc w:val="both"/>
        <w:ind w:left="980" w:hanging="324"/>
        <w:spacing w:after="0" w:line="248"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80" w:hanging="324"/>
        <w:spacing w:after="0" w:line="262"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6, 2018</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ind w:left="103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6, 2018</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June 30, 2018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4"/>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lowerLetter"/>
      <w:start w:val="2"/>
    </w:lvl>
  </w:abstractNum>
  <w:abstractNum w:abstractNumId="13">
    <w:nsid w:val="721DA317"/>
    <w:multiLevelType w:val="hybridMultilevel"/>
    <w:lvl w:ilvl="0">
      <w:lvlJc w:val="left"/>
      <w:lvlText w:val="(%1)"/>
      <w:numFmt w:val="lowerLetter"/>
      <w:start w:val="2"/>
    </w:lvl>
    <w:lvl w:ilvl="1">
      <w:lvlJc w:val="left"/>
      <w:lvlText w:val="%2."/>
      <w:numFmt w:val="decimal"/>
      <w:start w:val="2"/>
    </w:lvl>
  </w:abstractNum>
  <w:abstractNum w:abstractNumId="14">
    <w:nsid w:val="2443A858"/>
    <w:multiLevelType w:val="hybridMultilevel"/>
    <w:lvl w:ilvl="0">
      <w:lvlJc w:val="left"/>
      <w:lvlText w:val="%1."/>
      <w:numFmt w:val="decimal"/>
      <w:start w:val="3"/>
    </w:lvl>
  </w:abstractNum>
  <w:abstractNum w:abstractNumId="15">
    <w:nsid w:val="2D1D5AE9"/>
    <w:multiLevelType w:val="hybridMultilevel"/>
    <w:lvl w:ilvl="0">
      <w:lvlJc w:val="left"/>
      <w:lvlText w:val="%1."/>
      <w:numFmt w:val="decimal"/>
      <w:start w:val="4"/>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decimal"/>
      <w:start w:val="5"/>
    </w:lvl>
  </w:abstractNum>
  <w:abstractNum w:abstractNumId="18">
    <w:nsid w:val="8EDBDAB"/>
    <w:multiLevelType w:val="hybridMultilevel"/>
    <w:lvl w:ilvl="0">
      <w:lvlJc w:val="left"/>
      <w:lvlText w:val="%1."/>
      <w:numFmt w:val="decimal"/>
      <w:start w:val="6"/>
    </w:lvl>
  </w:abstractNum>
  <w:abstractNum w:abstractNumId="19">
    <w:nsid w:val="79838CB2"/>
    <w:multiLevelType w:val="hybridMultilevel"/>
    <w:lvl w:ilvl="0">
      <w:lvlJc w:val="left"/>
      <w:lvlText w:val="%1."/>
      <w:numFmt w:val="decimal"/>
      <w:start w:val="7"/>
    </w:lvl>
  </w:abstractNum>
  <w:abstractNum w:abstractNumId="20">
    <w:nsid w:val="4353D0CD"/>
    <w:multiLevelType w:val="hybridMultilevel"/>
    <w:lvl w:ilvl="0">
      <w:lvlJc w:val="left"/>
      <w:lvlText w:val="%1."/>
      <w:numFmt w:val="decimal"/>
      <w:start w:val="8"/>
    </w:lvl>
  </w:abstractNum>
  <w:abstractNum w:abstractNumId="21">
    <w:nsid w:val="B03E0C6"/>
    <w:multiLevelType w:val="hybridMultilevel"/>
    <w:lvl w:ilvl="0">
      <w:lvlJc w:val="left"/>
      <w:lvlText w:val="\endash "/>
      <w:numFmt w:val="bullet"/>
      <w:start w:val="1"/>
    </w:lvl>
  </w:abstractNum>
  <w:abstractNum w:abstractNumId="22">
    <w:nsid w:val="189A769B"/>
    <w:multiLevelType w:val="hybridMultilevel"/>
    <w:lvl w:ilvl="0">
      <w:lvlJc w:val="left"/>
      <w:lvlText w:val="\endash "/>
      <w:numFmt w:val="bullet"/>
      <w:start w:val="1"/>
    </w:lvl>
    <w:lvl w:ilvl="1">
      <w:lvlJc w:val="left"/>
      <w:lvlText w:val="o"/>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4"/>
    </w:lvl>
    <w:lvl w:ilvl="1">
      <w:lvlJc w:val="left"/>
      <w:lvlText w:val="(%2)"/>
      <w:numFmt w:val="lowerLetter"/>
      <w:start w:val="1"/>
    </w:lvl>
  </w:abstractNum>
  <w:abstractNum w:abstractNumId="25">
    <w:nsid w:val="2CA88611"/>
    <w:multiLevelType w:val="hybridMultilevel"/>
    <w:lvl w:ilvl="0">
      <w:lvlJc w:val="left"/>
      <w:lvlText w:val="%1."/>
      <w:numFmt w:val="decimal"/>
      <w:start w:val="5"/>
    </w:lvl>
  </w:abstractNum>
  <w:abstractNum w:abstractNumId="26">
    <w:nsid w:val="836C40E"/>
    <w:multiLevelType w:val="hybridMultilevel"/>
    <w:lvl w:ilvl="0">
      <w:lvlJc w:val="left"/>
      <w:lvlText w:val="%1."/>
      <w:numFmt w:val="decimal"/>
      <w:start w:val="7"/>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66" Type="http://schemas.openxmlformats.org/officeDocument/2006/relationships/hyperlink" Target="http://www.sec.gov/Archives/edgar/data/1360214/000149315218006896/ex10-1.htm" TargetMode="External"/><Relationship Id="rId67" Type="http://schemas.openxmlformats.org/officeDocument/2006/relationships/hyperlink" Target="http://www.sec.gov/Archives/edgar/data/1360214/000149315218006896/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2020-01-13T05:17:09Z</dcterms:created>
  <dcterms:modified xsi:type="dcterms:W3CDTF">2020-01-13T05:17:09Z</dcterms:modified>
</cp:coreProperties>
</file>