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28,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9"/>
        </w:trPr>
        <w:tc>
          <w:tcPr>
            <w:tcW w:w="45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7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HROWL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11.875% Senior Notes due 2027</w:t>
            </w:r>
          </w:p>
        </w:tc>
        <w:tc>
          <w:tcPr>
            <w:tcW w:w="2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HROWM</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required, the information contained in Item 8.01 hereof is incorporated herein by reference.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January 2, 2024, Harrow, Inc. (the “Company”) appointed John P. Saharek as the President and Chief Executive Officer of the Company’s ImprimisRx division, in addition to his current role as Chief Commercial Officer of the Company. Mr. Saharek’s annual base salary was adjusted to $450,000 and his target bonus will remain at 50% of his annual base salary. Mr. Saharek will continue to report to Mark L. Baum, Chief Executive Officer and Chairman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December 28, 2023, the Board of Directors of the Company approved certain amendments to the Company’s Code of Business Conduct and Ethics (the “Code”) upon the recommendation of the Nomination and Corporate Governance Committee of the Board. The amendments to the Code update the Company’s corporate name and revise and clarify the Company’s obligations with respect to political activities. The amendments to the Code do not relate to or result in any waiver, explicit or implicit, of any provision of the Code in effect prior to the amendments. Each of the Company’s directors, employees and officers, including the Company’s Chief Executive Officer, Chief Financial Officer, and all of its other principal executive officers, are required to comply with the Code.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Code is available for review on the Investors section of the Company’s website, www.harrow.com, under Corporate Governance, and is also available in print, without charge, to any stockholder who requests a copy by writing to Harrow, Inc., 102 Woodmont Blvd., Suite 610, Nashville, TN 37205, Attention: Investor 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28, 2023, the Company terminated the Loan and Security Agreement (the “Loan Agreement”), dated as of September 1, 2021, as amended, by and between the Company, as lender, and Melt Pharmaceuticals, Inc. (“Melt”), as borrower, which provided for a senior secured term loan with an initial aggregate principal amount of $13.5 million bearing interest at 12.50% per annum. As of the date of termination, approximately $18.4 million remained outstanding under the Loan Agreement. Pursuant to the terms of a Settlement and Payoff Agreement, dated as of December 28, 2023, by and between the Company and Melt (the “Settlement Agreement”), the Company received 2,260,000 shares of Melt’s Series B-1 Preferred Stock and 74,256 shares of Melt’s Series B Preferred Stock in consideration for the full payment of all amounts outstanding under the Loan Agreement (other than contingent indemnification obligations for which no claim has been made). The Settlement Agreement contains customary representations, warranties and releases of the parties and requires the parties to enter into a registration rights agreement providing the Company with rights consistent with other holders of preferred stock of Melt.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preferred stock acquired by the Company upon settlement of all amounts outstanding under the Loan Agreement, the Company owns 3,500,000 shares of common stock of Melt. The equity of Melt held by the Company following the settlement represents an aggregate of approximately 47% of the outstanding equity interests of Melt. The Company also owns royalty rights in certain drug candidates being developed by Melt following the termination date of the Loan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press release announcing the transactions described herein is filed as </w:t>
      </w:r>
      <w:r>
        <w:rPr>
          <w:rFonts w:ascii="Times New Roman" w:cs="Times New Roman" w:eastAsia="Times New Roman" w:hAnsi="Times New Roman"/>
          <w:sz w:val="18"/>
          <w:szCs w:val="18"/>
          <w:u w:val="single" w:color="auto"/>
          <w:color w:val="auto"/>
        </w:rPr>
        <w:t>Exhibit 99</w:t>
      </w:r>
      <w:r>
        <w:rPr>
          <w:rFonts w:ascii="Times New Roman" w:cs="Times New Roman" w:eastAsia="Times New Roman" w:hAnsi="Times New Roman"/>
          <w:sz w:val="18"/>
          <w:szCs w:val="18"/>
          <w:color w:val="auto"/>
        </w:rPr>
        <w:t xml:space="preserve">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780" w:hanging="772"/>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of Melt Pharmaceuticals, Inc., dated January 3, 2024</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3,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156845</wp:posOffset>
            </wp:positionV>
            <wp:extent cx="1645920"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Melt Pharmaceuticals Provides Corporate Update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NASHVILLE, Tenn. </w:t>
      </w:r>
      <w:r>
        <w:rPr>
          <w:rFonts w:ascii="Times New Roman" w:cs="Times New Roman" w:eastAsia="Times New Roman" w:hAnsi="Times New Roman"/>
          <w:sz w:val="18"/>
          <w:szCs w:val="18"/>
          <w:color w:val="auto"/>
        </w:rPr>
        <w:t>(January 3, 2024) – Melt Pharmaceuticals, Inc. (“Melt”), a clinical-stage pharmaceutical company developing novel approaches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procedural sedation, today provided a corporate update. The Company previously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that MELT-300 achieved the primary sedation endpoint in its Phase 2 Pivotal Efficacy and Safety Study in subjects undergoing cataract surgery. MELT-300, a non-IV, non-opioid tablet that combines fixed doses of</w:t>
      </w: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midazolam (3mg) and ketamine (50mg), is administered sublingually using Catalent Inc.’s proprietary fast-dissolving </w:t>
      </w:r>
      <w:r>
        <w:rPr>
          <w:rFonts w:ascii="Times New Roman" w:cs="Times New Roman" w:eastAsia="Times New Roman" w:hAnsi="Times New Roman"/>
          <w:sz w:val="18"/>
          <w:szCs w:val="18"/>
          <w:u w:val="single" w:color="auto"/>
          <w:color w:val="auto"/>
        </w:rPr>
        <w:t>Zydis</w:t>
      </w:r>
      <w:r>
        <w:rPr>
          <w:rFonts w:ascii="Times New Roman" w:cs="Times New Roman" w:eastAsia="Times New Roman" w:hAnsi="Times New Roman"/>
          <w:sz w:val="29"/>
          <w:szCs w:val="29"/>
          <w:u w:val="single" w:color="auto"/>
          <w:color w:val="auto"/>
          <w:vertAlign w:val="superscript"/>
        </w:rPr>
        <w:t>®</w:t>
      </w:r>
      <w:r>
        <w:rPr>
          <w:rFonts w:ascii="Times New Roman" w:cs="Times New Roman" w:eastAsia="Times New Roman" w:hAnsi="Times New Roman"/>
          <w:sz w:val="18"/>
          <w:szCs w:val="18"/>
          <w:color w:val="auto"/>
        </w:rPr>
        <w:t xml:space="preserve"> delivery technology to rapidly dissolve the tablet for absorption across the very thin sublingual mucosa.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Melt Pharmaceuticals recently received a written response from the U.S. Food and Drug Administration (FDA) regarding its planned MELT-300 Phase 3 program. Based on the FDA’s response, Melt Pharmaceuticals expects to begin Phase 3 program activities, which will consist of a single pivotal study comparing MELT-300 to sublingual midazolam and placebo in subjects undergoing cataract surgery, in the first quarter of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Melt has now reached an agreement with and paid in full all the outstanding principal and accrued and unpaid interest under its loan facility with </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color w:val="auto"/>
        </w:rPr>
        <w:t>, Inc. (Nasdaq: HROW), Melt’s largest shareholder, through the issuance of shares of Melt’s Series B and Series B-1 Preferred Stock. Following this transaction, in addition to certain royalty rights, Harrow’s equity ownership percentage of Melt is approximately 47%.</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very pleased to have received a response from the FDA that supports the investment we are making in our proposed MELT-300 Phase 3 program,” said Dr. Dillaha. “This was the last step needed to finalize our program design, paving the way for the commencement of Phase 3 program activities in early 2024. Following the debt settlement with Harrow and our successful efforts to date to secure sufficient funding to commence the Phase 3 program, we can now focus on the advancement of our non-IV, non-opioid MELT-300 product candidate, which we believe has the potential to revolutionize short-duration procedural sedation for more than 100 million U.S. medical procedures, enhancing the surgical patient experience by providing greater comfort and reducing reliance on opioids.”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Melt Pharmaceuticals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Melt Pharmaceuticals, Inc. is a clinical-stage pharmaceutical company focused on developing proprietary non-opioid, non-IV, sedation, and analgesia therapeutics for human medical procedures in the hospital, outpatient, and in-office settings. Melt intends to seek regulatory approval through the FDA’s 505(b)(2) regulatory pathway for its proprietary, patented small-molecule product candidates, where possible. Melt’s core intellectual property is the subject of multiple granted patents in North America, Europe, Asia, and the Middle East. Melt Pharmaceuticals, Inc. is a former subsidiary of Harrow, Inc. (Nasdaq: HROW) and was carved out as a separately managed business in 2019. To learn more about Melt, please visit their website, </w:t>
      </w:r>
      <w:r>
        <w:rPr>
          <w:rFonts w:ascii="Times New Roman" w:cs="Times New Roman" w:eastAsia="Times New Roman" w:hAnsi="Times New Roman"/>
          <w:sz w:val="18"/>
          <w:szCs w:val="18"/>
          <w:u w:val="single" w:color="auto"/>
          <w:color w:val="auto"/>
        </w:rPr>
        <w:t>www.meltpharma.com</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196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41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Dillaha, M.D.</w:t>
            </w:r>
          </w:p>
        </w:tc>
        <w:tc>
          <w:tcPr>
            <w:tcW w:w="19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 Holliday</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9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Holliday Communications, Inc.</w:t>
            </w:r>
          </w:p>
        </w:tc>
      </w:tr>
      <w:tr>
        <w:trPr>
          <w:trHeight w:val="194"/>
        </w:trPr>
        <w:tc>
          <w:tcPr>
            <w:tcW w:w="3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ldillaha@meltpharma.com</w:t>
            </w:r>
          </w:p>
        </w:tc>
        <w:tc>
          <w:tcPr>
            <w:tcW w:w="1960" w:type="dxa"/>
            <w:vAlign w:val="bottom"/>
          </w:tcPr>
          <w:p>
            <w:pPr>
              <w:spacing w:after="0"/>
              <w:rPr>
                <w:sz w:val="16"/>
                <w:szCs w:val="16"/>
                <w:color w:val="auto"/>
              </w:rPr>
            </w:pPr>
          </w:p>
        </w:tc>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deb@hollidaycommunications.net</w:t>
            </w:r>
          </w:p>
        </w:tc>
      </w:tr>
      <w:tr>
        <w:trPr>
          <w:trHeight w:val="237"/>
        </w:trPr>
        <w:tc>
          <w:tcPr>
            <w:tcW w:w="19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412-877-4519</w:t>
            </w:r>
          </w:p>
        </w:tc>
        <w:tc>
          <w:tcPr>
            <w:tcW w:w="314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58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-END-</w:t>
            </w:r>
          </w:p>
        </w:tc>
      </w:tr>
      <w:tr>
        <w:trPr>
          <w:trHeight w:val="439"/>
        </w:trPr>
        <w:tc>
          <w:tcPr>
            <w:tcW w:w="19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2024-01-03T07:04:38Z</dcterms:created>
  <dcterms:modified xsi:type="dcterms:W3CDTF">2024-01-03T07:04:38Z</dcterms:modified>
</cp:coreProperties>
</file>