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15,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15, 2018, Imprimis Pharmaceuticals, Inc. (the “Company”) issued a press release announcing its financial results for the quarter ended March 31, 2018.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Imprimis Pharmaceuticals, Inc. on May 15,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88900</wp:posOffset>
            </wp:positionV>
            <wp:extent cx="2143760" cy="995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43760" cy="9950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First Quarter 2018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 – May 15, 2018 — Imprimis Pharmaceuticals, Inc. (NASDAQ: IMMY) today reported financial results for the first quarter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Notable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$8.9 million, up 45%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ophthalmology-related revenue of $7.0 million, up 91%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54%, compared to 45% in Q1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loss (a non-GAAP measure) of $431,000, an 85% improvement year-over-year, and 46% improvement quarter-over-quarter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month of Adjusted EBITDA profitability in March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 straight quarters of double digit or better year-over-year revenue growth</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Eton Pharmaceuticals filed its first new drug application (NDA) with the US Food and Drug Administration, advanced programs that are expected to result in additional NDA filings over the next 12 months, and increased active drug development programs from four to eight</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Surface Pharmaceuticals announced a $20 million Series A financing at $3.30 per share with Flying L Partners, a premier ophthalmology-focused investor with a strong track record of success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L. Baum, CEO of Imprimis, stated, “Because of our unique value proposition, the infrastructure we’ve built, the drug formulation intellectual property portfolio we own, and a growing loyal customer base, we are seeing increased momentum towards reaching our financial goals. This is evidenced by a quarterly revenue increase that was our largest year-over-year percentage gain since the fourth quarter of 2016. Importantly, we continued to narrow our Adjusted EBITDA loss, roughly halving it again sequentially; and we had a profitable March, which was followed by an even better April. Four full years into our commercial operations, with a compound annual growth rate of 153%, I remain bullish on the business and our ability to navigate through challenges and deliver on our goals for the foreseeable future.”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Commenting on Imprimis’s strategy to develop certain of its drug formulation assets as FDA approved products, Baum concluded, “In addition to seeing great progress with our first deconsolidated company, Eton Pharmaceuticals, we are also gratified by the $20 million financing transaction we recently completed for Surface Pharmaceuticals. In addition to the investment, our partner in the transaction, Flying L Partners, contributes decades of tremendous accomplishment in ophthalmology, which will add intrinsic value to Surface. With the completion of the Surface financing and deconsolidation, Imprimis is now focusing on concluding work we have been undertaking on other 505(b)(2) opportunities from our drug formulation library, which we hope to discuss more in the future.”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Imprimis Pharmaceuticals has retained ownership of 3.5 million shares of Eton Pharmaceuticals common stock and 3.5 million shares of Surface Pharmaceuticals common stock. In addition, Imprimis owns mid-single digit royalty rights on all contributed drugs. Imprimis retains royalty rights on two patent-pending sterile injectable drug candidates contributed to Eton, one targeting infantile spasms and the other targeting Peyronie’s Disease. Imprimis retains royalty rights on three patent-pending drug candidates contributed to Surface, two are topical eye drop drug candidates, the third is an oral capsule, all of which target certain ocular surface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ended March 31, 2018 and for the same period in 2017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For the three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For the three months ended</w:t>
            </w:r>
          </w:p>
        </w:tc>
      </w:tr>
      <w:tr>
        <w:trPr>
          <w:trHeight w:val="241"/>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March 31, 2017</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(4,071)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(3,357)</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2,740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240" w:type="dxa"/>
            <w:vAlign w:val="bottom"/>
          </w:tcPr>
          <w:p>
            <w:pPr>
              <w:spacing w:after="0"/>
              <w:rPr>
                <w:sz w:val="18"/>
                <w:szCs w:val="18"/>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(6,488)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(6,811)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8"/>
                <w:szCs w:val="18"/>
                <w:color w:val="auto"/>
              </w:rPr>
            </w:pPr>
          </w:p>
        </w:tc>
        <w:tc>
          <w:tcPr>
            <w:tcW w:w="2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(4,231)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r>
      <w:tr>
        <w:trPr>
          <w:trHeight w:val="234"/>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(3,513)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(5,006)</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For the three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For the three months ended</w:t>
            </w:r>
          </w:p>
        </w:tc>
      </w:tr>
      <w:tr>
        <w:trPr>
          <w:trHeight w:val="241"/>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March 31, 2017</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240" w:type="dxa"/>
            <w:vAlign w:val="bottom"/>
          </w:tcPr>
          <w:p>
            <w:pPr>
              <w:spacing w:after="0"/>
              <w:rPr>
                <w:sz w:val="18"/>
                <w:szCs w:val="18"/>
                <w:color w:val="auto"/>
              </w:rPr>
            </w:pPr>
          </w:p>
        </w:tc>
        <w:tc>
          <w:tcPr>
            <w:tcW w:w="284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8"/>
                <w:szCs w:val="18"/>
                <w:color w:val="auto"/>
              </w:rPr>
            </w:pPr>
          </w:p>
        </w:tc>
        <w:tc>
          <w:tcPr>
            <w:tcW w:w="2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57"/>
        </w:trPr>
        <w:tc>
          <w:tcPr>
            <w:tcW w:w="52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Other expenses/loss</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2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240" w:type="dxa"/>
            <w:vAlign w:val="bottom"/>
          </w:tcPr>
          <w:p>
            <w:pPr>
              <w:spacing w:after="0"/>
              <w:rPr>
                <w:sz w:val="18"/>
                <w:szCs w:val="18"/>
                <w:color w:val="auto"/>
              </w:rPr>
            </w:pPr>
          </w:p>
        </w:tc>
        <w:tc>
          <w:tcPr>
            <w:tcW w:w="284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(431)</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(2,846)</w:t>
            </w:r>
          </w:p>
        </w:tc>
      </w:tr>
    </w:tbl>
    <w:p>
      <w:pPr>
        <w:spacing w:after="0" w:line="18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loss on the sale of ImprimisRx TX assets.</w:t>
      </w:r>
    </w:p>
    <w:p>
      <w:pPr>
        <w:spacing w:after="0" w:line="23" w:lineRule="exact"/>
        <w:rPr>
          <w:rFonts w:ascii="Arial" w:cs="Arial" w:eastAsia="Arial" w:hAnsi="Arial"/>
          <w:sz w:val="18"/>
          <w:szCs w:val="18"/>
          <w:color w:val="auto"/>
        </w:rPr>
      </w:pPr>
    </w:p>
    <w:p>
      <w:pPr>
        <w:ind w:left="980" w:right="20" w:hanging="324"/>
        <w:spacing w:after="0" w:line="290"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Non-recurring expenses are costs Surface incurred during the period presented that were consolidated in the Company’s financials, and subsequently will be reimbursed to the Company following the deconsolidation of Surface in the second quarter of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EDT (1:30 p.m. PDT) to discuss the financial results and recent developments. To participate in the call, please dial (877) 407-8031 for domestic callers or (201) 689-8031 for international callers. To listen to the webcast,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visit the investor relations section of the Imprimis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 A dial in replay of the call will be available until June 15, 2018. To access the replay, dial (877) 481-4010 domestically or (919) 882-2331 internationally and reference Replay ID: 29148. The webcast replay will be available until August 15,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Imprimis Pharmaceuticals, Inc. (NASDAQ: IMMY) is dedicated to making high-quality innovative medications accessible and affordable. The company’s flexible business model allows a drug to be compounded or developed as an FDA-approved product through one of its subsidiaries or deconsolidated companies. For more information about Imprimis, please visit the Investor Relations section of the corporate website by </w:t>
      </w:r>
      <w:r>
        <w:rPr>
          <w:rFonts w:ascii="Arial" w:cs="Arial" w:eastAsia="Arial" w:hAnsi="Arial"/>
          <w:sz w:val="17"/>
          <w:szCs w:val="17"/>
          <w:u w:val="single" w:color="auto"/>
          <w:color w:val="auto"/>
        </w:rPr>
        <w:t>clicking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 Imprimis compounded formulation is FDA-approved. Other than drugs compounded at a registered outsourcing facility, all Imprimis compounded formulations require a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2020-01-15T11:17:14Z</dcterms:created>
  <dcterms:modified xsi:type="dcterms:W3CDTF">2020-01-15T11:17:14Z</dcterms:modified>
</cp:coreProperties>
</file>